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E31F51" w14:textId="6E195D19" w:rsidR="00965D3D" w:rsidRDefault="00965D3D" w:rsidP="00965D3D">
      <w:pPr>
        <w:spacing w:line="480" w:lineRule="auto"/>
        <w:rPr>
          <w:rFonts w:ascii="Calibri" w:hAnsi="Calibri" w:cs="Calibri"/>
          <w:b/>
          <w:bCs/>
          <w:color w:val="000000"/>
          <w:szCs w:val="22"/>
        </w:rPr>
      </w:pPr>
      <w:r>
        <w:rPr>
          <w:rFonts w:ascii="Calibri" w:hAnsi="Calibri" w:cs="Calibri"/>
          <w:b/>
          <w:bCs/>
          <w:color w:val="000000"/>
          <w:szCs w:val="22"/>
        </w:rPr>
        <w:t>Methods</w:t>
      </w:r>
    </w:p>
    <w:p w14:paraId="2564E0D6" w14:textId="502896E4" w:rsidR="005A4288" w:rsidRPr="005A4288" w:rsidRDefault="005A4288" w:rsidP="00965D3D">
      <w:pPr>
        <w:spacing w:line="480" w:lineRule="auto"/>
        <w:rPr>
          <w:rFonts w:ascii="Calibri" w:hAnsi="Calibri" w:cs="Calibri"/>
          <w:b/>
          <w:bCs/>
          <w:color w:val="000000"/>
        </w:rPr>
      </w:pPr>
      <w:bookmarkStart w:id="0" w:name="_Hlk169123738"/>
      <w:r w:rsidRPr="005A4288">
        <w:rPr>
          <w:rFonts w:ascii="Calibri" w:hAnsi="Calibri" w:cs="Calibri"/>
          <w:b/>
          <w:bCs/>
          <w:color w:val="000000"/>
        </w:rPr>
        <w:t>Village list</w:t>
      </w:r>
    </w:p>
    <w:p w14:paraId="1143D318" w14:textId="2C8901B2" w:rsidR="005A4288" w:rsidRDefault="005A4288" w:rsidP="00965D3D">
      <w:pPr>
        <w:spacing w:line="480" w:lineRule="auto"/>
        <w:rPr>
          <w:rFonts w:ascii="Calibri" w:hAnsi="Calibri" w:cs="Calibri"/>
          <w:color w:val="000000"/>
        </w:rPr>
      </w:pPr>
      <w:r>
        <w:rPr>
          <w:rFonts w:ascii="Calibri" w:hAnsi="Calibri" w:cs="Calibri"/>
          <w:color w:val="000000"/>
        </w:rPr>
        <w:t>Of 5,447 villages listed in the two provinces, there were 5,343 villages and 104 central house registrations. A central house registration is an entry with a village code ending with 00 which is used to list individuals whose names are not registered to a house</w:t>
      </w:r>
      <w:r>
        <w:rPr>
          <w:rFonts w:ascii="Calibri" w:hAnsi="Calibri" w:cs="Calibri"/>
          <w:color w:val="000000"/>
        </w:rPr>
        <w:fldChar w:fldCharType="begin"/>
      </w:r>
      <w:r w:rsidR="00960BB1">
        <w:rPr>
          <w:rFonts w:ascii="Calibri" w:hAnsi="Calibri" w:cs="Calibri"/>
          <w:color w:val="000000"/>
        </w:rPr>
        <w:instrText xml:space="preserve"> ADDIN ZOTERO_ITEM CSL_CITATION {"citationID":"pHFmBYNB","properties":{"formattedCitation":"(1)","plainCitation":"(1)","noteIndex":0},"citationItems":[{"id":"NKf2dy8u/GnE0bd32","uris":["http://zotero.org/users/11811721/items/T5WHCJNT"],"itemData":{"id":6,"type":"webpage","title":"House and housing registration","URL":"https://www.bora.dopa.go.th/CallCenter1548/index.php/menu-population/13-service-handbook/population/23-population-house","accessed":{"date-parts":[["2023",9,20]]}}}],"schema":"https://github.com/citation-style-language/schema/raw/master/csl-citation.json"} </w:instrText>
      </w:r>
      <w:r>
        <w:rPr>
          <w:rFonts w:ascii="Calibri" w:hAnsi="Calibri" w:cs="Calibri"/>
          <w:color w:val="000000"/>
        </w:rPr>
        <w:fldChar w:fldCharType="separate"/>
      </w:r>
      <w:r w:rsidR="00960BB1" w:rsidRPr="00960BB1">
        <w:rPr>
          <w:rFonts w:ascii="Calibri" w:hAnsi="Calibri" w:cs="Calibri"/>
        </w:rPr>
        <w:t>(1)</w:t>
      </w:r>
      <w:r>
        <w:rPr>
          <w:rFonts w:ascii="Calibri" w:hAnsi="Calibri" w:cs="Calibri"/>
          <w:color w:val="000000"/>
        </w:rPr>
        <w:fldChar w:fldCharType="end"/>
      </w:r>
      <w:r>
        <w:rPr>
          <w:rFonts w:ascii="Calibri" w:hAnsi="Calibri" w:cs="Calibri"/>
          <w:color w:val="000000"/>
        </w:rPr>
        <w:t xml:space="preserve">. One duplicate village was found and removed. For the subdistrict-level analysis, the population counts of the remaining 5,446 entries (2,638 villages and 41 central house registrations in Si Sa </w:t>
      </w:r>
      <w:proofErr w:type="spellStart"/>
      <w:r>
        <w:rPr>
          <w:rFonts w:ascii="Calibri" w:hAnsi="Calibri" w:cs="Calibri"/>
          <w:color w:val="000000"/>
        </w:rPr>
        <w:t>Ket</w:t>
      </w:r>
      <w:proofErr w:type="spellEnd"/>
      <w:r>
        <w:rPr>
          <w:rFonts w:ascii="Calibri" w:hAnsi="Calibri" w:cs="Calibri"/>
          <w:color w:val="000000"/>
        </w:rPr>
        <w:t xml:space="preserve">; 2,704 villages and 63 central house registrations in </w:t>
      </w:r>
      <w:proofErr w:type="spellStart"/>
      <w:r>
        <w:rPr>
          <w:rFonts w:ascii="Calibri" w:hAnsi="Calibri" w:cs="Calibri"/>
          <w:color w:val="000000"/>
        </w:rPr>
        <w:t>Ubon</w:t>
      </w:r>
      <w:proofErr w:type="spellEnd"/>
      <w:r>
        <w:rPr>
          <w:rFonts w:ascii="Calibri" w:hAnsi="Calibri" w:cs="Calibri"/>
          <w:color w:val="000000"/>
        </w:rPr>
        <w:t xml:space="preserve"> </w:t>
      </w:r>
      <w:proofErr w:type="spellStart"/>
      <w:r>
        <w:rPr>
          <w:rFonts w:ascii="Calibri" w:hAnsi="Calibri" w:cs="Calibri"/>
          <w:color w:val="000000"/>
        </w:rPr>
        <w:t>Ratchathani</w:t>
      </w:r>
      <w:proofErr w:type="spellEnd"/>
      <w:r>
        <w:rPr>
          <w:rFonts w:ascii="Calibri" w:hAnsi="Calibri" w:cs="Calibri"/>
          <w:color w:val="000000"/>
        </w:rPr>
        <w:t>) were aggregated by subdistrict for API calculation. For the village-level analysis, only the villages were used.</w:t>
      </w:r>
      <w:bookmarkEnd w:id="0"/>
    </w:p>
    <w:p w14:paraId="256AF8AD" w14:textId="57E7B4F3" w:rsidR="00ED655D" w:rsidRDefault="00ED655D" w:rsidP="00965D3D">
      <w:pPr>
        <w:spacing w:line="480" w:lineRule="auto"/>
        <w:rPr>
          <w:rFonts w:ascii="Calibri" w:hAnsi="Calibri" w:cs="Calibri"/>
          <w:color w:val="000000"/>
        </w:rPr>
      </w:pPr>
      <w:r w:rsidRPr="000046DA">
        <w:rPr>
          <w:rFonts w:ascii="Calibri" w:hAnsi="Calibri" w:cs="Calibri"/>
          <w:color w:val="000000"/>
          <w:szCs w:val="22"/>
        </w:rPr>
        <w:t xml:space="preserve">Four cases (0.05%) in Si Sa </w:t>
      </w:r>
      <w:proofErr w:type="spellStart"/>
      <w:r w:rsidRPr="000046DA">
        <w:rPr>
          <w:rFonts w:ascii="Calibri" w:hAnsi="Calibri" w:cs="Calibri"/>
          <w:color w:val="000000"/>
          <w:szCs w:val="22"/>
        </w:rPr>
        <w:t>Ket</w:t>
      </w:r>
      <w:proofErr w:type="spellEnd"/>
      <w:r w:rsidRPr="000046DA">
        <w:rPr>
          <w:rFonts w:ascii="Calibri" w:hAnsi="Calibri" w:cs="Calibri"/>
          <w:color w:val="000000"/>
          <w:szCs w:val="22"/>
        </w:rPr>
        <w:t xml:space="preserve"> and 77 cases (0.47%) in </w:t>
      </w:r>
      <w:proofErr w:type="spellStart"/>
      <w:r w:rsidRPr="000046DA">
        <w:rPr>
          <w:rFonts w:ascii="Calibri" w:hAnsi="Calibri" w:cs="Calibri"/>
          <w:color w:val="000000"/>
          <w:szCs w:val="22"/>
        </w:rPr>
        <w:t>Ubon</w:t>
      </w:r>
      <w:proofErr w:type="spellEnd"/>
      <w:r w:rsidRPr="000046DA">
        <w:rPr>
          <w:rFonts w:ascii="Calibri" w:hAnsi="Calibri" w:cs="Calibri"/>
          <w:color w:val="000000"/>
          <w:szCs w:val="22"/>
        </w:rPr>
        <w:t xml:space="preserve"> </w:t>
      </w:r>
      <w:proofErr w:type="spellStart"/>
      <w:r w:rsidRPr="000046DA">
        <w:rPr>
          <w:rFonts w:ascii="Calibri" w:hAnsi="Calibri" w:cs="Calibri"/>
          <w:color w:val="000000"/>
          <w:szCs w:val="22"/>
        </w:rPr>
        <w:t>Ratchathani</w:t>
      </w:r>
      <w:proofErr w:type="spellEnd"/>
      <w:r w:rsidRPr="000046DA">
        <w:rPr>
          <w:rFonts w:ascii="Calibri" w:hAnsi="Calibri" w:cs="Calibri"/>
          <w:color w:val="000000"/>
          <w:szCs w:val="22"/>
        </w:rPr>
        <w:t xml:space="preserve"> had a residence village code ending with 00, indicating that the Moo (village) number was missing; 113 cases (1.42%) in Si Sa </w:t>
      </w:r>
      <w:proofErr w:type="spellStart"/>
      <w:r w:rsidRPr="000046DA">
        <w:rPr>
          <w:rFonts w:ascii="Calibri" w:hAnsi="Calibri" w:cs="Calibri"/>
          <w:color w:val="000000"/>
          <w:szCs w:val="22"/>
        </w:rPr>
        <w:t>Ket</w:t>
      </w:r>
      <w:proofErr w:type="spellEnd"/>
      <w:r w:rsidRPr="000046DA">
        <w:rPr>
          <w:rFonts w:ascii="Calibri" w:hAnsi="Calibri" w:cs="Calibri"/>
          <w:color w:val="000000"/>
          <w:szCs w:val="22"/>
        </w:rPr>
        <w:t xml:space="preserve"> and 418 cases (2.57%) in </w:t>
      </w:r>
      <w:proofErr w:type="spellStart"/>
      <w:r w:rsidRPr="000046DA">
        <w:rPr>
          <w:rFonts w:ascii="Calibri" w:hAnsi="Calibri" w:cs="Calibri"/>
          <w:color w:val="000000"/>
          <w:szCs w:val="22"/>
        </w:rPr>
        <w:t>Ubon</w:t>
      </w:r>
      <w:proofErr w:type="spellEnd"/>
      <w:r w:rsidRPr="000046DA">
        <w:rPr>
          <w:rFonts w:ascii="Calibri" w:hAnsi="Calibri" w:cs="Calibri"/>
          <w:color w:val="000000"/>
          <w:szCs w:val="22"/>
        </w:rPr>
        <w:t xml:space="preserve"> </w:t>
      </w:r>
      <w:proofErr w:type="spellStart"/>
      <w:r w:rsidRPr="000046DA">
        <w:rPr>
          <w:rFonts w:ascii="Calibri" w:hAnsi="Calibri" w:cs="Calibri"/>
          <w:color w:val="000000"/>
          <w:szCs w:val="22"/>
        </w:rPr>
        <w:t>Ratchathani</w:t>
      </w:r>
      <w:proofErr w:type="spellEnd"/>
      <w:r w:rsidRPr="000046DA">
        <w:rPr>
          <w:rFonts w:ascii="Calibri" w:hAnsi="Calibri" w:cs="Calibri"/>
          <w:color w:val="000000"/>
          <w:szCs w:val="22"/>
        </w:rPr>
        <w:t xml:space="preserve"> had no recorded residence village code; and 43 (0.27%) cases in </w:t>
      </w:r>
      <w:proofErr w:type="spellStart"/>
      <w:r w:rsidRPr="000046DA">
        <w:rPr>
          <w:rFonts w:ascii="Calibri" w:hAnsi="Calibri" w:cs="Calibri"/>
          <w:color w:val="000000"/>
          <w:szCs w:val="22"/>
        </w:rPr>
        <w:t>Ubon</w:t>
      </w:r>
      <w:proofErr w:type="spellEnd"/>
      <w:r w:rsidRPr="000046DA">
        <w:rPr>
          <w:rFonts w:ascii="Calibri" w:hAnsi="Calibri" w:cs="Calibri"/>
          <w:color w:val="000000"/>
          <w:szCs w:val="22"/>
        </w:rPr>
        <w:t xml:space="preserve"> had residence village codes that did not match with a village code in the list of villages.</w:t>
      </w:r>
    </w:p>
    <w:p w14:paraId="67F1002D" w14:textId="7C6F19E4" w:rsidR="00965D3D" w:rsidRPr="00E044E2" w:rsidRDefault="00965D3D" w:rsidP="00965D3D">
      <w:pPr>
        <w:spacing w:line="480" w:lineRule="auto"/>
        <w:rPr>
          <w:rFonts w:ascii="Calibri" w:hAnsi="Calibri" w:cs="Calibri"/>
          <w:b/>
          <w:bCs/>
          <w:color w:val="000000"/>
          <w:szCs w:val="22"/>
        </w:rPr>
      </w:pPr>
      <w:r w:rsidRPr="00E044E2">
        <w:rPr>
          <w:rFonts w:ascii="Calibri" w:hAnsi="Calibri" w:cs="Calibri"/>
          <w:b/>
          <w:bCs/>
          <w:color w:val="000000"/>
          <w:szCs w:val="22"/>
        </w:rPr>
        <w:t xml:space="preserve">Village </w:t>
      </w:r>
      <w:r>
        <w:rPr>
          <w:rFonts w:ascii="Calibri" w:hAnsi="Calibri" w:cs="Calibri"/>
          <w:b/>
          <w:bCs/>
          <w:color w:val="000000"/>
          <w:szCs w:val="22"/>
        </w:rPr>
        <w:t>GPS coordinates</w:t>
      </w:r>
    </w:p>
    <w:p w14:paraId="23A0BF73" w14:textId="5715292F" w:rsidR="00965D3D" w:rsidRPr="00565EFB" w:rsidRDefault="00965D3D" w:rsidP="00965D3D">
      <w:pPr>
        <w:spacing w:line="480" w:lineRule="auto"/>
        <w:jc w:val="thaiDistribute"/>
        <w:rPr>
          <w:lang w:val="en-US"/>
        </w:rPr>
      </w:pPr>
      <w:r w:rsidRPr="000046DA">
        <w:rPr>
          <w:rFonts w:ascii="Calibri" w:hAnsi="Calibri" w:cs="Calibri"/>
          <w:color w:val="000000"/>
          <w:szCs w:val="22"/>
        </w:rPr>
        <w:t xml:space="preserve">Three sources were used for </w:t>
      </w:r>
      <w:r>
        <w:rPr>
          <w:rFonts w:ascii="Calibri" w:hAnsi="Calibri" w:cs="Calibri"/>
          <w:color w:val="000000"/>
          <w:szCs w:val="22"/>
        </w:rPr>
        <w:t>village GPS coordinates</w:t>
      </w:r>
      <w:r w:rsidRPr="000046DA">
        <w:rPr>
          <w:rFonts w:ascii="Calibri" w:hAnsi="Calibri" w:cs="Calibri"/>
          <w:color w:val="000000"/>
          <w:szCs w:val="22"/>
        </w:rPr>
        <w:t xml:space="preserve">: (1) manually collected GPS coordinates by our field staff covering all villages in </w:t>
      </w:r>
      <w:proofErr w:type="spellStart"/>
      <w:r w:rsidRPr="000046DA">
        <w:rPr>
          <w:rFonts w:ascii="Calibri" w:hAnsi="Calibri" w:cs="Calibri"/>
          <w:color w:val="000000"/>
          <w:szCs w:val="22"/>
        </w:rPr>
        <w:t>Phu</w:t>
      </w:r>
      <w:proofErr w:type="spellEnd"/>
      <w:r w:rsidRPr="000046DA">
        <w:rPr>
          <w:rFonts w:ascii="Calibri" w:hAnsi="Calibri" w:cs="Calibri"/>
          <w:color w:val="000000"/>
          <w:szCs w:val="22"/>
        </w:rPr>
        <w:t xml:space="preserve"> Sing district in Si Sa </w:t>
      </w:r>
      <w:proofErr w:type="spellStart"/>
      <w:r w:rsidRPr="000046DA">
        <w:rPr>
          <w:rFonts w:ascii="Calibri" w:hAnsi="Calibri" w:cs="Calibri"/>
          <w:color w:val="000000"/>
          <w:szCs w:val="22"/>
        </w:rPr>
        <w:t>Ket</w:t>
      </w:r>
      <w:proofErr w:type="spellEnd"/>
      <w:r w:rsidRPr="000046DA">
        <w:rPr>
          <w:rFonts w:ascii="Calibri" w:hAnsi="Calibri" w:cs="Calibri"/>
          <w:color w:val="000000"/>
          <w:szCs w:val="22"/>
        </w:rPr>
        <w:t xml:space="preserve">, and Nam Yuen, Na </w:t>
      </w:r>
      <w:proofErr w:type="spellStart"/>
      <w:r w:rsidRPr="000046DA">
        <w:rPr>
          <w:rFonts w:ascii="Calibri" w:hAnsi="Calibri" w:cs="Calibri"/>
          <w:color w:val="000000"/>
          <w:szCs w:val="22"/>
        </w:rPr>
        <w:t>Chaluai</w:t>
      </w:r>
      <w:proofErr w:type="spellEnd"/>
      <w:r w:rsidRPr="000046DA">
        <w:rPr>
          <w:rFonts w:ascii="Calibri" w:hAnsi="Calibri" w:cs="Calibri"/>
          <w:color w:val="000000"/>
          <w:szCs w:val="22"/>
        </w:rPr>
        <w:t xml:space="preserve">, and </w:t>
      </w:r>
      <w:proofErr w:type="spellStart"/>
      <w:r w:rsidRPr="000046DA">
        <w:rPr>
          <w:rFonts w:ascii="Calibri" w:hAnsi="Calibri" w:cs="Calibri"/>
          <w:color w:val="000000"/>
          <w:szCs w:val="22"/>
        </w:rPr>
        <w:t>Buntharik</w:t>
      </w:r>
      <w:proofErr w:type="spellEnd"/>
      <w:r w:rsidRPr="000046DA">
        <w:rPr>
          <w:rFonts w:ascii="Calibri" w:hAnsi="Calibri" w:cs="Calibri"/>
          <w:color w:val="000000"/>
          <w:szCs w:val="22"/>
        </w:rPr>
        <w:t xml:space="preserve"> districts in </w:t>
      </w:r>
      <w:proofErr w:type="spellStart"/>
      <w:r w:rsidRPr="000046DA">
        <w:rPr>
          <w:rFonts w:ascii="Calibri" w:hAnsi="Calibri" w:cs="Calibri"/>
          <w:color w:val="000000"/>
          <w:szCs w:val="22"/>
        </w:rPr>
        <w:t>Ubon</w:t>
      </w:r>
      <w:proofErr w:type="spellEnd"/>
      <w:r w:rsidRPr="000046DA">
        <w:rPr>
          <w:rFonts w:ascii="Calibri" w:hAnsi="Calibri" w:cs="Calibri"/>
          <w:color w:val="000000"/>
          <w:szCs w:val="22"/>
        </w:rPr>
        <w:t xml:space="preserve">; (2) manually validated GPS coordinates in the DVBD surveillance database covering 26 of 771 (3.4%) of villages in </w:t>
      </w:r>
      <w:proofErr w:type="spellStart"/>
      <w:r w:rsidRPr="000046DA">
        <w:rPr>
          <w:rFonts w:ascii="Calibri" w:hAnsi="Calibri" w:cs="Calibri"/>
          <w:color w:val="000000"/>
          <w:szCs w:val="22"/>
        </w:rPr>
        <w:t>Kantharalak</w:t>
      </w:r>
      <w:proofErr w:type="spellEnd"/>
      <w:r w:rsidRPr="000046DA">
        <w:rPr>
          <w:rFonts w:ascii="Calibri" w:hAnsi="Calibri" w:cs="Calibri"/>
          <w:color w:val="000000"/>
          <w:szCs w:val="22"/>
        </w:rPr>
        <w:t xml:space="preserve"> district in Si Sa </w:t>
      </w:r>
      <w:proofErr w:type="spellStart"/>
      <w:r w:rsidRPr="000046DA">
        <w:rPr>
          <w:rFonts w:ascii="Calibri" w:hAnsi="Calibri" w:cs="Calibri"/>
          <w:color w:val="000000"/>
          <w:szCs w:val="22"/>
        </w:rPr>
        <w:t>Ket</w:t>
      </w:r>
      <w:proofErr w:type="spellEnd"/>
      <w:r w:rsidRPr="000046DA">
        <w:rPr>
          <w:rFonts w:ascii="Calibri" w:hAnsi="Calibri" w:cs="Calibri"/>
          <w:color w:val="000000"/>
          <w:szCs w:val="22"/>
        </w:rPr>
        <w:t xml:space="preserve">, and </w:t>
      </w:r>
      <w:proofErr w:type="spellStart"/>
      <w:r w:rsidRPr="000046DA">
        <w:rPr>
          <w:rFonts w:ascii="Calibri" w:hAnsi="Calibri" w:cs="Calibri"/>
          <w:color w:val="000000"/>
          <w:szCs w:val="22"/>
        </w:rPr>
        <w:t>Det</w:t>
      </w:r>
      <w:proofErr w:type="spellEnd"/>
      <w:r w:rsidRPr="000046DA">
        <w:rPr>
          <w:rFonts w:ascii="Calibri" w:hAnsi="Calibri" w:cs="Calibri"/>
          <w:color w:val="000000"/>
          <w:szCs w:val="22"/>
        </w:rPr>
        <w:t xml:space="preserve"> </w:t>
      </w:r>
      <w:proofErr w:type="spellStart"/>
      <w:r w:rsidRPr="000046DA">
        <w:rPr>
          <w:rFonts w:ascii="Calibri" w:hAnsi="Calibri" w:cs="Calibri"/>
          <w:color w:val="000000"/>
          <w:szCs w:val="22"/>
        </w:rPr>
        <w:t>Udom</w:t>
      </w:r>
      <w:proofErr w:type="spellEnd"/>
      <w:r w:rsidRPr="000046DA">
        <w:rPr>
          <w:rFonts w:ascii="Calibri" w:hAnsi="Calibri" w:cs="Calibri"/>
          <w:color w:val="000000"/>
          <w:szCs w:val="22"/>
        </w:rPr>
        <w:t xml:space="preserve">, </w:t>
      </w:r>
      <w:proofErr w:type="spellStart"/>
      <w:r w:rsidRPr="000046DA">
        <w:rPr>
          <w:rFonts w:ascii="Calibri" w:hAnsi="Calibri" w:cs="Calibri"/>
          <w:color w:val="000000"/>
          <w:szCs w:val="22"/>
        </w:rPr>
        <w:t>Sirindhorn</w:t>
      </w:r>
      <w:proofErr w:type="spellEnd"/>
      <w:r w:rsidRPr="000046DA">
        <w:rPr>
          <w:rFonts w:ascii="Calibri" w:hAnsi="Calibri" w:cs="Calibri"/>
          <w:color w:val="000000"/>
          <w:szCs w:val="22"/>
        </w:rPr>
        <w:t xml:space="preserve">, </w:t>
      </w:r>
      <w:proofErr w:type="spellStart"/>
      <w:r w:rsidRPr="000046DA">
        <w:rPr>
          <w:rFonts w:ascii="Calibri" w:hAnsi="Calibri" w:cs="Calibri"/>
          <w:color w:val="000000"/>
          <w:szCs w:val="22"/>
        </w:rPr>
        <w:t>Khong</w:t>
      </w:r>
      <w:proofErr w:type="spellEnd"/>
      <w:r w:rsidRPr="000046DA">
        <w:rPr>
          <w:rFonts w:ascii="Calibri" w:hAnsi="Calibri" w:cs="Calibri"/>
          <w:color w:val="000000"/>
          <w:szCs w:val="22"/>
        </w:rPr>
        <w:t xml:space="preserve"> </w:t>
      </w:r>
      <w:proofErr w:type="spellStart"/>
      <w:r w:rsidRPr="000046DA">
        <w:rPr>
          <w:rFonts w:ascii="Calibri" w:hAnsi="Calibri" w:cs="Calibri"/>
          <w:color w:val="000000"/>
          <w:szCs w:val="22"/>
        </w:rPr>
        <w:t>Chiam</w:t>
      </w:r>
      <w:proofErr w:type="spellEnd"/>
      <w:r w:rsidRPr="000046DA">
        <w:rPr>
          <w:rFonts w:ascii="Calibri" w:hAnsi="Calibri" w:cs="Calibri"/>
          <w:color w:val="000000"/>
          <w:szCs w:val="22"/>
        </w:rPr>
        <w:t xml:space="preserve">, and Si </w:t>
      </w:r>
      <w:proofErr w:type="spellStart"/>
      <w:r w:rsidRPr="000046DA">
        <w:rPr>
          <w:rFonts w:ascii="Calibri" w:hAnsi="Calibri" w:cs="Calibri"/>
          <w:color w:val="000000"/>
          <w:szCs w:val="22"/>
        </w:rPr>
        <w:t>Mueang</w:t>
      </w:r>
      <w:proofErr w:type="spellEnd"/>
      <w:r w:rsidRPr="000046DA">
        <w:rPr>
          <w:rFonts w:ascii="Calibri" w:hAnsi="Calibri" w:cs="Calibri"/>
          <w:color w:val="000000"/>
          <w:szCs w:val="22"/>
        </w:rPr>
        <w:t xml:space="preserve"> Mai in </w:t>
      </w:r>
      <w:proofErr w:type="spellStart"/>
      <w:r w:rsidRPr="000046DA">
        <w:rPr>
          <w:rFonts w:ascii="Calibri" w:hAnsi="Calibri" w:cs="Calibri"/>
          <w:color w:val="000000"/>
          <w:szCs w:val="22"/>
        </w:rPr>
        <w:t>Ubon</w:t>
      </w:r>
      <w:proofErr w:type="spellEnd"/>
      <w:r w:rsidRPr="000046DA">
        <w:rPr>
          <w:rFonts w:ascii="Calibri" w:hAnsi="Calibri" w:cs="Calibri"/>
          <w:color w:val="000000"/>
          <w:szCs w:val="22"/>
        </w:rPr>
        <w:t xml:space="preserve"> </w:t>
      </w:r>
      <w:proofErr w:type="spellStart"/>
      <w:r w:rsidRPr="000046DA">
        <w:rPr>
          <w:rFonts w:ascii="Calibri" w:hAnsi="Calibri" w:cs="Calibri"/>
          <w:color w:val="000000"/>
          <w:szCs w:val="22"/>
        </w:rPr>
        <w:t>Ratchathani</w:t>
      </w:r>
      <w:proofErr w:type="spellEnd"/>
      <w:r w:rsidRPr="000046DA">
        <w:rPr>
          <w:rFonts w:ascii="Calibri" w:hAnsi="Calibri" w:cs="Calibri"/>
          <w:color w:val="000000"/>
          <w:szCs w:val="22"/>
        </w:rPr>
        <w:t xml:space="preserve">; and (3) Street </w:t>
      </w:r>
      <w:proofErr w:type="spellStart"/>
      <w:r w:rsidRPr="000046DA">
        <w:rPr>
          <w:rFonts w:ascii="Calibri" w:hAnsi="Calibri" w:cs="Calibri"/>
          <w:color w:val="000000"/>
          <w:szCs w:val="22"/>
        </w:rPr>
        <w:t>Vew</w:t>
      </w:r>
      <w:proofErr w:type="spellEnd"/>
      <w:r w:rsidRPr="000046DA">
        <w:rPr>
          <w:rFonts w:ascii="Calibri" w:hAnsi="Calibri" w:cs="Calibri"/>
          <w:color w:val="000000"/>
          <w:szCs w:val="22"/>
        </w:rPr>
        <w:t xml:space="preserve"> in Google Maps for the 583 remaining villages.</w:t>
      </w:r>
    </w:p>
    <w:p w14:paraId="3D6C832E" w14:textId="0916FBB9" w:rsidR="007E37D1" w:rsidRDefault="007E37D1" w:rsidP="00965D3D">
      <w:pPr>
        <w:spacing w:line="480" w:lineRule="auto"/>
        <w:rPr>
          <w:rFonts w:ascii="Calibri" w:eastAsia="Times New Roman" w:hAnsi="Calibri" w:cs="Calibri"/>
          <w:b/>
          <w:bCs/>
          <w:color w:val="000000"/>
          <w:lang w:eastAsia="en-GB"/>
        </w:rPr>
      </w:pPr>
      <w:proofErr w:type="spellStart"/>
      <w:r>
        <w:rPr>
          <w:rFonts w:ascii="Calibri" w:eastAsia="Times New Roman" w:hAnsi="Calibri" w:cs="Calibri"/>
          <w:b/>
          <w:bCs/>
          <w:color w:val="000000"/>
          <w:lang w:eastAsia="en-GB"/>
        </w:rPr>
        <w:t>Getis</w:t>
      </w:r>
      <w:proofErr w:type="spellEnd"/>
      <w:r>
        <w:rPr>
          <w:rFonts w:ascii="Calibri" w:eastAsia="Times New Roman" w:hAnsi="Calibri" w:cs="Calibri"/>
          <w:b/>
          <w:bCs/>
          <w:color w:val="000000"/>
          <w:lang w:eastAsia="en-GB"/>
        </w:rPr>
        <w:t xml:space="preserve"> </w:t>
      </w:r>
      <w:proofErr w:type="spellStart"/>
      <w:r>
        <w:rPr>
          <w:rFonts w:ascii="Calibri" w:eastAsia="Times New Roman" w:hAnsi="Calibri" w:cs="Calibri"/>
          <w:b/>
          <w:bCs/>
          <w:color w:val="000000"/>
          <w:lang w:eastAsia="en-GB"/>
        </w:rPr>
        <w:t>ord</w:t>
      </w:r>
      <w:proofErr w:type="spellEnd"/>
      <w:r>
        <w:rPr>
          <w:rFonts w:ascii="Calibri" w:eastAsia="Times New Roman" w:hAnsi="Calibri" w:cs="Calibri"/>
          <w:b/>
          <w:bCs/>
          <w:color w:val="000000"/>
          <w:lang w:eastAsia="en-GB"/>
        </w:rPr>
        <w:t xml:space="preserve"> statistic</w:t>
      </w:r>
    </w:p>
    <w:p w14:paraId="51C38E7F" w14:textId="2C190654" w:rsidR="007E37D1" w:rsidRDefault="007E37D1" w:rsidP="00965D3D">
      <w:pPr>
        <w:spacing w:line="480" w:lineRule="auto"/>
        <w:rPr>
          <w:rFonts w:ascii="Calibri" w:eastAsia="Times New Roman" w:hAnsi="Calibri" w:cs="Calibri"/>
          <w:b/>
          <w:bCs/>
          <w:color w:val="000000"/>
          <w:lang w:eastAsia="en-GB"/>
        </w:rPr>
      </w:pPr>
      <w:r>
        <w:rPr>
          <w:rFonts w:ascii="Calibri" w:eastAsia="Times New Roman" w:hAnsi="Calibri" w:cs="Calibri"/>
          <w:color w:val="000000"/>
          <w:lang w:eastAsia="en-GB"/>
        </w:rPr>
        <w:t>T</w:t>
      </w:r>
      <w:r w:rsidRPr="000046DA">
        <w:rPr>
          <w:rFonts w:ascii="Calibri" w:eastAsia="Times New Roman" w:hAnsi="Calibri" w:cs="Calibri"/>
          <w:color w:val="000000"/>
          <w:lang w:eastAsia="en-GB"/>
        </w:rPr>
        <w:t>h</w:t>
      </w:r>
      <w:r>
        <w:rPr>
          <w:rFonts w:ascii="Calibri" w:eastAsia="Times New Roman" w:hAnsi="Calibri" w:cs="Calibri"/>
          <w:color w:val="000000"/>
          <w:lang w:eastAsia="en-GB"/>
        </w:rPr>
        <w:t>is tests for local spatial autocorrelation; it identifies</w:t>
      </w:r>
      <w:r w:rsidRPr="000046DA">
        <w:rPr>
          <w:rFonts w:ascii="Calibri" w:eastAsia="Times New Roman" w:hAnsi="Calibri" w:cs="Calibri"/>
          <w:color w:val="000000"/>
          <w:lang w:eastAsia="en-GB"/>
        </w:rPr>
        <w:t xml:space="preserve"> statistically significant </w:t>
      </w:r>
      <w:r>
        <w:rPr>
          <w:rFonts w:ascii="Calibri" w:eastAsia="Times New Roman" w:hAnsi="Calibri" w:cs="Calibri"/>
          <w:color w:val="000000"/>
          <w:lang w:eastAsia="en-GB"/>
        </w:rPr>
        <w:t>local</w:t>
      </w:r>
      <w:r w:rsidRPr="000046DA">
        <w:rPr>
          <w:rFonts w:ascii="Calibri" w:eastAsia="Times New Roman" w:hAnsi="Calibri" w:cs="Calibri"/>
          <w:color w:val="000000"/>
          <w:lang w:eastAsia="en-GB"/>
        </w:rPr>
        <w:t xml:space="preserve"> clusters of high values (hot spots) and low values (cold spots)</w:t>
      </w:r>
      <w:r>
        <w:rPr>
          <w:rFonts w:ascii="Calibri" w:eastAsia="Times New Roman" w:hAnsi="Calibri" w:cs="Calibri"/>
          <w:color w:val="000000"/>
          <w:lang w:eastAsia="en-GB"/>
        </w:rPr>
        <w:t xml:space="preserve"> in the spatial distribution of a variable (the API in this analysis)</w:t>
      </w:r>
      <w:r w:rsidRPr="000046DA">
        <w:rPr>
          <w:rFonts w:ascii="Calibri" w:eastAsia="Times New Roman" w:hAnsi="Calibri" w:cs="Calibri"/>
          <w:color w:val="000000"/>
          <w:lang w:eastAsia="en-GB"/>
        </w:rPr>
        <w:t>.</w:t>
      </w:r>
      <w:r>
        <w:rPr>
          <w:rFonts w:ascii="Calibri" w:eastAsia="Times New Roman" w:hAnsi="Calibri" w:cs="Calibri"/>
          <w:color w:val="000000"/>
          <w:lang w:eastAsia="en-GB"/>
        </w:rPr>
        <w:t xml:space="preserve"> It compares</w:t>
      </w:r>
      <w:r w:rsidRPr="000046DA">
        <w:rPr>
          <w:rFonts w:ascii="Calibri" w:eastAsia="Times New Roman" w:hAnsi="Calibri" w:cs="Calibri"/>
          <w:color w:val="000000"/>
          <w:lang w:eastAsia="en-GB"/>
        </w:rPr>
        <w:t xml:space="preserve"> whether the</w:t>
      </w:r>
      <w:r>
        <w:rPr>
          <w:rFonts w:ascii="Calibri" w:eastAsia="Times New Roman" w:hAnsi="Calibri" w:cs="Calibri"/>
          <w:color w:val="000000"/>
          <w:lang w:eastAsia="en-GB"/>
        </w:rPr>
        <w:t xml:space="preserve"> observed</w:t>
      </w:r>
      <w:r w:rsidRPr="000046DA">
        <w:rPr>
          <w:rFonts w:ascii="Calibri" w:eastAsia="Times New Roman" w:hAnsi="Calibri" w:cs="Calibri"/>
          <w:color w:val="000000"/>
          <w:lang w:eastAsia="en-GB"/>
        </w:rPr>
        <w:t xml:space="preserve"> </w:t>
      </w:r>
      <w:r w:rsidRPr="00B11201">
        <w:rPr>
          <w:rFonts w:ascii="Calibri" w:eastAsia="Times New Roman" w:hAnsi="Calibri" w:cs="Calibri"/>
          <w:color w:val="000000"/>
          <w:lang w:eastAsia="en-GB"/>
        </w:rPr>
        <w:t xml:space="preserve">local </w:t>
      </w:r>
      <w:r>
        <w:rPr>
          <w:rFonts w:ascii="Calibri" w:eastAsia="Times New Roman" w:hAnsi="Calibri" w:cs="Calibri"/>
          <w:color w:val="000000"/>
          <w:lang w:eastAsia="en-GB"/>
        </w:rPr>
        <w:t xml:space="preserve">sum of spatially weighted values </w:t>
      </w:r>
      <w:r w:rsidRPr="000046DA">
        <w:rPr>
          <w:rFonts w:ascii="Calibri" w:eastAsia="Times New Roman" w:hAnsi="Calibri" w:cs="Calibri"/>
          <w:color w:val="000000"/>
          <w:lang w:eastAsia="en-GB"/>
        </w:rPr>
        <w:t xml:space="preserve">for the feature and its neighbour </w:t>
      </w:r>
      <w:r w:rsidRPr="000F1547">
        <w:rPr>
          <w:rFonts w:ascii="Calibri" w:eastAsia="Times New Roman" w:hAnsi="Calibri" w:cs="Calibri"/>
          <w:color w:val="000000"/>
          <w:lang w:eastAsia="en-GB"/>
        </w:rPr>
        <w:t xml:space="preserve">(the </w:t>
      </w:r>
      <w:r>
        <w:rPr>
          <w:rFonts w:ascii="Calibri" w:eastAsia="Times New Roman" w:hAnsi="Calibri" w:cs="Calibri"/>
          <w:color w:val="000000"/>
          <w:lang w:eastAsia="en-GB"/>
        </w:rPr>
        <w:t>sum of</w:t>
      </w:r>
      <w:r w:rsidRPr="000F1547">
        <w:rPr>
          <w:rFonts w:ascii="Calibri" w:eastAsia="Times New Roman" w:hAnsi="Calibri" w:cs="Calibri"/>
          <w:color w:val="000000"/>
          <w:lang w:eastAsia="en-GB"/>
        </w:rPr>
        <w:t xml:space="preserve"> API</w:t>
      </w:r>
      <w:r>
        <w:rPr>
          <w:rFonts w:ascii="Calibri" w:eastAsia="Times New Roman" w:hAnsi="Calibri" w:cs="Calibri"/>
          <w:color w:val="000000"/>
          <w:lang w:eastAsia="en-GB"/>
        </w:rPr>
        <w:t xml:space="preserve"> values</w:t>
      </w:r>
      <w:r w:rsidRPr="000F1547">
        <w:rPr>
          <w:rFonts w:ascii="Calibri" w:eastAsia="Times New Roman" w:hAnsi="Calibri" w:cs="Calibri"/>
          <w:color w:val="000000"/>
          <w:lang w:eastAsia="en-GB"/>
        </w:rPr>
        <w:t xml:space="preserve"> </w:t>
      </w:r>
      <w:r>
        <w:rPr>
          <w:rFonts w:ascii="Calibri" w:eastAsia="Times New Roman" w:hAnsi="Calibri" w:cs="Calibri"/>
          <w:color w:val="000000"/>
          <w:lang w:eastAsia="en-GB"/>
        </w:rPr>
        <w:t>for</w:t>
      </w:r>
      <w:r w:rsidRPr="000F1547">
        <w:rPr>
          <w:rFonts w:ascii="Calibri" w:eastAsia="Times New Roman" w:hAnsi="Calibri" w:cs="Calibri"/>
          <w:color w:val="000000"/>
          <w:lang w:eastAsia="en-GB"/>
        </w:rPr>
        <w:t xml:space="preserve"> a subdistrict or </w:t>
      </w:r>
      <w:r>
        <w:rPr>
          <w:rFonts w:ascii="Calibri" w:eastAsia="Times New Roman" w:hAnsi="Calibri" w:cs="Calibri"/>
          <w:color w:val="000000"/>
          <w:lang w:eastAsia="en-GB"/>
        </w:rPr>
        <w:t>for</w:t>
      </w:r>
      <w:r w:rsidRPr="000F1547">
        <w:rPr>
          <w:rFonts w:ascii="Calibri" w:eastAsia="Times New Roman" w:hAnsi="Calibri" w:cs="Calibri"/>
          <w:color w:val="000000"/>
          <w:lang w:eastAsia="en-GB"/>
        </w:rPr>
        <w:t xml:space="preserve"> a village</w:t>
      </w:r>
      <w:r>
        <w:rPr>
          <w:rFonts w:ascii="Calibri" w:eastAsia="Times New Roman" w:hAnsi="Calibri" w:cs="Calibri"/>
          <w:color w:val="000000"/>
          <w:lang w:eastAsia="en-GB"/>
        </w:rPr>
        <w:t xml:space="preserve"> and its neighbour, weighted by how close they are</w:t>
      </w:r>
      <w:r w:rsidRPr="000F1547">
        <w:rPr>
          <w:rFonts w:ascii="Calibri" w:eastAsia="Times New Roman" w:hAnsi="Calibri" w:cs="Calibri"/>
          <w:color w:val="000000"/>
          <w:lang w:eastAsia="en-GB"/>
        </w:rPr>
        <w:t xml:space="preserve">) </w:t>
      </w:r>
      <w:r w:rsidRPr="000046DA">
        <w:rPr>
          <w:rFonts w:ascii="Calibri" w:eastAsia="Times New Roman" w:hAnsi="Calibri" w:cs="Calibri"/>
          <w:color w:val="000000"/>
          <w:lang w:eastAsia="en-GB"/>
        </w:rPr>
        <w:t xml:space="preserve">is significantly different from the </w:t>
      </w:r>
      <w:r w:rsidRPr="006F7435">
        <w:rPr>
          <w:rFonts w:ascii="Calibri" w:eastAsia="Times New Roman" w:hAnsi="Calibri" w:cs="Calibri"/>
          <w:color w:val="000000"/>
          <w:lang w:eastAsia="en-GB"/>
        </w:rPr>
        <w:t>global average</w:t>
      </w:r>
      <w:r w:rsidRPr="000046DA">
        <w:rPr>
          <w:rFonts w:ascii="Calibri" w:eastAsia="Times New Roman" w:hAnsi="Calibri" w:cs="Calibri"/>
          <w:color w:val="000000"/>
          <w:lang w:eastAsia="en-GB"/>
        </w:rPr>
        <w:t xml:space="preserve"> (the</w:t>
      </w:r>
      <w:r>
        <w:rPr>
          <w:rFonts w:ascii="Calibri" w:eastAsia="Times New Roman" w:hAnsi="Calibri" w:cs="Calibri"/>
          <w:color w:val="000000"/>
          <w:lang w:eastAsia="en-GB"/>
        </w:rPr>
        <w:t xml:space="preserve"> average</w:t>
      </w:r>
      <w:r w:rsidRPr="000046DA">
        <w:rPr>
          <w:rFonts w:ascii="Calibri" w:eastAsia="Times New Roman" w:hAnsi="Calibri" w:cs="Calibri"/>
          <w:color w:val="000000"/>
          <w:lang w:eastAsia="en-GB"/>
        </w:rPr>
        <w:t xml:space="preserve"> API</w:t>
      </w:r>
      <w:r>
        <w:rPr>
          <w:rFonts w:ascii="Calibri" w:eastAsia="Times New Roman" w:hAnsi="Calibri" w:cs="Calibri"/>
          <w:color w:val="000000"/>
          <w:lang w:eastAsia="en-GB"/>
        </w:rPr>
        <w:t xml:space="preserve"> for</w:t>
      </w:r>
      <w:r w:rsidRPr="000046DA">
        <w:rPr>
          <w:rFonts w:ascii="Calibri" w:eastAsia="Times New Roman" w:hAnsi="Calibri" w:cs="Calibri"/>
          <w:color w:val="000000"/>
          <w:lang w:eastAsia="en-GB"/>
        </w:rPr>
        <w:t xml:space="preserve"> all subdistricts or </w:t>
      </w:r>
      <w:r>
        <w:rPr>
          <w:rFonts w:ascii="Calibri" w:eastAsia="Times New Roman" w:hAnsi="Calibri" w:cs="Calibri"/>
          <w:color w:val="000000"/>
          <w:lang w:eastAsia="en-GB"/>
        </w:rPr>
        <w:t>for</w:t>
      </w:r>
      <w:r w:rsidRPr="000046DA">
        <w:rPr>
          <w:rFonts w:ascii="Calibri" w:eastAsia="Times New Roman" w:hAnsi="Calibri" w:cs="Calibri"/>
          <w:color w:val="000000"/>
          <w:lang w:eastAsia="en-GB"/>
        </w:rPr>
        <w:t xml:space="preserve"> all villages)</w:t>
      </w:r>
      <w:r>
        <w:rPr>
          <w:rFonts w:ascii="Calibri" w:eastAsia="Times New Roman" w:hAnsi="Calibri" w:cs="Calibri"/>
          <w:color w:val="000000"/>
          <w:lang w:eastAsia="en-GB"/>
        </w:rPr>
        <w:t xml:space="preserve"> u</w:t>
      </w:r>
      <w:r w:rsidRPr="005B18C5">
        <w:rPr>
          <w:rFonts w:ascii="Calibri" w:eastAsia="Times New Roman" w:hAnsi="Calibri" w:cs="Calibri"/>
          <w:color w:val="000000"/>
          <w:lang w:eastAsia="en-GB"/>
        </w:rPr>
        <w:t>nder the null hypothesis of complete spatial randomness</w:t>
      </w:r>
      <w:r>
        <w:rPr>
          <w:rFonts w:ascii="Calibri" w:eastAsia="Times New Roman" w:hAnsi="Calibri" w:cs="Calibri"/>
          <w:color w:val="000000"/>
          <w:lang w:eastAsia="en-GB"/>
        </w:rPr>
        <w:t>; i.e., what would be expected if values were randomly distributed across the study area</w:t>
      </w:r>
      <w:r w:rsidRPr="000046DA">
        <w:rPr>
          <w:rFonts w:ascii="Calibri" w:eastAsia="Times New Roman" w:hAnsi="Calibri" w:cs="Calibri"/>
          <w:color w:val="000000"/>
          <w:lang w:eastAsia="en-GB"/>
        </w:rPr>
        <w:t>. The statistic yields a z-score (Gi*) and p-value for each feature. The z-score is the standard deviation, with a large positive z-score indicating spatial clustering of high values and large negative z-score indicating spatial clustering of low values. The p-value is the probability that the observed spatial clustering is the result of random chance. Using 90%, 95%, and 99% confidence levels, hot spots are identified if they have a p-value smaller than 0.10, 0.50, and 0.01 and a z-score greater than 1.65, 1.96, and 2.58 (smaller than −1.65, –1.96, and –2.58 for cold spots), respectively.</w:t>
      </w:r>
    </w:p>
    <w:p w14:paraId="52DB7873" w14:textId="33AAE052" w:rsidR="00965D3D" w:rsidRPr="00AD6EC6" w:rsidRDefault="00965D3D" w:rsidP="00965D3D">
      <w:pPr>
        <w:spacing w:line="480" w:lineRule="auto"/>
        <w:rPr>
          <w:rFonts w:ascii="Calibri" w:eastAsia="Times New Roman" w:hAnsi="Calibri" w:cs="Calibri"/>
          <w:b/>
          <w:bCs/>
          <w:color w:val="000000"/>
          <w:lang w:eastAsia="en-GB"/>
        </w:rPr>
      </w:pPr>
      <w:r w:rsidRPr="00AD6EC6">
        <w:rPr>
          <w:rFonts w:ascii="Calibri" w:eastAsia="Times New Roman" w:hAnsi="Calibri" w:cs="Calibri"/>
          <w:b/>
          <w:bCs/>
          <w:color w:val="000000"/>
          <w:lang w:eastAsia="en-GB"/>
        </w:rPr>
        <w:t>Village hot spot stability</w:t>
      </w:r>
    </w:p>
    <w:p w14:paraId="48A8C3B8" w14:textId="77777777" w:rsidR="00965D3D" w:rsidRPr="006D098A" w:rsidRDefault="00965D3D" w:rsidP="00965D3D">
      <w:pPr>
        <w:spacing w:line="480" w:lineRule="auto"/>
        <w:jc w:val="thaiDistribute"/>
        <w:rPr>
          <w:rFonts w:ascii="Calibri" w:eastAsia="Times New Roman" w:hAnsi="Calibri" w:cs="Calibri"/>
          <w:color w:val="000000"/>
          <w:lang w:eastAsia="en-GB"/>
        </w:rPr>
      </w:pPr>
      <w:r w:rsidRPr="000046DA">
        <w:rPr>
          <w:rFonts w:ascii="Calibri" w:eastAsia="Times New Roman" w:hAnsi="Calibri" w:cs="Calibri"/>
          <w:color w:val="000000"/>
          <w:lang w:eastAsia="en-GB"/>
        </w:rPr>
        <w:t>The density of the number of years was estimated using the Kernel Density tool in ArcGIS Pro version 3.1.0. The tool calculates a magnitude-per-unit area by fitting a smoothly curved surface over each observation using the quartic kernel function. The surface value is maximal at the location of the observation (village) and decreases as it approaches the given bandwidth. The density at each output raster cell is estimated by summing up the values of all the kernel surfaces that overlay the raster cell centre. The tool parameters were set as the bandwidth at 8,547 metres; the area unit of the output density in square kilometres; and the output cell size at 500 metres.</w:t>
      </w:r>
      <w:r>
        <w:rPr>
          <w:rFonts w:ascii="Calibri" w:eastAsia="Times New Roman" w:hAnsi="Calibri" w:cs="Calibri"/>
          <w:color w:val="000000"/>
          <w:lang w:eastAsia="en-GB"/>
        </w:rPr>
        <w:t xml:space="preserve"> </w:t>
      </w:r>
      <w:r w:rsidRPr="000046DA">
        <w:rPr>
          <w:rFonts w:ascii="Calibri" w:eastAsia="Times New Roman" w:hAnsi="Calibri" w:cs="Calibri"/>
          <w:color w:val="000000"/>
          <w:lang w:eastAsia="en-GB"/>
        </w:rPr>
        <w:t>The resultant density values were then converted to proportions by dividing each cell value by the maximum density value for the corresponding case type.</w:t>
      </w:r>
    </w:p>
    <w:p w14:paraId="057CB499" w14:textId="77777777" w:rsidR="00965D3D" w:rsidRPr="00A761F8" w:rsidRDefault="00965D3D" w:rsidP="00965D3D">
      <w:pPr>
        <w:spacing w:line="480" w:lineRule="auto"/>
        <w:rPr>
          <w:rFonts w:ascii="Calibri" w:eastAsia="Times New Roman" w:hAnsi="Calibri" w:cs="Calibri"/>
          <w:b/>
          <w:bCs/>
          <w:color w:val="000000"/>
          <w:lang w:eastAsia="en-GB"/>
        </w:rPr>
      </w:pPr>
      <w:bookmarkStart w:id="1" w:name="_Hlk167914708"/>
      <w:r w:rsidRPr="00A761F8">
        <w:rPr>
          <w:rFonts w:ascii="Calibri" w:eastAsia="Times New Roman" w:hAnsi="Calibri" w:cs="Calibri"/>
          <w:b/>
          <w:bCs/>
          <w:color w:val="000000"/>
          <w:lang w:eastAsia="en-GB"/>
        </w:rPr>
        <w:t>Absolute change in the proportion of API density from baseline</w:t>
      </w:r>
    </w:p>
    <w:bookmarkEnd w:id="1"/>
    <w:p w14:paraId="5A7C3E38" w14:textId="75A5319E" w:rsidR="00965D3D" w:rsidRDefault="00965D3D" w:rsidP="00965D3D">
      <w:pPr>
        <w:spacing w:line="480" w:lineRule="auto"/>
        <w:jc w:val="thaiDistribute"/>
        <w:rPr>
          <w:rFonts w:ascii="Calibri" w:eastAsia="Times New Roman" w:hAnsi="Calibri" w:cs="Calibri"/>
          <w:color w:val="000000"/>
          <w:lang w:eastAsia="en-GB"/>
        </w:rPr>
      </w:pPr>
      <w:r w:rsidRPr="000046DA">
        <w:rPr>
          <w:rFonts w:ascii="Calibri" w:eastAsia="Times New Roman" w:hAnsi="Calibri" w:cs="Calibri"/>
          <w:color w:val="000000"/>
          <w:lang w:eastAsia="en-GB"/>
        </w:rPr>
        <w:t>For each case classification and parasite species, the density of API was calculated at and from each village each year using the Kernel Density tool in ArcGIS Pro version 3.1.0 with the same parameter</w:t>
      </w:r>
      <w:r>
        <w:rPr>
          <w:rFonts w:ascii="Calibri" w:eastAsia="Times New Roman" w:hAnsi="Calibri" w:cs="Calibri"/>
          <w:color w:val="000000"/>
          <w:lang w:eastAsia="en-GB"/>
        </w:rPr>
        <w:t xml:space="preserve"> value</w:t>
      </w:r>
      <w:r w:rsidRPr="000046DA">
        <w:rPr>
          <w:rFonts w:ascii="Calibri" w:eastAsia="Times New Roman" w:hAnsi="Calibri" w:cs="Calibri"/>
          <w:color w:val="000000"/>
          <w:lang w:eastAsia="en-GB"/>
        </w:rPr>
        <w:t xml:space="preserve">s as </w:t>
      </w:r>
      <w:r>
        <w:rPr>
          <w:rFonts w:ascii="Calibri" w:eastAsia="Times New Roman" w:hAnsi="Calibri" w:cs="Calibri"/>
          <w:color w:val="000000"/>
          <w:lang w:eastAsia="en-GB"/>
        </w:rPr>
        <w:t>the village hot spot stability analysis</w:t>
      </w:r>
      <w:r w:rsidRPr="000046DA">
        <w:rPr>
          <w:rFonts w:ascii="Calibri" w:eastAsia="Times New Roman" w:hAnsi="Calibri" w:cs="Calibri"/>
          <w:color w:val="000000"/>
          <w:lang w:eastAsia="en-GB"/>
        </w:rPr>
        <w:t>. The proportion of API density was calculated by dividing each cell value by the maximum density value</w:t>
      </w:r>
      <w:r w:rsidRPr="000046DA">
        <w:rPr>
          <w:rFonts w:ascii="Calibri" w:eastAsia="Times New Roman" w:hAnsi="Calibri"/>
          <w:color w:val="000000"/>
          <w:cs/>
          <w:lang w:eastAsia="en-GB"/>
        </w:rPr>
        <w:t xml:space="preserve"> </w:t>
      </w:r>
      <w:r w:rsidRPr="000046DA">
        <w:rPr>
          <w:rFonts w:ascii="Calibri" w:eastAsia="Times New Roman" w:hAnsi="Calibri"/>
          <w:color w:val="000000"/>
          <w:lang w:eastAsia="en-GB"/>
        </w:rPr>
        <w:t>from all years</w:t>
      </w:r>
      <w:r w:rsidRPr="000046DA">
        <w:rPr>
          <w:rFonts w:ascii="Calibri" w:eastAsia="Times New Roman" w:hAnsi="Calibri" w:cs="Calibri"/>
          <w:color w:val="000000"/>
          <w:lang w:eastAsia="en-GB"/>
        </w:rPr>
        <w:t xml:space="preserve"> for the corresponding case type. To calculate the absolute change from baseline for each case type each year, the baseline proportion for that case type was subtracted from the proportion of API density for that case type that year.</w:t>
      </w:r>
    </w:p>
    <w:p w14:paraId="5D6D60AD" w14:textId="11329708" w:rsidR="005A4288" w:rsidRDefault="005A4288" w:rsidP="00965D3D">
      <w:pPr>
        <w:spacing w:line="480" w:lineRule="auto"/>
        <w:jc w:val="thaiDistribute"/>
        <w:rPr>
          <w:rFonts w:ascii="Calibri" w:eastAsia="Times New Roman" w:hAnsi="Calibri" w:cs="Calibri"/>
          <w:color w:val="000000"/>
          <w:lang w:eastAsia="en-GB"/>
        </w:rPr>
      </w:pPr>
    </w:p>
    <w:p w14:paraId="5CD8D742" w14:textId="43532662" w:rsidR="005A4288" w:rsidRPr="005A4288" w:rsidRDefault="005A4288" w:rsidP="00965D3D">
      <w:pPr>
        <w:spacing w:line="480" w:lineRule="auto"/>
        <w:jc w:val="thaiDistribute"/>
        <w:rPr>
          <w:rFonts w:ascii="Calibri" w:eastAsia="Times New Roman" w:hAnsi="Calibri" w:cs="Calibri"/>
          <w:b/>
          <w:bCs/>
          <w:color w:val="000000"/>
          <w:lang w:eastAsia="en-GB"/>
        </w:rPr>
      </w:pPr>
      <w:r w:rsidRPr="005A4288">
        <w:rPr>
          <w:rFonts w:ascii="Calibri" w:eastAsia="Times New Roman" w:hAnsi="Calibri" w:cs="Calibri"/>
          <w:b/>
          <w:bCs/>
          <w:color w:val="000000"/>
          <w:lang w:eastAsia="en-GB"/>
        </w:rPr>
        <w:t>References</w:t>
      </w:r>
    </w:p>
    <w:p w14:paraId="3FB4D41C" w14:textId="77777777" w:rsidR="00960BB1" w:rsidRPr="00960BB1" w:rsidRDefault="00960BB1" w:rsidP="00960BB1">
      <w:pPr>
        <w:pStyle w:val="Bibliography"/>
        <w:rPr>
          <w:rFonts w:ascii="Calibri" w:hAnsi="Calibri" w:cs="Calibri"/>
        </w:rPr>
      </w:pPr>
      <w:r>
        <w:fldChar w:fldCharType="begin"/>
      </w:r>
      <w:r>
        <w:instrText xml:space="preserve"> ADDIN ZOTERO_BIBL {"uncited":[],"omitted":[],"custom":[]} CSL_BIBLIOGRAPHY </w:instrText>
      </w:r>
      <w:r>
        <w:fldChar w:fldCharType="separate"/>
      </w:r>
      <w:r w:rsidRPr="00960BB1">
        <w:rPr>
          <w:rFonts w:ascii="Calibri" w:hAnsi="Calibri" w:cs="Calibri"/>
        </w:rPr>
        <w:t>1.</w:t>
      </w:r>
      <w:r w:rsidRPr="00960BB1">
        <w:rPr>
          <w:rFonts w:ascii="Calibri" w:hAnsi="Calibri" w:cs="Calibri"/>
        </w:rPr>
        <w:tab/>
        <w:t>House and housing registration [Internet]. [cited 2023 Sep 20]. Available from: https://www.bora.dopa.go.th/CallCenter1548/index.php/menu-population/13-service-handbook/population/23-population-house</w:t>
      </w:r>
    </w:p>
    <w:p w14:paraId="67F45D95" w14:textId="34F03DDC" w:rsidR="005A4288" w:rsidRPr="00965D3D" w:rsidRDefault="00960BB1" w:rsidP="00965D3D">
      <w:pPr>
        <w:spacing w:line="480" w:lineRule="auto"/>
        <w:jc w:val="thaiDistribute"/>
      </w:pPr>
      <w:r>
        <w:fldChar w:fldCharType="end"/>
      </w:r>
      <w:bookmarkStart w:id="2" w:name="_GoBack"/>
      <w:bookmarkEnd w:id="2"/>
    </w:p>
    <w:sectPr w:rsidR="005A4288" w:rsidRPr="00965D3D" w:rsidSect="00212A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965D3D"/>
    <w:rsid w:val="00212AA1"/>
    <w:rsid w:val="005A4288"/>
    <w:rsid w:val="007E37D1"/>
    <w:rsid w:val="008744AF"/>
    <w:rsid w:val="00907504"/>
    <w:rsid w:val="00960BB1"/>
    <w:rsid w:val="00965D3D"/>
    <w:rsid w:val="00CD6D0D"/>
    <w:rsid w:val="00ED655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C1AAD"/>
  <w15:chartTrackingRefBased/>
  <w15:docId w15:val="{78907679-C463-4316-8152-3ED0B9357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965D3D"/>
  </w:style>
  <w:style w:type="paragraph" w:styleId="Bibliography">
    <w:name w:val="Bibliography"/>
    <w:basedOn w:val="Normal"/>
    <w:next w:val="Normal"/>
    <w:uiPriority w:val="37"/>
    <w:unhideWhenUsed/>
    <w:rsid w:val="00960BB1"/>
    <w:pPr>
      <w:tabs>
        <w:tab w:val="left" w:pos="264"/>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795</Words>
  <Characters>4535</Characters>
  <Application>Microsoft Office Word</Application>
  <DocSecurity>0</DocSecurity>
  <Lines>37</Lines>
  <Paragraphs>10</Paragraphs>
  <ScaleCrop>false</ScaleCrop>
  <Company/>
  <LinksUpToDate>false</LinksUpToDate>
  <CharactersWithSpaces>5320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Kulchada Pongsoipetch</dc:creator>
  <cp:keywords/>
  <dc:description/>
  <cp:lastModifiedBy>Poornima Thiruvudaiselvi</cp:lastModifiedBy>
  <cp:revision>6</cp:revision>
  <dcterms:created xsi:type="dcterms:W3CDTF">2024-06-12T15:41:00Z</dcterms:created>
  <dcterms:modified xsi:type="dcterms:W3CDTF">2024-06-26T04:31:00Z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id="NKf2dy8u"/&gt;&lt;style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