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AD35B" w14:textId="7656C8EB" w:rsidR="00175EA5" w:rsidRPr="00680F94" w:rsidRDefault="00175EA5" w:rsidP="00175EA5">
      <w:pPr>
        <w:spacing w:line="360" w:lineRule="auto"/>
        <w:rPr>
          <w:b/>
          <w:bCs/>
          <w:lang w:val="en-US"/>
        </w:rPr>
      </w:pPr>
      <w:r>
        <w:rPr>
          <w:b/>
          <w:bCs/>
          <w:lang w:val="en-US"/>
        </w:rPr>
        <w:t xml:space="preserve">Additional file 2: </w:t>
      </w:r>
      <w:r w:rsidRPr="00680F94">
        <w:rPr>
          <w:b/>
          <w:bCs/>
          <w:lang w:val="en-US"/>
        </w:rPr>
        <w:t>Description of PDMC approach</w:t>
      </w:r>
    </w:p>
    <w:p w14:paraId="398B0E52" w14:textId="77777777" w:rsidR="00175EA5" w:rsidRPr="00175EA5" w:rsidRDefault="00175EA5" w:rsidP="00175EA5">
      <w:pPr>
        <w:spacing w:line="360" w:lineRule="auto"/>
        <w:rPr>
          <w:b/>
          <w:bCs/>
          <w:lang w:val="en-US"/>
        </w:rPr>
      </w:pPr>
      <w:r w:rsidRPr="00175EA5">
        <w:rPr>
          <w:b/>
          <w:bCs/>
          <w:lang w:val="en-US"/>
        </w:rPr>
        <w:t>Background</w:t>
      </w:r>
    </w:p>
    <w:p w14:paraId="26B12579" w14:textId="6243AEF5" w:rsidR="00175EA5" w:rsidRPr="00DD25AB" w:rsidRDefault="00175EA5" w:rsidP="00175EA5">
      <w:pPr>
        <w:spacing w:line="360" w:lineRule="auto"/>
        <w:rPr>
          <w:lang w:val="en-US"/>
        </w:rPr>
      </w:pPr>
      <w:r w:rsidRPr="00DD25AB">
        <w:rPr>
          <w:lang w:val="en-US"/>
        </w:rPr>
        <w:t xml:space="preserve">Severe </w:t>
      </w:r>
      <w:proofErr w:type="spellStart"/>
      <w:r w:rsidRPr="00DD25AB">
        <w:rPr>
          <w:lang w:val="en-US"/>
        </w:rPr>
        <w:t>anaemia</w:t>
      </w:r>
      <w:proofErr w:type="spellEnd"/>
      <w:r w:rsidRPr="00DD25AB">
        <w:rPr>
          <w:lang w:val="en-US"/>
        </w:rPr>
        <w:t xml:space="preserve"> is a leading cause of hospital admissions in Africa and contributes substantially to </w:t>
      </w:r>
      <w:proofErr w:type="spellStart"/>
      <w:r w:rsidRPr="00DD25AB">
        <w:rPr>
          <w:lang w:val="en-US"/>
        </w:rPr>
        <w:t>paediatric</w:t>
      </w:r>
      <w:proofErr w:type="spellEnd"/>
      <w:r w:rsidRPr="00DD25AB">
        <w:rPr>
          <w:lang w:val="en-US"/>
        </w:rPr>
        <w:t xml:space="preserve"> morbidity and mortality. Children are at high risk of dying both during the acute phase, while they are at the hospital, but also for several months after they leave hospital. While management of malaria and severe </w:t>
      </w:r>
      <w:proofErr w:type="spellStart"/>
      <w:r w:rsidRPr="00DD25AB">
        <w:rPr>
          <w:lang w:val="en-US"/>
        </w:rPr>
        <w:t>anaemia</w:t>
      </w:r>
      <w:proofErr w:type="spellEnd"/>
      <w:r w:rsidRPr="00DD25AB">
        <w:rPr>
          <w:lang w:val="en-US"/>
        </w:rPr>
        <w:t xml:space="preserve"> follow well-established protocols when patients are in the hospital, systematic follow-up management has not been established for the post discharge period.</w:t>
      </w:r>
    </w:p>
    <w:p w14:paraId="52A864B2" w14:textId="77777777" w:rsidR="00175EA5" w:rsidRPr="00175EA5" w:rsidRDefault="00175EA5" w:rsidP="00175EA5">
      <w:pPr>
        <w:spacing w:line="360" w:lineRule="auto"/>
        <w:rPr>
          <w:b/>
          <w:bCs/>
          <w:lang w:val="en-US"/>
        </w:rPr>
      </w:pPr>
      <w:r w:rsidRPr="00175EA5">
        <w:rPr>
          <w:b/>
          <w:bCs/>
          <w:lang w:val="en-US"/>
        </w:rPr>
        <w:t>WHO recommendation</w:t>
      </w:r>
    </w:p>
    <w:p w14:paraId="212BDD34" w14:textId="599BDD8C" w:rsidR="00175EA5" w:rsidRPr="00DD25AB" w:rsidRDefault="00175EA5" w:rsidP="00175EA5">
      <w:pPr>
        <w:spacing w:line="360" w:lineRule="auto"/>
        <w:rPr>
          <w:lang w:val="en-US"/>
        </w:rPr>
      </w:pPr>
      <w:r w:rsidRPr="00DD25AB">
        <w:rPr>
          <w:lang w:val="en-US"/>
        </w:rPr>
        <w:t xml:space="preserve">On 3 June 2022, the WHO published its consolidated guidelines for malaria chemoprevention and elimination. They issued a recommendation in favor of post-discharge malaria chemoprevention (PDMC). They stated that “this is a strategy aimed at preventing malaria among children with severe </w:t>
      </w:r>
      <w:proofErr w:type="spellStart"/>
      <w:r w:rsidRPr="00DD25AB">
        <w:rPr>
          <w:lang w:val="en-US"/>
        </w:rPr>
        <w:t>anaemia</w:t>
      </w:r>
      <w:proofErr w:type="spellEnd"/>
      <w:r w:rsidRPr="00DD25AB">
        <w:rPr>
          <w:lang w:val="en-US"/>
        </w:rPr>
        <w:t xml:space="preserve"> living in areas of moderate-to-high trans-mission after they are discharged from a hospital, when they are at high risk of re-admission or death. Through PDMC, children are given a full antimalarial treatment course at regular intervals.”</w:t>
      </w:r>
    </w:p>
    <w:p w14:paraId="4EBA3D39" w14:textId="77777777" w:rsidR="00175EA5" w:rsidRPr="00175EA5" w:rsidRDefault="00175EA5" w:rsidP="00175EA5">
      <w:pPr>
        <w:spacing w:line="360" w:lineRule="auto"/>
        <w:rPr>
          <w:b/>
          <w:bCs/>
          <w:lang w:val="en-US"/>
        </w:rPr>
      </w:pPr>
      <w:r w:rsidRPr="00175EA5">
        <w:rPr>
          <w:b/>
          <w:bCs/>
          <w:lang w:val="en-US"/>
        </w:rPr>
        <w:t>The intervention</w:t>
      </w:r>
    </w:p>
    <w:p w14:paraId="59CB8F6B" w14:textId="77777777" w:rsidR="00175EA5" w:rsidRPr="00DD25AB" w:rsidRDefault="00175EA5" w:rsidP="00175EA5">
      <w:pPr>
        <w:spacing w:line="360" w:lineRule="auto"/>
        <w:rPr>
          <w:lang w:val="en-US"/>
        </w:rPr>
      </w:pPr>
      <w:r w:rsidRPr="00DD25AB">
        <w:rPr>
          <w:lang w:val="en-US"/>
        </w:rPr>
        <w:t xml:space="preserve">The main objective of PDMC is to routinely prevent malaria by giving antimalarial drugs to children hospitalized for severe </w:t>
      </w:r>
      <w:proofErr w:type="spellStart"/>
      <w:r w:rsidRPr="00DD25AB">
        <w:rPr>
          <w:lang w:val="en-US"/>
        </w:rPr>
        <w:t>anaemia</w:t>
      </w:r>
      <w:proofErr w:type="spellEnd"/>
      <w:r w:rsidRPr="00DD25AB">
        <w:rPr>
          <w:lang w:val="en-US"/>
        </w:rPr>
        <w:t xml:space="preserve">. The PDMC intervention consists in the administration of an oral antimalarial drugs </w:t>
      </w:r>
      <w:proofErr w:type="gramStart"/>
      <w:r w:rsidRPr="00DD25AB">
        <w:rPr>
          <w:lang w:val="en-US"/>
        </w:rPr>
        <w:t>on a monthly basis</w:t>
      </w:r>
      <w:proofErr w:type="gramEnd"/>
      <w:r w:rsidRPr="00DD25AB">
        <w:rPr>
          <w:lang w:val="en-US"/>
        </w:rPr>
        <w:t xml:space="preserve"> during the first 3 to 6 months after discharge from hospital. If the cause of severe </w:t>
      </w:r>
      <w:proofErr w:type="spellStart"/>
      <w:r w:rsidRPr="00DD25AB">
        <w:rPr>
          <w:lang w:val="en-US"/>
        </w:rPr>
        <w:t>anaemia</w:t>
      </w:r>
      <w:proofErr w:type="spellEnd"/>
      <w:r w:rsidRPr="00DD25AB">
        <w:rPr>
          <w:lang w:val="en-US"/>
        </w:rPr>
        <w:t xml:space="preserve"> was malaria, patients first receive the standard of care to treat malaria (injectable artesunate in cases of severe malaria, followed by a course of oral ACT), and then continue with PDMC.</w:t>
      </w:r>
    </w:p>
    <w:p w14:paraId="3A7B6310" w14:textId="77777777" w:rsidR="00175EA5" w:rsidRPr="00175EA5" w:rsidRDefault="00175EA5" w:rsidP="00175EA5">
      <w:pPr>
        <w:spacing w:line="360" w:lineRule="auto"/>
        <w:rPr>
          <w:b/>
          <w:bCs/>
          <w:lang w:val="en-US"/>
        </w:rPr>
      </w:pPr>
      <w:r w:rsidRPr="00175EA5">
        <w:rPr>
          <w:b/>
          <w:bCs/>
          <w:lang w:val="en-US"/>
        </w:rPr>
        <w:t>Efficacy</w:t>
      </w:r>
    </w:p>
    <w:p w14:paraId="2A94348E" w14:textId="4B707957" w:rsidR="00175EA5" w:rsidRPr="00DD25AB" w:rsidRDefault="00175EA5" w:rsidP="00175EA5">
      <w:pPr>
        <w:spacing w:line="360" w:lineRule="auto"/>
        <w:rPr>
          <w:lang w:val="en-US"/>
        </w:rPr>
      </w:pPr>
      <w:r w:rsidRPr="00DD25AB">
        <w:rPr>
          <w:lang w:val="en-US"/>
        </w:rPr>
        <w:t xml:space="preserve">Efficacy of PDMC has been demonstrated in three clinical trials performed in the Gambia, Malawi, Kenya and Uganda using either: </w:t>
      </w:r>
      <w:proofErr w:type="spellStart"/>
      <w:r w:rsidRPr="00DD25AB">
        <w:rPr>
          <w:lang w:val="en-US"/>
        </w:rPr>
        <w:t>Sulfadoxine</w:t>
      </w:r>
      <w:proofErr w:type="spellEnd"/>
      <w:r w:rsidRPr="00DD25AB">
        <w:rPr>
          <w:lang w:val="en-US"/>
        </w:rPr>
        <w:t xml:space="preserve">-pyrimethamine (SP), artemether-lumefantrine (AL), or </w:t>
      </w:r>
      <w:proofErr w:type="spellStart"/>
      <w:r w:rsidRPr="00DD25AB">
        <w:rPr>
          <w:lang w:val="en-US"/>
        </w:rPr>
        <w:t>dihydroartemisinin</w:t>
      </w:r>
      <w:proofErr w:type="spellEnd"/>
      <w:r w:rsidRPr="00DD25AB">
        <w:rPr>
          <w:lang w:val="en-US"/>
        </w:rPr>
        <w:t>-piperaquine (DHA-PQ). The key findings from these clinical trials were as follows:</w:t>
      </w:r>
    </w:p>
    <w:p w14:paraId="12B0F9F7" w14:textId="5BB6CE87" w:rsidR="00175EA5" w:rsidRPr="00175EA5" w:rsidRDefault="00175EA5" w:rsidP="00175EA5">
      <w:pPr>
        <w:pStyle w:val="ListParagraph"/>
        <w:numPr>
          <w:ilvl w:val="0"/>
          <w:numId w:val="2"/>
        </w:numPr>
        <w:spacing w:line="360" w:lineRule="auto"/>
        <w:rPr>
          <w:lang w:val="en-US"/>
        </w:rPr>
      </w:pPr>
      <w:r w:rsidRPr="00175EA5">
        <w:rPr>
          <w:lang w:val="en-US"/>
        </w:rPr>
        <w:t>PDMC is associated with a 77% reduction in all-cause mortality and 58% reduction in all-cause readmissions.</w:t>
      </w:r>
    </w:p>
    <w:p w14:paraId="2A722C0F" w14:textId="427F450F" w:rsidR="00175EA5" w:rsidRPr="00175EA5" w:rsidRDefault="00175EA5" w:rsidP="00175EA5">
      <w:pPr>
        <w:pStyle w:val="ListParagraph"/>
        <w:numPr>
          <w:ilvl w:val="0"/>
          <w:numId w:val="2"/>
        </w:numPr>
        <w:spacing w:line="360" w:lineRule="auto"/>
        <w:rPr>
          <w:lang w:val="en-US"/>
        </w:rPr>
      </w:pPr>
      <w:r w:rsidRPr="00175EA5">
        <w:rPr>
          <w:lang w:val="en-US"/>
        </w:rPr>
        <w:t>The protective effect is restricted to the intervention period.</w:t>
      </w:r>
    </w:p>
    <w:p w14:paraId="7910FF2E" w14:textId="34EBCB42" w:rsidR="00175EA5" w:rsidRPr="00175EA5" w:rsidRDefault="00175EA5" w:rsidP="00175EA5">
      <w:pPr>
        <w:pStyle w:val="ListParagraph"/>
        <w:numPr>
          <w:ilvl w:val="0"/>
          <w:numId w:val="2"/>
        </w:numPr>
        <w:spacing w:line="360" w:lineRule="auto"/>
        <w:rPr>
          <w:lang w:val="en-US"/>
        </w:rPr>
      </w:pPr>
      <w:r w:rsidRPr="00175EA5">
        <w:rPr>
          <w:lang w:val="en-US"/>
        </w:rPr>
        <w:lastRenderedPageBreak/>
        <w:t xml:space="preserve">The effect of DHA-PQ and AL is highly malaria specific. There was no effect on non-malarial outcomes with DHA-PQ, and the intervention was most effective in patients who presented with malaria on admission (severe malarial </w:t>
      </w:r>
      <w:proofErr w:type="spellStart"/>
      <w:r w:rsidRPr="00175EA5">
        <w:rPr>
          <w:lang w:val="en-US"/>
        </w:rPr>
        <w:t>anaemia</w:t>
      </w:r>
      <w:proofErr w:type="spellEnd"/>
      <w:r w:rsidRPr="00175EA5">
        <w:rPr>
          <w:lang w:val="en-US"/>
        </w:rPr>
        <w:t>).</w:t>
      </w:r>
    </w:p>
    <w:p w14:paraId="1C1A8FB5" w14:textId="518BD35F" w:rsidR="00175EA5" w:rsidRPr="00175EA5" w:rsidRDefault="00175EA5" w:rsidP="00175EA5">
      <w:pPr>
        <w:pStyle w:val="ListParagraph"/>
        <w:numPr>
          <w:ilvl w:val="0"/>
          <w:numId w:val="2"/>
        </w:numPr>
        <w:spacing w:line="360" w:lineRule="auto"/>
        <w:rPr>
          <w:lang w:val="en-US"/>
        </w:rPr>
      </w:pPr>
      <w:r w:rsidRPr="00175EA5">
        <w:rPr>
          <w:lang w:val="en-US"/>
        </w:rPr>
        <w:t>Monthly SP may also provide benefits on non-malaria morbidity &amp; growth.</w:t>
      </w:r>
    </w:p>
    <w:p w14:paraId="4207E04E" w14:textId="4F99431E" w:rsidR="00175EA5" w:rsidRPr="00175EA5" w:rsidRDefault="00175EA5" w:rsidP="00175EA5">
      <w:pPr>
        <w:pStyle w:val="ListParagraph"/>
        <w:numPr>
          <w:ilvl w:val="0"/>
          <w:numId w:val="2"/>
        </w:numPr>
        <w:spacing w:line="360" w:lineRule="auto"/>
        <w:rPr>
          <w:lang w:val="en-US"/>
        </w:rPr>
      </w:pPr>
      <w:r w:rsidRPr="00175EA5">
        <w:rPr>
          <w:lang w:val="en-US"/>
        </w:rPr>
        <w:t>All regimens were well tolerated.</w:t>
      </w:r>
    </w:p>
    <w:p w14:paraId="4334EA1A" w14:textId="153E1CBC" w:rsidR="00175EA5" w:rsidRPr="00175EA5" w:rsidRDefault="00175EA5" w:rsidP="00175EA5">
      <w:pPr>
        <w:pStyle w:val="ListParagraph"/>
        <w:numPr>
          <w:ilvl w:val="0"/>
          <w:numId w:val="2"/>
        </w:numPr>
        <w:spacing w:line="360" w:lineRule="auto"/>
        <w:rPr>
          <w:lang w:val="en-US"/>
        </w:rPr>
      </w:pPr>
      <w:r w:rsidRPr="00175EA5">
        <w:rPr>
          <w:lang w:val="en-US"/>
        </w:rPr>
        <w:t>Piperaquine associated QT prolongation was not a limiting factor (no events &gt;480ms).</w:t>
      </w:r>
    </w:p>
    <w:p w14:paraId="55903950" w14:textId="77777777" w:rsidR="00175EA5" w:rsidRPr="00175EA5" w:rsidRDefault="00175EA5" w:rsidP="00175EA5">
      <w:pPr>
        <w:spacing w:line="360" w:lineRule="auto"/>
        <w:rPr>
          <w:b/>
          <w:bCs/>
          <w:lang w:val="en-US"/>
        </w:rPr>
      </w:pPr>
      <w:r w:rsidRPr="00175EA5">
        <w:rPr>
          <w:b/>
          <w:bCs/>
          <w:lang w:val="en-US"/>
        </w:rPr>
        <w:t>Implementation</w:t>
      </w:r>
    </w:p>
    <w:p w14:paraId="18F3A647" w14:textId="54E175D9" w:rsidR="00175EA5" w:rsidRPr="00DD25AB" w:rsidRDefault="00175EA5" w:rsidP="00175EA5">
      <w:pPr>
        <w:spacing w:line="360" w:lineRule="auto"/>
        <w:rPr>
          <w:lang w:val="en-US"/>
        </w:rPr>
      </w:pPr>
      <w:r w:rsidRPr="00DD25AB">
        <w:rPr>
          <w:lang w:val="en-US"/>
        </w:rPr>
        <w:t xml:space="preserve">From an implementation point of view, a cluster randomized trial performed in Malawi showed that community-based delivery of DHA-PQ for PDMC in children recovering from severe </w:t>
      </w:r>
      <w:proofErr w:type="spellStart"/>
      <w:r w:rsidRPr="00DD25AB">
        <w:rPr>
          <w:lang w:val="en-US"/>
        </w:rPr>
        <w:t>anaemia</w:t>
      </w:r>
      <w:proofErr w:type="spellEnd"/>
      <w:r w:rsidRPr="00DD25AB">
        <w:rPr>
          <w:lang w:val="en-US"/>
        </w:rPr>
        <w:t xml:space="preserve"> resulted in higher adherence compared to facility-based methods. These findings confirmed previous qualitative research conducted in Malawi that showed that PDMC given to children under the age of 5 previously treated for severe </w:t>
      </w:r>
      <w:proofErr w:type="spellStart"/>
      <w:r w:rsidRPr="00DD25AB">
        <w:rPr>
          <w:lang w:val="en-US"/>
        </w:rPr>
        <w:t>anaemia</w:t>
      </w:r>
      <w:proofErr w:type="spellEnd"/>
      <w:r w:rsidRPr="00DD25AB">
        <w:rPr>
          <w:lang w:val="en-US"/>
        </w:rPr>
        <w:t xml:space="preserve"> is highly accepted among caregivers. Caregivers prefer community-based delivery with use of health cards as their primary tool of reference.</w:t>
      </w:r>
    </w:p>
    <w:p w14:paraId="408189C2" w14:textId="3FCFD936" w:rsidR="00175EA5" w:rsidRPr="00175EA5" w:rsidRDefault="00175EA5" w:rsidP="00175EA5">
      <w:pPr>
        <w:spacing w:line="360" w:lineRule="auto"/>
        <w:rPr>
          <w:b/>
          <w:bCs/>
          <w:lang w:val="en-US"/>
        </w:rPr>
      </w:pPr>
      <w:r w:rsidRPr="00175EA5">
        <w:rPr>
          <w:b/>
          <w:bCs/>
          <w:lang w:val="en-US"/>
        </w:rPr>
        <w:t>Cost effectiveness</w:t>
      </w:r>
    </w:p>
    <w:p w14:paraId="448EB67C" w14:textId="77777777" w:rsidR="00175EA5" w:rsidRPr="00DD25AB" w:rsidRDefault="00175EA5" w:rsidP="00175EA5">
      <w:pPr>
        <w:spacing w:line="360" w:lineRule="auto"/>
        <w:rPr>
          <w:lang w:val="en-US"/>
        </w:rPr>
      </w:pPr>
      <w:r w:rsidRPr="00DD25AB">
        <w:rPr>
          <w:lang w:val="en-US"/>
        </w:rPr>
        <w:t>A cost-effectiveness analysis of community-based and facility-based PDMC, com-pared to the standard of care (artemether-lumefantrine at discharge) conducted in Malawi, Kenya and Uganda showed that:</w:t>
      </w:r>
    </w:p>
    <w:p w14:paraId="31FB992D" w14:textId="74C4AB6B" w:rsidR="00175EA5" w:rsidRPr="00175EA5" w:rsidRDefault="00175EA5" w:rsidP="00175EA5">
      <w:pPr>
        <w:pStyle w:val="ListParagraph"/>
        <w:numPr>
          <w:ilvl w:val="0"/>
          <w:numId w:val="2"/>
        </w:numPr>
        <w:spacing w:line="360" w:lineRule="auto"/>
        <w:rPr>
          <w:lang w:val="en-US"/>
        </w:rPr>
      </w:pPr>
      <w:r w:rsidRPr="00175EA5">
        <w:rPr>
          <w:lang w:val="en-US"/>
        </w:rPr>
        <w:t>PDMC is an affordable intervention with high potential to reduce costly hospital re-admissions and death.</w:t>
      </w:r>
    </w:p>
    <w:p w14:paraId="1C301CEE" w14:textId="4779A955" w:rsidR="00175EA5" w:rsidRPr="00175EA5" w:rsidRDefault="00175EA5" w:rsidP="00175EA5">
      <w:pPr>
        <w:pStyle w:val="ListParagraph"/>
        <w:numPr>
          <w:ilvl w:val="0"/>
          <w:numId w:val="2"/>
        </w:numPr>
        <w:spacing w:line="360" w:lineRule="auto"/>
        <w:rPr>
          <w:lang w:val="en-US"/>
        </w:rPr>
      </w:pPr>
      <w:r w:rsidRPr="00175EA5">
        <w:rPr>
          <w:lang w:val="en-US"/>
        </w:rPr>
        <w:t>PDMC has 94% probability of being cost saving. It is less costly and more effective at increasing health-adjusted life expectancy than the current standard of care.</w:t>
      </w:r>
    </w:p>
    <w:p w14:paraId="7CD2982B" w14:textId="5DF0A1D9" w:rsidR="00175EA5" w:rsidRPr="00175EA5" w:rsidRDefault="00175EA5" w:rsidP="00175EA5">
      <w:pPr>
        <w:pStyle w:val="ListParagraph"/>
        <w:numPr>
          <w:ilvl w:val="0"/>
          <w:numId w:val="2"/>
        </w:numPr>
        <w:spacing w:line="360" w:lineRule="auto"/>
        <w:rPr>
          <w:lang w:val="en-US"/>
        </w:rPr>
      </w:pPr>
      <w:r w:rsidRPr="00175EA5">
        <w:rPr>
          <w:lang w:val="en-US"/>
        </w:rPr>
        <w:t>Provision of PDMC at discharge is less costly for providers and households and more effective than facility-based delivery.</w:t>
      </w:r>
    </w:p>
    <w:p w14:paraId="3624B54A" w14:textId="05655AAD" w:rsidR="00175EA5" w:rsidRPr="00175EA5" w:rsidRDefault="00175EA5" w:rsidP="00175EA5">
      <w:pPr>
        <w:pStyle w:val="ListParagraph"/>
        <w:numPr>
          <w:ilvl w:val="0"/>
          <w:numId w:val="2"/>
        </w:numPr>
        <w:spacing w:line="360" w:lineRule="auto"/>
        <w:rPr>
          <w:lang w:val="en-US"/>
        </w:rPr>
      </w:pPr>
      <w:r w:rsidRPr="00175EA5">
        <w:rPr>
          <w:lang w:val="en-US"/>
        </w:rPr>
        <w:t>Results are consistent in all three countries, confirmed in sensitivity analyses.</w:t>
      </w:r>
    </w:p>
    <w:p w14:paraId="42B6F51C" w14:textId="77777777" w:rsidR="00775C54" w:rsidRPr="00175EA5" w:rsidRDefault="00775C54" w:rsidP="00175EA5">
      <w:pPr>
        <w:spacing w:line="360" w:lineRule="auto"/>
        <w:rPr>
          <w:lang w:val="en-US"/>
        </w:rPr>
      </w:pPr>
    </w:p>
    <w:sectPr w:rsidR="00775C54" w:rsidRPr="00175EA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B3781"/>
    <w:multiLevelType w:val="hybridMultilevel"/>
    <w:tmpl w:val="4486271C"/>
    <w:lvl w:ilvl="0" w:tplc="47645506">
      <w:start w:val="23"/>
      <w:numFmt w:val="bullet"/>
      <w:lvlText w:val="•"/>
      <w:lvlJc w:val="left"/>
      <w:pPr>
        <w:ind w:left="705" w:hanging="705"/>
      </w:pPr>
      <w:rPr>
        <w:rFonts w:ascii="Aptos" w:eastAsiaTheme="minorHAnsi" w:hAnsi="Aptos" w:cstheme="minorBidi"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 w15:restartNumberingAfterBreak="0">
    <w:nsid w:val="34350A93"/>
    <w:multiLevelType w:val="hybridMultilevel"/>
    <w:tmpl w:val="99DC1C3C"/>
    <w:lvl w:ilvl="0" w:tplc="47645506">
      <w:start w:val="23"/>
      <w:numFmt w:val="bullet"/>
      <w:lvlText w:val="•"/>
      <w:lvlJc w:val="left"/>
      <w:pPr>
        <w:ind w:left="705" w:hanging="705"/>
      </w:pPr>
      <w:rPr>
        <w:rFonts w:ascii="Aptos" w:eastAsiaTheme="minorHAnsi" w:hAnsi="Apto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4BF111AB"/>
    <w:multiLevelType w:val="hybridMultilevel"/>
    <w:tmpl w:val="E5D00A9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811095200">
    <w:abstractNumId w:val="2"/>
  </w:num>
  <w:num w:numId="2" w16cid:durableId="1299340044">
    <w:abstractNumId w:val="0"/>
  </w:num>
  <w:num w:numId="3" w16cid:durableId="1265386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EA5"/>
    <w:rsid w:val="00175EA5"/>
    <w:rsid w:val="00775C54"/>
    <w:rsid w:val="007D6DC4"/>
    <w:rsid w:val="00A76E8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23C91"/>
  <w15:chartTrackingRefBased/>
  <w15:docId w15:val="{47315AA1-8580-4F6F-AE57-30A4D2326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EA5"/>
  </w:style>
  <w:style w:type="paragraph" w:styleId="Heading1">
    <w:name w:val="heading 1"/>
    <w:basedOn w:val="Normal"/>
    <w:next w:val="Normal"/>
    <w:link w:val="Heading1Char"/>
    <w:uiPriority w:val="9"/>
    <w:qFormat/>
    <w:rsid w:val="00175E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5E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5E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5E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5E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5E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5E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5E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5E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E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5E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5E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5E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5E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5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5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5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5EA5"/>
    <w:rPr>
      <w:rFonts w:eastAsiaTheme="majorEastAsia" w:cstheme="majorBidi"/>
      <w:color w:val="272727" w:themeColor="text1" w:themeTint="D8"/>
    </w:rPr>
  </w:style>
  <w:style w:type="paragraph" w:styleId="Title">
    <w:name w:val="Title"/>
    <w:basedOn w:val="Normal"/>
    <w:next w:val="Normal"/>
    <w:link w:val="TitleChar"/>
    <w:uiPriority w:val="10"/>
    <w:qFormat/>
    <w:rsid w:val="00175E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5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5EA5"/>
    <w:pPr>
      <w:spacing w:before="160"/>
      <w:jc w:val="center"/>
    </w:pPr>
    <w:rPr>
      <w:i/>
      <w:iCs/>
      <w:color w:val="404040" w:themeColor="text1" w:themeTint="BF"/>
    </w:rPr>
  </w:style>
  <w:style w:type="character" w:customStyle="1" w:styleId="QuoteChar">
    <w:name w:val="Quote Char"/>
    <w:basedOn w:val="DefaultParagraphFont"/>
    <w:link w:val="Quote"/>
    <w:uiPriority w:val="29"/>
    <w:rsid w:val="00175EA5"/>
    <w:rPr>
      <w:i/>
      <w:iCs/>
      <w:color w:val="404040" w:themeColor="text1" w:themeTint="BF"/>
    </w:rPr>
  </w:style>
  <w:style w:type="paragraph" w:styleId="ListParagraph">
    <w:name w:val="List Paragraph"/>
    <w:basedOn w:val="Normal"/>
    <w:uiPriority w:val="34"/>
    <w:qFormat/>
    <w:rsid w:val="00175EA5"/>
    <w:pPr>
      <w:ind w:left="720"/>
      <w:contextualSpacing/>
    </w:pPr>
  </w:style>
  <w:style w:type="character" w:styleId="IntenseEmphasis">
    <w:name w:val="Intense Emphasis"/>
    <w:basedOn w:val="DefaultParagraphFont"/>
    <w:uiPriority w:val="21"/>
    <w:qFormat/>
    <w:rsid w:val="00175EA5"/>
    <w:rPr>
      <w:i/>
      <w:iCs/>
      <w:color w:val="0F4761" w:themeColor="accent1" w:themeShade="BF"/>
    </w:rPr>
  </w:style>
  <w:style w:type="paragraph" w:styleId="IntenseQuote">
    <w:name w:val="Intense Quote"/>
    <w:basedOn w:val="Normal"/>
    <w:next w:val="Normal"/>
    <w:link w:val="IntenseQuoteChar"/>
    <w:uiPriority w:val="30"/>
    <w:qFormat/>
    <w:rsid w:val="00175E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5EA5"/>
    <w:rPr>
      <w:i/>
      <w:iCs/>
      <w:color w:val="0F4761" w:themeColor="accent1" w:themeShade="BF"/>
    </w:rPr>
  </w:style>
  <w:style w:type="character" w:styleId="IntenseReference">
    <w:name w:val="Intense Reference"/>
    <w:basedOn w:val="DefaultParagraphFont"/>
    <w:uiPriority w:val="32"/>
    <w:qFormat/>
    <w:rsid w:val="00175E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586</Words>
  <Characters>3223</Characters>
  <Application>Microsoft Office Word</Application>
  <DocSecurity>0</DocSecurity>
  <Lines>26</Lines>
  <Paragraphs>7</Paragraphs>
  <ScaleCrop>false</ScaleCrop>
  <Company>Medicines for Malaria Venture</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Audibert</dc:creator>
  <cp:keywords/>
  <dc:description/>
  <cp:lastModifiedBy>Celine Audibert</cp:lastModifiedBy>
  <cp:revision>1</cp:revision>
  <dcterms:created xsi:type="dcterms:W3CDTF">2024-07-30T15:23:00Z</dcterms:created>
  <dcterms:modified xsi:type="dcterms:W3CDTF">2024-07-30T15:26:00Z</dcterms:modified>
</cp:coreProperties>
</file>