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F3A11" w14:textId="44FF7CA7" w:rsidR="00F51635" w:rsidRPr="006E38F4" w:rsidRDefault="00F63C73">
      <w:r w:rsidRPr="006E38F4">
        <w:t>Additional File 1. Description of three types of novel non-invasive diagnosti</w:t>
      </w:r>
      <w:bookmarkStart w:id="0" w:name="_GoBack"/>
      <w:bookmarkEnd w:id="0"/>
      <w:r w:rsidRPr="006E38F4">
        <w:t>c tools under development for malaria diagnosis, provided to study team by study sponsor to stimulate questions during focus group discussions and key informant interviews.</w:t>
      </w:r>
    </w:p>
    <w:tbl>
      <w:tblPr>
        <w:tblStyle w:val="TableGrid"/>
        <w:tblW w:w="0" w:type="auto"/>
        <w:tblLook w:val="04A0" w:firstRow="1" w:lastRow="0" w:firstColumn="1" w:lastColumn="0" w:noHBand="0" w:noVBand="1"/>
      </w:tblPr>
      <w:tblGrid>
        <w:gridCol w:w="2065"/>
        <w:gridCol w:w="4410"/>
        <w:gridCol w:w="5220"/>
        <w:gridCol w:w="3693"/>
      </w:tblGrid>
      <w:tr w:rsidR="006E38F4" w:rsidRPr="006E38F4" w14:paraId="6C403977" w14:textId="77777777" w:rsidTr="00C0165E">
        <w:tc>
          <w:tcPr>
            <w:tcW w:w="2065" w:type="dxa"/>
          </w:tcPr>
          <w:p w14:paraId="2D70E8B2" w14:textId="77777777" w:rsidR="00C0165E" w:rsidRPr="006E38F4" w:rsidRDefault="00C0165E">
            <w:pPr>
              <w:rPr>
                <w:rFonts w:ascii="Aptos Narrow" w:hAnsi="Aptos Narrow"/>
              </w:rPr>
            </w:pPr>
          </w:p>
        </w:tc>
        <w:tc>
          <w:tcPr>
            <w:tcW w:w="4410" w:type="dxa"/>
          </w:tcPr>
          <w:p w14:paraId="5F9BAFEE" w14:textId="6EF0D815" w:rsidR="00C0165E" w:rsidRPr="006E38F4" w:rsidRDefault="00C0165E" w:rsidP="00C0165E">
            <w:pPr>
              <w:rPr>
                <w:rFonts w:ascii="Aptos Narrow" w:hAnsi="Aptos Narrow"/>
                <w:b/>
                <w:bCs/>
              </w:rPr>
            </w:pPr>
            <w:r w:rsidRPr="006E38F4">
              <w:rPr>
                <w:rFonts w:ascii="Aptos Narrow" w:hAnsi="Aptos Narrow"/>
                <w:b/>
                <w:bCs/>
                <w:lang w:val="en-GB"/>
              </w:rPr>
              <w:t>Instruments based on the detection of Volatile Organic Compounds (VOCs)</w:t>
            </w:r>
          </w:p>
        </w:tc>
        <w:tc>
          <w:tcPr>
            <w:tcW w:w="5220" w:type="dxa"/>
          </w:tcPr>
          <w:p w14:paraId="72B9314C" w14:textId="5F7A91C0" w:rsidR="00C0165E" w:rsidRPr="006E38F4" w:rsidRDefault="00C0165E" w:rsidP="00C0165E">
            <w:pPr>
              <w:rPr>
                <w:rFonts w:ascii="Aptos Narrow" w:hAnsi="Aptos Narrow"/>
                <w:b/>
                <w:bCs/>
              </w:rPr>
            </w:pPr>
            <w:r w:rsidRPr="006E38F4">
              <w:rPr>
                <w:rFonts w:ascii="Aptos Narrow" w:hAnsi="Aptos Narrow"/>
                <w:b/>
                <w:bCs/>
                <w:lang w:val="en-GB"/>
              </w:rPr>
              <w:t>Instruments that detect malaria infection through the skin</w:t>
            </w:r>
          </w:p>
        </w:tc>
        <w:tc>
          <w:tcPr>
            <w:tcW w:w="3693" w:type="dxa"/>
          </w:tcPr>
          <w:p w14:paraId="514B22B2" w14:textId="77777777" w:rsidR="00C0165E" w:rsidRPr="006E38F4" w:rsidRDefault="00C0165E" w:rsidP="00C0165E">
            <w:pPr>
              <w:rPr>
                <w:rFonts w:ascii="Aptos Narrow" w:hAnsi="Aptos Narrow"/>
                <w:b/>
                <w:bCs/>
              </w:rPr>
            </w:pPr>
            <w:r w:rsidRPr="006E38F4">
              <w:rPr>
                <w:rFonts w:ascii="Aptos Narrow" w:hAnsi="Aptos Narrow"/>
                <w:b/>
                <w:bCs/>
              </w:rPr>
              <w:t>Saliva based rapid diagnostic tests (RDTs)</w:t>
            </w:r>
          </w:p>
          <w:p w14:paraId="45A529C5" w14:textId="77777777" w:rsidR="00C0165E" w:rsidRPr="006E38F4" w:rsidRDefault="00C0165E">
            <w:pPr>
              <w:rPr>
                <w:rFonts w:ascii="Aptos Narrow" w:hAnsi="Aptos Narrow"/>
                <w:b/>
                <w:bCs/>
              </w:rPr>
            </w:pPr>
          </w:p>
        </w:tc>
      </w:tr>
      <w:tr w:rsidR="006E38F4" w:rsidRPr="006E38F4" w14:paraId="51BECAB5" w14:textId="77777777" w:rsidTr="00C0165E">
        <w:tc>
          <w:tcPr>
            <w:tcW w:w="2065" w:type="dxa"/>
          </w:tcPr>
          <w:p w14:paraId="76E96E55" w14:textId="6F16A08B" w:rsidR="00C0165E" w:rsidRPr="006E38F4" w:rsidRDefault="00C0165E">
            <w:pPr>
              <w:rPr>
                <w:rFonts w:ascii="Aptos Narrow" w:hAnsi="Aptos Narrow"/>
              </w:rPr>
            </w:pPr>
            <w:r w:rsidRPr="006E38F4">
              <w:rPr>
                <w:rFonts w:ascii="Aptos Narrow" w:hAnsi="Aptos Narrow"/>
              </w:rPr>
              <w:t>Overview</w:t>
            </w:r>
          </w:p>
        </w:tc>
        <w:tc>
          <w:tcPr>
            <w:tcW w:w="4410" w:type="dxa"/>
          </w:tcPr>
          <w:p w14:paraId="743AA67E" w14:textId="611AEEA4" w:rsidR="00C0165E" w:rsidRPr="006E38F4" w:rsidRDefault="00C0165E" w:rsidP="00C0165E">
            <w:pPr>
              <w:rPr>
                <w:rFonts w:ascii="Aptos Narrow" w:hAnsi="Aptos Narrow"/>
              </w:rPr>
            </w:pPr>
            <w:r w:rsidRPr="006E38F4">
              <w:rPr>
                <w:rFonts w:ascii="Aptos Narrow" w:hAnsi="Aptos Narrow"/>
                <w:lang w:val="en-GB"/>
              </w:rPr>
              <w:t>VOCs are a heterogeneous group of low molecular weight organic chemicals that are emitted from the human body as gases, resulting in their presence in exhaled breath, sweat, urine and other body fluids</w:t>
            </w:r>
          </w:p>
        </w:tc>
        <w:tc>
          <w:tcPr>
            <w:tcW w:w="5220" w:type="dxa"/>
          </w:tcPr>
          <w:p w14:paraId="0912141B" w14:textId="17B4520D" w:rsidR="00C0165E" w:rsidRPr="006E38F4" w:rsidRDefault="00C0165E" w:rsidP="00C0165E">
            <w:pPr>
              <w:rPr>
                <w:rFonts w:ascii="Aptos Narrow" w:hAnsi="Aptos Narrow"/>
              </w:rPr>
            </w:pPr>
            <w:r w:rsidRPr="006E38F4">
              <w:rPr>
                <w:rFonts w:ascii="Aptos Narrow" w:hAnsi="Aptos Narrow"/>
                <w:lang w:val="en-GB"/>
              </w:rPr>
              <w:t>Instruments based on the use of spectrophotometers to measure the absorption or transmission of light through the skin (ear/arm/hand). They are handheld devices that use near-infrared (NIR) or ultraviolet-visible (UV-Vis) light to detect the presence of malaria parasites in the blood.</w:t>
            </w:r>
          </w:p>
        </w:tc>
        <w:tc>
          <w:tcPr>
            <w:tcW w:w="3693" w:type="dxa"/>
          </w:tcPr>
          <w:p w14:paraId="159A0BAE" w14:textId="5F001FB7" w:rsidR="00C0165E" w:rsidRPr="006E38F4" w:rsidRDefault="00C0165E" w:rsidP="00C0165E">
            <w:pPr>
              <w:rPr>
                <w:rFonts w:ascii="Aptos Narrow" w:hAnsi="Aptos Narrow"/>
              </w:rPr>
            </w:pPr>
            <w:r w:rsidRPr="006E38F4">
              <w:rPr>
                <w:rFonts w:ascii="Aptos Narrow" w:hAnsi="Aptos Narrow"/>
                <w:lang w:val="en-GB"/>
              </w:rPr>
              <w:t>Saliva is used to test for the presence of gametocytes in the microvasculature using high-affinity antibodies to a parasite protein that is abundant in saliva in asymptomatic individuals. </w:t>
            </w:r>
          </w:p>
        </w:tc>
      </w:tr>
      <w:tr w:rsidR="006E38F4" w:rsidRPr="006E38F4" w14:paraId="2489BBAD" w14:textId="77777777" w:rsidTr="00C0165E">
        <w:tc>
          <w:tcPr>
            <w:tcW w:w="2065" w:type="dxa"/>
          </w:tcPr>
          <w:p w14:paraId="1F7359F2" w14:textId="49158D5D" w:rsidR="00C0165E" w:rsidRPr="006E38F4" w:rsidRDefault="00C0165E">
            <w:pPr>
              <w:rPr>
                <w:rFonts w:ascii="Aptos Narrow" w:hAnsi="Aptos Narrow"/>
              </w:rPr>
            </w:pPr>
            <w:r w:rsidRPr="006E38F4">
              <w:rPr>
                <w:rFonts w:ascii="Aptos Narrow" w:hAnsi="Aptos Narrow"/>
              </w:rPr>
              <w:t>Estimated sensitivity</w:t>
            </w:r>
          </w:p>
        </w:tc>
        <w:tc>
          <w:tcPr>
            <w:tcW w:w="4410" w:type="dxa"/>
          </w:tcPr>
          <w:p w14:paraId="274E6ABD" w14:textId="023AB25C" w:rsidR="00C0165E" w:rsidRPr="006E38F4" w:rsidRDefault="00401639">
            <w:pPr>
              <w:rPr>
                <w:rFonts w:ascii="Aptos Narrow" w:hAnsi="Aptos Narrow"/>
              </w:rPr>
            </w:pPr>
            <w:r w:rsidRPr="006E38F4">
              <w:rPr>
                <w:rFonts w:ascii="Aptos Narrow" w:hAnsi="Aptos Narrow"/>
              </w:rPr>
              <w:t>~90%</w:t>
            </w:r>
            <w:r w:rsidR="00D832BE" w:rsidRPr="006E38F4">
              <w:rPr>
                <w:rFonts w:ascii="Aptos Narrow" w:hAnsi="Aptos Narrow"/>
              </w:rPr>
              <w:t xml:space="preserve"> </w:t>
            </w:r>
            <w:r w:rsidR="00D832BE" w:rsidRPr="006E38F4">
              <w:rPr>
                <w:rStyle w:val="FootnoteReference"/>
                <w:rFonts w:ascii="Aptos Narrow" w:hAnsi="Aptos Narrow"/>
              </w:rPr>
              <w:footnoteReference w:id="1"/>
            </w:r>
          </w:p>
        </w:tc>
        <w:tc>
          <w:tcPr>
            <w:tcW w:w="5220" w:type="dxa"/>
          </w:tcPr>
          <w:p w14:paraId="066195A0" w14:textId="3DB449F5" w:rsidR="00C0165E" w:rsidRPr="006E38F4" w:rsidRDefault="00401639">
            <w:pPr>
              <w:rPr>
                <w:rFonts w:ascii="Aptos Narrow" w:hAnsi="Aptos Narrow"/>
              </w:rPr>
            </w:pPr>
            <w:r w:rsidRPr="006E38F4">
              <w:rPr>
                <w:rFonts w:ascii="Aptos Narrow" w:hAnsi="Aptos Narrow"/>
              </w:rPr>
              <w:t>~90%</w:t>
            </w:r>
            <w:r w:rsidR="00847DD9" w:rsidRPr="006E38F4">
              <w:rPr>
                <w:rFonts w:ascii="Aptos Narrow" w:hAnsi="Aptos Narrow"/>
              </w:rPr>
              <w:t xml:space="preserve"> </w:t>
            </w:r>
            <w:r w:rsidR="00847DD9" w:rsidRPr="006E38F4">
              <w:rPr>
                <w:rStyle w:val="FootnoteReference"/>
              </w:rPr>
              <w:t>1</w:t>
            </w:r>
            <w:r w:rsidR="003424AA" w:rsidRPr="006E38F4">
              <w:rPr>
                <w:rStyle w:val="FootnoteReference"/>
              </w:rPr>
              <w:t>,</w:t>
            </w:r>
            <w:r w:rsidR="00C548CA" w:rsidRPr="006E38F4">
              <w:rPr>
                <w:rStyle w:val="FootnoteReference"/>
              </w:rPr>
              <w:footnoteReference w:id="2"/>
            </w:r>
          </w:p>
        </w:tc>
        <w:tc>
          <w:tcPr>
            <w:tcW w:w="3693" w:type="dxa"/>
          </w:tcPr>
          <w:p w14:paraId="68B5E11B" w14:textId="77777777" w:rsidR="00C0165E" w:rsidRPr="006E38F4" w:rsidRDefault="00C0165E">
            <w:pPr>
              <w:rPr>
                <w:rFonts w:ascii="Aptos Narrow" w:hAnsi="Aptos Narrow"/>
              </w:rPr>
            </w:pPr>
          </w:p>
        </w:tc>
      </w:tr>
      <w:tr w:rsidR="006E38F4" w:rsidRPr="006E38F4" w14:paraId="6C78BB6F" w14:textId="77777777" w:rsidTr="00C0165E">
        <w:tc>
          <w:tcPr>
            <w:tcW w:w="2065" w:type="dxa"/>
          </w:tcPr>
          <w:p w14:paraId="52F1A0C8" w14:textId="5CB41276" w:rsidR="00C0165E" w:rsidRPr="006E38F4" w:rsidRDefault="00C0165E">
            <w:pPr>
              <w:rPr>
                <w:rFonts w:ascii="Aptos Narrow" w:hAnsi="Aptos Narrow"/>
              </w:rPr>
            </w:pPr>
            <w:r w:rsidRPr="006E38F4">
              <w:rPr>
                <w:rFonts w:ascii="Aptos Narrow" w:hAnsi="Aptos Narrow"/>
              </w:rPr>
              <w:t>Estimated specificity</w:t>
            </w:r>
          </w:p>
        </w:tc>
        <w:tc>
          <w:tcPr>
            <w:tcW w:w="4410" w:type="dxa"/>
          </w:tcPr>
          <w:p w14:paraId="1AB1F6B2" w14:textId="6B51BA2A" w:rsidR="00C0165E" w:rsidRPr="006E38F4" w:rsidRDefault="00401639">
            <w:pPr>
              <w:rPr>
                <w:rFonts w:ascii="Aptos Narrow" w:hAnsi="Aptos Narrow"/>
              </w:rPr>
            </w:pPr>
            <w:r w:rsidRPr="006E38F4">
              <w:rPr>
                <w:rFonts w:ascii="Aptos Narrow" w:hAnsi="Aptos Narrow"/>
              </w:rPr>
              <w:t>~90%</w:t>
            </w:r>
            <w:r w:rsidR="00847DD9" w:rsidRPr="006E38F4">
              <w:rPr>
                <w:rFonts w:ascii="Aptos Narrow" w:hAnsi="Aptos Narrow"/>
              </w:rPr>
              <w:t xml:space="preserve"> </w:t>
            </w:r>
            <w:r w:rsidR="00847DD9" w:rsidRPr="006E38F4">
              <w:rPr>
                <w:rStyle w:val="FootnoteReference"/>
              </w:rPr>
              <w:t>1</w:t>
            </w:r>
          </w:p>
        </w:tc>
        <w:tc>
          <w:tcPr>
            <w:tcW w:w="5220" w:type="dxa"/>
          </w:tcPr>
          <w:p w14:paraId="3851BC91" w14:textId="47CFB95F" w:rsidR="00C0165E" w:rsidRPr="006E38F4" w:rsidRDefault="005C4B23">
            <w:pPr>
              <w:rPr>
                <w:rFonts w:ascii="Aptos Narrow" w:hAnsi="Aptos Narrow"/>
              </w:rPr>
            </w:pPr>
            <w:r w:rsidRPr="006E38F4">
              <w:rPr>
                <w:rFonts w:ascii="Aptos Narrow" w:hAnsi="Aptos Narrow"/>
              </w:rPr>
              <w:t xml:space="preserve">~90% </w:t>
            </w:r>
            <w:r w:rsidRPr="006E38F4">
              <w:rPr>
                <w:rStyle w:val="FootnoteReference"/>
              </w:rPr>
              <w:t>1,2</w:t>
            </w:r>
          </w:p>
        </w:tc>
        <w:tc>
          <w:tcPr>
            <w:tcW w:w="3693" w:type="dxa"/>
          </w:tcPr>
          <w:p w14:paraId="32BBDF78" w14:textId="77777777" w:rsidR="00C0165E" w:rsidRPr="006E38F4" w:rsidRDefault="00C0165E">
            <w:pPr>
              <w:rPr>
                <w:rFonts w:ascii="Aptos Narrow" w:hAnsi="Aptos Narrow"/>
              </w:rPr>
            </w:pPr>
          </w:p>
        </w:tc>
      </w:tr>
      <w:tr w:rsidR="006E38F4" w:rsidRPr="006E38F4" w14:paraId="519B6D37" w14:textId="77777777" w:rsidTr="00C0165E">
        <w:tc>
          <w:tcPr>
            <w:tcW w:w="2065" w:type="dxa"/>
          </w:tcPr>
          <w:p w14:paraId="6EBB7E0B" w14:textId="60431CD4" w:rsidR="00C0165E" w:rsidRPr="006E38F4" w:rsidRDefault="00C0165E">
            <w:pPr>
              <w:rPr>
                <w:rFonts w:ascii="Aptos Narrow" w:hAnsi="Aptos Narrow"/>
              </w:rPr>
            </w:pPr>
            <w:r w:rsidRPr="006E38F4">
              <w:rPr>
                <w:rFonts w:ascii="Aptos Narrow" w:hAnsi="Aptos Narrow"/>
              </w:rPr>
              <w:t>Estimated accuracy</w:t>
            </w:r>
          </w:p>
        </w:tc>
        <w:tc>
          <w:tcPr>
            <w:tcW w:w="4410" w:type="dxa"/>
          </w:tcPr>
          <w:p w14:paraId="29DF5B6B" w14:textId="77777777" w:rsidR="00C0165E" w:rsidRPr="006E38F4" w:rsidRDefault="00C0165E">
            <w:pPr>
              <w:rPr>
                <w:rFonts w:ascii="Aptos Narrow" w:hAnsi="Aptos Narrow"/>
              </w:rPr>
            </w:pPr>
          </w:p>
        </w:tc>
        <w:tc>
          <w:tcPr>
            <w:tcW w:w="5220" w:type="dxa"/>
          </w:tcPr>
          <w:p w14:paraId="78C2CF3D" w14:textId="77777777" w:rsidR="00C0165E" w:rsidRPr="006E38F4" w:rsidRDefault="00C0165E">
            <w:pPr>
              <w:rPr>
                <w:rFonts w:ascii="Aptos Narrow" w:hAnsi="Aptos Narrow"/>
              </w:rPr>
            </w:pPr>
          </w:p>
        </w:tc>
        <w:tc>
          <w:tcPr>
            <w:tcW w:w="3693" w:type="dxa"/>
          </w:tcPr>
          <w:p w14:paraId="64956047" w14:textId="3FE83E0E" w:rsidR="00C0165E" w:rsidRPr="006E38F4" w:rsidRDefault="00C0165E">
            <w:pPr>
              <w:rPr>
                <w:rFonts w:ascii="Aptos Narrow" w:hAnsi="Aptos Narrow"/>
              </w:rPr>
            </w:pPr>
            <w:r w:rsidRPr="006E38F4">
              <w:rPr>
                <w:rFonts w:ascii="Aptos Narrow" w:hAnsi="Aptos Narrow"/>
              </w:rPr>
              <w:t>75-83%</w:t>
            </w:r>
            <w:r w:rsidR="00401639" w:rsidRPr="006E38F4">
              <w:rPr>
                <w:rFonts w:ascii="Aptos Narrow" w:hAnsi="Aptos Narrow"/>
              </w:rPr>
              <w:t xml:space="preserve"> </w:t>
            </w:r>
            <w:r w:rsidR="0049796D" w:rsidRPr="006E38F4">
              <w:rPr>
                <w:rStyle w:val="FootnoteReference"/>
                <w:rFonts w:ascii="Aptos Narrow" w:hAnsi="Aptos Narrow"/>
              </w:rPr>
              <w:footnoteReference w:id="3"/>
            </w:r>
          </w:p>
        </w:tc>
      </w:tr>
      <w:tr w:rsidR="006E38F4" w:rsidRPr="006E38F4" w14:paraId="1C26F886" w14:textId="77777777" w:rsidTr="00C0165E">
        <w:tc>
          <w:tcPr>
            <w:tcW w:w="2065" w:type="dxa"/>
          </w:tcPr>
          <w:p w14:paraId="52B9C69F" w14:textId="010D592E" w:rsidR="00C0165E" w:rsidRPr="006E38F4" w:rsidRDefault="00C0165E">
            <w:pPr>
              <w:rPr>
                <w:rFonts w:ascii="Aptos Narrow" w:hAnsi="Aptos Narrow"/>
              </w:rPr>
            </w:pPr>
            <w:r w:rsidRPr="006E38F4">
              <w:rPr>
                <w:rFonts w:ascii="Aptos Narrow" w:hAnsi="Aptos Narrow"/>
              </w:rPr>
              <w:t>Estimated cost</w:t>
            </w:r>
          </w:p>
        </w:tc>
        <w:tc>
          <w:tcPr>
            <w:tcW w:w="4410" w:type="dxa"/>
          </w:tcPr>
          <w:p w14:paraId="3C05B454" w14:textId="01CF5837" w:rsidR="00C0165E" w:rsidRPr="006E38F4" w:rsidRDefault="00C0165E">
            <w:pPr>
              <w:rPr>
                <w:rFonts w:ascii="Aptos Narrow" w:hAnsi="Aptos Narrow"/>
              </w:rPr>
            </w:pPr>
            <w:r w:rsidRPr="006E38F4">
              <w:rPr>
                <w:rFonts w:ascii="Aptos Narrow" w:hAnsi="Aptos Narrow"/>
              </w:rPr>
              <w:t>N/A</w:t>
            </w:r>
          </w:p>
        </w:tc>
        <w:tc>
          <w:tcPr>
            <w:tcW w:w="5220" w:type="dxa"/>
          </w:tcPr>
          <w:p w14:paraId="41E3C9F1" w14:textId="7ACDCE3E" w:rsidR="00C0165E" w:rsidRPr="006E38F4" w:rsidRDefault="00C0165E">
            <w:pPr>
              <w:rPr>
                <w:rFonts w:ascii="Aptos Narrow" w:hAnsi="Aptos Narrow"/>
              </w:rPr>
            </w:pPr>
            <w:r w:rsidRPr="006E38F4">
              <w:rPr>
                <w:rFonts w:ascii="Aptos Narrow" w:hAnsi="Aptos Narrow"/>
              </w:rPr>
              <w:t>2000-5000 USD (device and 0.20 USD (analysis)</w:t>
            </w:r>
          </w:p>
        </w:tc>
        <w:tc>
          <w:tcPr>
            <w:tcW w:w="3693" w:type="dxa"/>
          </w:tcPr>
          <w:p w14:paraId="5AC6EAB5" w14:textId="573F2437" w:rsidR="00C0165E" w:rsidRPr="006E38F4" w:rsidRDefault="00C0165E">
            <w:pPr>
              <w:rPr>
                <w:rFonts w:ascii="Aptos Narrow" w:hAnsi="Aptos Narrow"/>
              </w:rPr>
            </w:pPr>
            <w:r w:rsidRPr="006E38F4">
              <w:rPr>
                <w:rFonts w:ascii="Aptos Narrow" w:hAnsi="Aptos Narrow"/>
              </w:rPr>
              <w:t>&lt; 5 USD</w:t>
            </w:r>
          </w:p>
        </w:tc>
      </w:tr>
      <w:tr w:rsidR="006E38F4" w:rsidRPr="006E38F4" w14:paraId="0F25C990" w14:textId="77777777" w:rsidTr="00C0165E">
        <w:tc>
          <w:tcPr>
            <w:tcW w:w="2065" w:type="dxa"/>
          </w:tcPr>
          <w:p w14:paraId="1E18ED32" w14:textId="264FA905" w:rsidR="00C0165E" w:rsidRPr="006E38F4" w:rsidRDefault="00C0165E">
            <w:pPr>
              <w:rPr>
                <w:rFonts w:ascii="Aptos Narrow" w:hAnsi="Aptos Narrow"/>
              </w:rPr>
            </w:pPr>
            <w:r w:rsidRPr="006E38F4">
              <w:rPr>
                <w:rFonts w:ascii="Aptos Narrow" w:hAnsi="Aptos Narrow"/>
              </w:rPr>
              <w:t>Infrastructure requirements</w:t>
            </w:r>
          </w:p>
        </w:tc>
        <w:tc>
          <w:tcPr>
            <w:tcW w:w="4410" w:type="dxa"/>
          </w:tcPr>
          <w:p w14:paraId="3D5059B3" w14:textId="046B1FF5" w:rsidR="00C0165E" w:rsidRPr="006E38F4" w:rsidRDefault="00C0165E">
            <w:pPr>
              <w:rPr>
                <w:rFonts w:ascii="Aptos Narrow" w:hAnsi="Aptos Narrow"/>
              </w:rPr>
            </w:pPr>
            <w:r w:rsidRPr="006E38F4">
              <w:rPr>
                <w:rFonts w:ascii="Aptos Narrow" w:hAnsi="Aptos Narrow"/>
              </w:rPr>
              <w:t xml:space="preserve">Minimal, </w:t>
            </w:r>
            <w:r w:rsidR="006657ED" w:rsidRPr="006E38F4">
              <w:rPr>
                <w:rFonts w:ascii="Aptos Narrow" w:hAnsi="Aptos Narrow"/>
              </w:rPr>
              <w:t>battery-operated</w:t>
            </w:r>
          </w:p>
        </w:tc>
        <w:tc>
          <w:tcPr>
            <w:tcW w:w="5220" w:type="dxa"/>
          </w:tcPr>
          <w:p w14:paraId="4E8E0D41" w14:textId="7DFE79AF" w:rsidR="00C0165E" w:rsidRPr="006E38F4" w:rsidRDefault="00C0165E">
            <w:pPr>
              <w:rPr>
                <w:rFonts w:ascii="Aptos Narrow" w:hAnsi="Aptos Narrow"/>
              </w:rPr>
            </w:pPr>
            <w:r w:rsidRPr="006E38F4">
              <w:rPr>
                <w:rFonts w:ascii="Aptos Narrow" w:hAnsi="Aptos Narrow"/>
              </w:rPr>
              <w:t xml:space="preserve">Minimal, </w:t>
            </w:r>
            <w:r w:rsidR="006657ED" w:rsidRPr="006E38F4">
              <w:rPr>
                <w:rFonts w:ascii="Aptos Narrow" w:hAnsi="Aptos Narrow"/>
              </w:rPr>
              <w:t>battery-operated</w:t>
            </w:r>
          </w:p>
        </w:tc>
        <w:tc>
          <w:tcPr>
            <w:tcW w:w="3693" w:type="dxa"/>
          </w:tcPr>
          <w:p w14:paraId="3A9F5FAA" w14:textId="527726E9" w:rsidR="00C0165E" w:rsidRPr="006E38F4" w:rsidRDefault="00C0165E">
            <w:pPr>
              <w:rPr>
                <w:rFonts w:ascii="Aptos Narrow" w:hAnsi="Aptos Narrow"/>
              </w:rPr>
            </w:pPr>
            <w:r w:rsidRPr="006E38F4">
              <w:rPr>
                <w:rFonts w:ascii="Aptos Narrow" w:hAnsi="Aptos Narrow"/>
              </w:rPr>
              <w:t>Minimal, no power source needed</w:t>
            </w:r>
          </w:p>
        </w:tc>
      </w:tr>
      <w:tr w:rsidR="006E38F4" w:rsidRPr="006E38F4" w14:paraId="2C788301" w14:textId="77777777" w:rsidTr="00C0165E">
        <w:tc>
          <w:tcPr>
            <w:tcW w:w="2065" w:type="dxa"/>
          </w:tcPr>
          <w:p w14:paraId="37B253C2" w14:textId="22B16D0E" w:rsidR="00C0165E" w:rsidRPr="006E38F4" w:rsidRDefault="00C0165E">
            <w:pPr>
              <w:rPr>
                <w:rFonts w:ascii="Aptos Narrow" w:hAnsi="Aptos Narrow"/>
              </w:rPr>
            </w:pPr>
            <w:r w:rsidRPr="006E38F4">
              <w:rPr>
                <w:rFonts w:ascii="Aptos Narrow" w:hAnsi="Aptos Narrow"/>
              </w:rPr>
              <w:t>Estimated time to result</w:t>
            </w:r>
          </w:p>
        </w:tc>
        <w:tc>
          <w:tcPr>
            <w:tcW w:w="4410" w:type="dxa"/>
          </w:tcPr>
          <w:p w14:paraId="4F440707" w14:textId="7C167108" w:rsidR="00C0165E" w:rsidRPr="006E38F4" w:rsidRDefault="00C0165E">
            <w:pPr>
              <w:rPr>
                <w:rFonts w:ascii="Aptos Narrow" w:hAnsi="Aptos Narrow"/>
              </w:rPr>
            </w:pPr>
            <w:r w:rsidRPr="006E38F4">
              <w:rPr>
                <w:rFonts w:ascii="Aptos Narrow" w:hAnsi="Aptos Narrow"/>
              </w:rPr>
              <w:t>~2 minutes</w:t>
            </w:r>
          </w:p>
        </w:tc>
        <w:tc>
          <w:tcPr>
            <w:tcW w:w="5220" w:type="dxa"/>
          </w:tcPr>
          <w:p w14:paraId="7FCE714E" w14:textId="558008BF" w:rsidR="00C0165E" w:rsidRPr="006E38F4" w:rsidRDefault="00401639">
            <w:pPr>
              <w:rPr>
                <w:rFonts w:ascii="Aptos Narrow" w:hAnsi="Aptos Narrow"/>
              </w:rPr>
            </w:pPr>
            <w:r w:rsidRPr="006E38F4">
              <w:rPr>
                <w:rFonts w:ascii="Aptos Narrow" w:hAnsi="Aptos Narrow"/>
              </w:rPr>
              <w:t>~2 minutes</w:t>
            </w:r>
          </w:p>
        </w:tc>
        <w:tc>
          <w:tcPr>
            <w:tcW w:w="3693" w:type="dxa"/>
          </w:tcPr>
          <w:p w14:paraId="2DDDAE67" w14:textId="15F8B609" w:rsidR="00C0165E" w:rsidRPr="006E38F4" w:rsidRDefault="00C0165E">
            <w:pPr>
              <w:rPr>
                <w:rFonts w:ascii="Aptos Narrow" w:hAnsi="Aptos Narrow"/>
              </w:rPr>
            </w:pPr>
            <w:r w:rsidRPr="006E38F4">
              <w:rPr>
                <w:rFonts w:ascii="Aptos Narrow" w:hAnsi="Aptos Narrow"/>
              </w:rPr>
              <w:t>15 to 30 minutes</w:t>
            </w:r>
          </w:p>
        </w:tc>
      </w:tr>
      <w:tr w:rsidR="006E38F4" w:rsidRPr="006E38F4" w14:paraId="23D47476" w14:textId="77777777" w:rsidTr="00C0165E">
        <w:tc>
          <w:tcPr>
            <w:tcW w:w="2065" w:type="dxa"/>
          </w:tcPr>
          <w:p w14:paraId="0009AC39" w14:textId="43D87593" w:rsidR="00C0165E" w:rsidRPr="006E38F4" w:rsidRDefault="00C0165E">
            <w:pPr>
              <w:rPr>
                <w:rFonts w:ascii="Aptos Narrow" w:hAnsi="Aptos Narrow"/>
              </w:rPr>
            </w:pPr>
            <w:r w:rsidRPr="006E38F4">
              <w:rPr>
                <w:rFonts w:ascii="Aptos Narrow" w:hAnsi="Aptos Narrow"/>
              </w:rPr>
              <w:t xml:space="preserve">Level of skill </w:t>
            </w:r>
            <w:r w:rsidR="006657ED" w:rsidRPr="006E38F4">
              <w:rPr>
                <w:rFonts w:ascii="Aptos Narrow" w:hAnsi="Aptos Narrow"/>
              </w:rPr>
              <w:t>needed</w:t>
            </w:r>
            <w:r w:rsidRPr="006E38F4">
              <w:rPr>
                <w:rFonts w:ascii="Aptos Narrow" w:hAnsi="Aptos Narrow"/>
              </w:rPr>
              <w:t xml:space="preserve"> to operate</w:t>
            </w:r>
          </w:p>
        </w:tc>
        <w:tc>
          <w:tcPr>
            <w:tcW w:w="4410" w:type="dxa"/>
          </w:tcPr>
          <w:p w14:paraId="0E20A787" w14:textId="4403DB23" w:rsidR="00C0165E" w:rsidRPr="006E38F4" w:rsidRDefault="00C0165E">
            <w:pPr>
              <w:rPr>
                <w:rFonts w:ascii="Aptos Narrow" w:hAnsi="Aptos Narrow"/>
              </w:rPr>
            </w:pPr>
            <w:r w:rsidRPr="006E38F4">
              <w:rPr>
                <w:rFonts w:ascii="Aptos Narrow" w:hAnsi="Aptos Narrow"/>
              </w:rPr>
              <w:t>Community level. Non-health worker</w:t>
            </w:r>
          </w:p>
        </w:tc>
        <w:tc>
          <w:tcPr>
            <w:tcW w:w="5220" w:type="dxa"/>
          </w:tcPr>
          <w:p w14:paraId="15C7AEF4" w14:textId="35936848" w:rsidR="00C0165E" w:rsidRPr="006E38F4" w:rsidRDefault="00C0165E">
            <w:pPr>
              <w:rPr>
                <w:rFonts w:ascii="Aptos Narrow" w:hAnsi="Aptos Narrow"/>
              </w:rPr>
            </w:pPr>
            <w:r w:rsidRPr="006E38F4">
              <w:rPr>
                <w:rFonts w:ascii="Aptos Narrow" w:hAnsi="Aptos Narrow"/>
              </w:rPr>
              <w:t>Community level. Non-health worker</w:t>
            </w:r>
          </w:p>
        </w:tc>
        <w:tc>
          <w:tcPr>
            <w:tcW w:w="3693" w:type="dxa"/>
          </w:tcPr>
          <w:p w14:paraId="1405393E" w14:textId="77777777" w:rsidR="00D832BE" w:rsidRPr="006E38F4" w:rsidRDefault="00C0165E" w:rsidP="00C0165E">
            <w:pPr>
              <w:rPr>
                <w:rFonts w:ascii="Aptos Narrow" w:hAnsi="Aptos Narrow"/>
              </w:rPr>
            </w:pPr>
            <w:r w:rsidRPr="006E38F4">
              <w:rPr>
                <w:rFonts w:ascii="Aptos Narrow" w:hAnsi="Aptos Narrow"/>
              </w:rPr>
              <w:t xml:space="preserve">Same as other oral fluid RDTs (such as </w:t>
            </w:r>
          </w:p>
          <w:p w14:paraId="288F7DA9" w14:textId="115FA95B" w:rsidR="00C0165E" w:rsidRPr="006E38F4" w:rsidRDefault="00C0165E" w:rsidP="00C0165E">
            <w:pPr>
              <w:rPr>
                <w:rFonts w:ascii="Aptos Narrow" w:hAnsi="Aptos Narrow"/>
              </w:rPr>
            </w:pPr>
            <w:r w:rsidRPr="006E38F4">
              <w:rPr>
                <w:rFonts w:ascii="Aptos Narrow" w:hAnsi="Aptos Narrow"/>
              </w:rPr>
              <w:t>COVID-19, HCV, HIV)</w:t>
            </w:r>
          </w:p>
        </w:tc>
      </w:tr>
      <w:tr w:rsidR="006E38F4" w:rsidRPr="006E38F4" w14:paraId="0490ADA3" w14:textId="77777777" w:rsidTr="00C0165E">
        <w:tc>
          <w:tcPr>
            <w:tcW w:w="2065" w:type="dxa"/>
          </w:tcPr>
          <w:p w14:paraId="28849FBF" w14:textId="191E6D13" w:rsidR="00C0165E" w:rsidRPr="006E38F4" w:rsidRDefault="00C0165E">
            <w:pPr>
              <w:rPr>
                <w:rFonts w:ascii="Aptos Narrow" w:hAnsi="Aptos Narrow"/>
              </w:rPr>
            </w:pPr>
            <w:r w:rsidRPr="006E38F4">
              <w:rPr>
                <w:rFonts w:ascii="Aptos Narrow" w:hAnsi="Aptos Narrow"/>
              </w:rPr>
              <w:t>Image</w:t>
            </w:r>
          </w:p>
        </w:tc>
        <w:tc>
          <w:tcPr>
            <w:tcW w:w="4410" w:type="dxa"/>
          </w:tcPr>
          <w:p w14:paraId="7F0346B1" w14:textId="3907C41E" w:rsidR="00A52B3A" w:rsidRPr="006E38F4" w:rsidRDefault="00A52B3A">
            <w:pPr>
              <w:rPr>
                <w:rFonts w:ascii="Aptos Narrow" w:hAnsi="Aptos Narrow"/>
              </w:rPr>
            </w:pPr>
            <w:r w:rsidRPr="006E38F4">
              <w:rPr>
                <w:rFonts w:ascii="Aptos Narrow" w:hAnsi="Aptos Narrow"/>
                <w:noProof/>
                <w:lang w:val="en-IN" w:eastAsia="en-IN"/>
              </w:rPr>
              <w:drawing>
                <wp:anchor distT="0" distB="0" distL="114300" distR="114300" simplePos="0" relativeHeight="251658240" behindDoc="1" locked="0" layoutInCell="1" allowOverlap="1" wp14:anchorId="6440C681" wp14:editId="4EA58549">
                  <wp:simplePos x="0" y="0"/>
                  <wp:positionH relativeFrom="column">
                    <wp:posOffset>-65405</wp:posOffset>
                  </wp:positionH>
                  <wp:positionV relativeFrom="paragraph">
                    <wp:posOffset>163195</wp:posOffset>
                  </wp:positionV>
                  <wp:extent cx="1188085" cy="885825"/>
                  <wp:effectExtent l="0" t="0" r="0" b="9525"/>
                  <wp:wrapTight wrapText="bothSides">
                    <wp:wrapPolygon edited="0">
                      <wp:start x="0" y="0"/>
                      <wp:lineTo x="0" y="21368"/>
                      <wp:lineTo x="21127" y="21368"/>
                      <wp:lineTo x="21127" y="0"/>
                      <wp:lineTo x="0" y="0"/>
                    </wp:wrapPolygon>
                  </wp:wrapTight>
                  <wp:docPr id="788458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58616" name="Picture 788458616"/>
                          <pic:cNvPicPr/>
                        </pic:nvPicPr>
                        <pic:blipFill rotWithShape="1">
                          <a:blip r:embed="rId7" cstate="print">
                            <a:extLst>
                              <a:ext uri="{28A0092B-C50C-407E-A947-70E740481C1C}">
                                <a14:useLocalDpi xmlns:a14="http://schemas.microsoft.com/office/drawing/2010/main" val="0"/>
                              </a:ext>
                            </a:extLst>
                          </a:blip>
                          <a:srcRect t="14679"/>
                          <a:stretch/>
                        </pic:blipFill>
                        <pic:spPr bwMode="auto">
                          <a:xfrm>
                            <a:off x="0" y="0"/>
                            <a:ext cx="1188085" cy="88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F123CE" w14:textId="662BCA96" w:rsidR="00C0165E" w:rsidRPr="006E38F4" w:rsidRDefault="00F70D40">
            <w:pPr>
              <w:rPr>
                <w:rFonts w:ascii="Aptos Narrow" w:hAnsi="Aptos Narrow"/>
              </w:rPr>
            </w:pPr>
            <w:r w:rsidRPr="006E38F4">
              <w:rPr>
                <w:rFonts w:ascii="Aptos Narrow" w:hAnsi="Aptos Narrow"/>
                <w:noProof/>
                <w:lang w:val="en-IN" w:eastAsia="en-IN"/>
              </w:rPr>
              <w:drawing>
                <wp:inline distT="0" distB="0" distL="0" distR="0" wp14:anchorId="5B8B18CA" wp14:editId="6CF2BBB2">
                  <wp:extent cx="1180659" cy="881380"/>
                  <wp:effectExtent l="0" t="0" r="635" b="0"/>
                  <wp:docPr id="515820495" name="Picture 2" descr="A person using an breath tes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20495" name="Picture 2" descr="A person using an breath test device&#10;&#10;Description automatically generated"/>
                          <pic:cNvPicPr/>
                        </pic:nvPicPr>
                        <pic:blipFill rotWithShape="1">
                          <a:blip r:embed="rId8" cstate="print">
                            <a:extLst>
                              <a:ext uri="{28A0092B-C50C-407E-A947-70E740481C1C}">
                                <a14:useLocalDpi xmlns:a14="http://schemas.microsoft.com/office/drawing/2010/main" val="0"/>
                              </a:ext>
                            </a:extLst>
                          </a:blip>
                          <a:srcRect t="13142"/>
                          <a:stretch/>
                        </pic:blipFill>
                        <pic:spPr bwMode="auto">
                          <a:xfrm>
                            <a:off x="0" y="0"/>
                            <a:ext cx="1207860" cy="901686"/>
                          </a:xfrm>
                          <a:prstGeom prst="rect">
                            <a:avLst/>
                          </a:prstGeom>
                          <a:ln>
                            <a:noFill/>
                          </a:ln>
                          <a:extLst>
                            <a:ext uri="{53640926-AAD7-44D8-BBD7-CCE9431645EC}">
                              <a14:shadowObscured xmlns:a14="http://schemas.microsoft.com/office/drawing/2010/main"/>
                            </a:ext>
                          </a:extLst>
                        </pic:spPr>
                      </pic:pic>
                    </a:graphicData>
                  </a:graphic>
                </wp:inline>
              </w:drawing>
            </w:r>
          </w:p>
        </w:tc>
        <w:tc>
          <w:tcPr>
            <w:tcW w:w="5220" w:type="dxa"/>
          </w:tcPr>
          <w:p w14:paraId="775B147F" w14:textId="77777777" w:rsidR="00A52B3A" w:rsidRPr="006E38F4" w:rsidRDefault="00A52B3A">
            <w:pPr>
              <w:rPr>
                <w:rFonts w:ascii="Aptos Narrow" w:hAnsi="Aptos Narrow"/>
              </w:rPr>
            </w:pPr>
          </w:p>
          <w:p w14:paraId="77F738E6" w14:textId="26B1356B" w:rsidR="00C0165E" w:rsidRPr="006E38F4" w:rsidRDefault="00F70D40">
            <w:pPr>
              <w:rPr>
                <w:rFonts w:ascii="Aptos Narrow" w:hAnsi="Aptos Narrow"/>
              </w:rPr>
            </w:pPr>
            <w:r w:rsidRPr="006E38F4">
              <w:rPr>
                <w:rFonts w:ascii="Aptos Narrow" w:hAnsi="Aptos Narrow"/>
                <w:noProof/>
                <w:lang w:val="en-IN" w:eastAsia="en-IN"/>
              </w:rPr>
              <w:drawing>
                <wp:inline distT="0" distB="0" distL="0" distR="0" wp14:anchorId="71A84332" wp14:editId="10824C95">
                  <wp:extent cx="1161856" cy="890270"/>
                  <wp:effectExtent l="0" t="0" r="635" b="5080"/>
                  <wp:docPr id="1330333091" name="Picture 3" descr="A finger scan test with a finger scan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33091" name="Picture 3" descr="A finger scan test with a finger scanner&#10;&#10;Description automatically generated"/>
                          <pic:cNvPicPr/>
                        </pic:nvPicPr>
                        <pic:blipFill rotWithShape="1">
                          <a:blip r:embed="rId9" cstate="print">
                            <a:extLst>
                              <a:ext uri="{28A0092B-C50C-407E-A947-70E740481C1C}">
                                <a14:useLocalDpi xmlns:a14="http://schemas.microsoft.com/office/drawing/2010/main" val="0"/>
                              </a:ext>
                            </a:extLst>
                          </a:blip>
                          <a:srcRect t="13564"/>
                          <a:stretch/>
                        </pic:blipFill>
                        <pic:spPr bwMode="auto">
                          <a:xfrm>
                            <a:off x="0" y="0"/>
                            <a:ext cx="1172780" cy="898641"/>
                          </a:xfrm>
                          <a:prstGeom prst="rect">
                            <a:avLst/>
                          </a:prstGeom>
                          <a:ln>
                            <a:noFill/>
                          </a:ln>
                          <a:extLst>
                            <a:ext uri="{53640926-AAD7-44D8-BBD7-CCE9431645EC}">
                              <a14:shadowObscured xmlns:a14="http://schemas.microsoft.com/office/drawing/2010/main"/>
                            </a:ext>
                          </a:extLst>
                        </pic:spPr>
                      </pic:pic>
                    </a:graphicData>
                  </a:graphic>
                </wp:inline>
              </w:drawing>
            </w:r>
            <w:r w:rsidR="00857DF1" w:rsidRPr="006E38F4">
              <w:rPr>
                <w:rFonts w:ascii="Aptos Narrow" w:hAnsi="Aptos Narrow"/>
              </w:rPr>
              <w:t xml:space="preserve">          </w:t>
            </w:r>
            <w:r w:rsidR="00857DF1" w:rsidRPr="006E38F4">
              <w:rPr>
                <w:noProof/>
                <w:lang w:val="en-IN" w:eastAsia="en-IN"/>
              </w:rPr>
              <w:drawing>
                <wp:inline distT="0" distB="0" distL="0" distR="0" wp14:anchorId="4F3A1851" wp14:editId="02C3B4D2">
                  <wp:extent cx="1168400" cy="885573"/>
                  <wp:effectExtent l="0" t="0" r="0" b="0"/>
                  <wp:docPr id="678361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569" t="40899" r="73953" b="34992"/>
                          <a:stretch/>
                        </pic:blipFill>
                        <pic:spPr bwMode="auto">
                          <a:xfrm>
                            <a:off x="0" y="0"/>
                            <a:ext cx="1172058" cy="8883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93" w:type="dxa"/>
          </w:tcPr>
          <w:p w14:paraId="2EC6BDA1" w14:textId="77777777" w:rsidR="00D832BE" w:rsidRPr="006E38F4" w:rsidRDefault="00D832BE" w:rsidP="00D832BE">
            <w:pPr>
              <w:tabs>
                <w:tab w:val="left" w:pos="2300"/>
              </w:tabs>
              <w:rPr>
                <w:rFonts w:ascii="Aptos Narrow" w:hAnsi="Aptos Narrow"/>
              </w:rPr>
            </w:pPr>
          </w:p>
          <w:p w14:paraId="624ED00F" w14:textId="19659E16" w:rsidR="00C0165E" w:rsidRPr="006E38F4" w:rsidRDefault="00857DF1" w:rsidP="00D832BE">
            <w:pPr>
              <w:tabs>
                <w:tab w:val="left" w:pos="2300"/>
              </w:tabs>
              <w:rPr>
                <w:rFonts w:ascii="Aptos Narrow" w:hAnsi="Aptos Narrow"/>
              </w:rPr>
            </w:pPr>
            <w:r w:rsidRPr="006E38F4">
              <w:rPr>
                <w:noProof/>
                <w:lang w:val="en-IN" w:eastAsia="en-IN"/>
              </w:rPr>
              <w:drawing>
                <wp:inline distT="0" distB="0" distL="0" distR="0" wp14:anchorId="5C1AF53E" wp14:editId="28FC8427">
                  <wp:extent cx="1168400" cy="885573"/>
                  <wp:effectExtent l="0" t="0" r="0" b="0"/>
                  <wp:docPr id="16430244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168" t="41245" r="45354" b="34646"/>
                          <a:stretch/>
                        </pic:blipFill>
                        <pic:spPr bwMode="auto">
                          <a:xfrm>
                            <a:off x="0" y="0"/>
                            <a:ext cx="1172058" cy="888345"/>
                          </a:xfrm>
                          <a:prstGeom prst="rect">
                            <a:avLst/>
                          </a:prstGeom>
                          <a:noFill/>
                          <a:ln>
                            <a:noFill/>
                          </a:ln>
                          <a:extLst>
                            <a:ext uri="{53640926-AAD7-44D8-BBD7-CCE9431645EC}">
                              <a14:shadowObscured xmlns:a14="http://schemas.microsoft.com/office/drawing/2010/main"/>
                            </a:ext>
                          </a:extLst>
                        </pic:spPr>
                      </pic:pic>
                    </a:graphicData>
                  </a:graphic>
                </wp:inline>
              </w:drawing>
            </w:r>
            <w:r w:rsidR="00D832BE" w:rsidRPr="006E38F4">
              <w:rPr>
                <w:rFonts w:ascii="Aptos Narrow" w:hAnsi="Aptos Narrow"/>
              </w:rPr>
              <w:tab/>
            </w:r>
          </w:p>
        </w:tc>
      </w:tr>
    </w:tbl>
    <w:p w14:paraId="332C3013" w14:textId="185DF9D9" w:rsidR="00F63C73" w:rsidRPr="006E38F4" w:rsidRDefault="003424AA">
      <w:r w:rsidRPr="006E38F4">
        <w:rPr>
          <w:noProof/>
          <w:lang w:val="en-IN" w:eastAsia="en-IN"/>
        </w:rPr>
        <mc:AlternateContent>
          <mc:Choice Requires="wps">
            <w:drawing>
              <wp:anchor distT="0" distB="0" distL="114300" distR="114300" simplePos="0" relativeHeight="251659264" behindDoc="0" locked="0" layoutInCell="1" allowOverlap="1" wp14:anchorId="3E6F24A0" wp14:editId="6846B1E0">
                <wp:simplePos x="0" y="0"/>
                <wp:positionH relativeFrom="margin">
                  <wp:align>right</wp:align>
                </wp:positionH>
                <wp:positionV relativeFrom="paragraph">
                  <wp:posOffset>158750</wp:posOffset>
                </wp:positionV>
                <wp:extent cx="914400" cy="457200"/>
                <wp:effectExtent l="0" t="0" r="26670" b="19050"/>
                <wp:wrapNone/>
                <wp:docPr id="1899663627" name="Text Box 5"/>
                <wp:cNvGraphicFramePr/>
                <a:graphic xmlns:a="http://schemas.openxmlformats.org/drawingml/2006/main">
                  <a:graphicData uri="http://schemas.microsoft.com/office/word/2010/wordprocessingShape">
                    <wps:wsp>
                      <wps:cNvSpPr txBox="1"/>
                      <wps:spPr>
                        <a:xfrm>
                          <a:off x="0" y="0"/>
                          <a:ext cx="914400" cy="457200"/>
                        </a:xfrm>
                        <a:prstGeom prst="rect">
                          <a:avLst/>
                        </a:prstGeom>
                        <a:solidFill>
                          <a:schemeClr val="lt1"/>
                        </a:solidFill>
                        <a:ln w="6350">
                          <a:solidFill>
                            <a:prstClr val="black"/>
                          </a:solidFill>
                        </a:ln>
                      </wps:spPr>
                      <wps:txbx>
                        <w:txbxContent>
                          <w:p w14:paraId="256AF092" w14:textId="77777777" w:rsidR="00F70D40" w:rsidRPr="00F70D40" w:rsidRDefault="00F70D40" w:rsidP="00F70D40">
                            <w:pPr>
                              <w:jc w:val="center"/>
                            </w:pPr>
                            <w:r w:rsidRPr="00F70D40">
                              <w:t xml:space="preserve">Please note photos are for demonstration purposes only and may not reflect the final design of the malaria non-invasive tests. </w:t>
                            </w:r>
                            <w:r w:rsidRPr="00F70D40">
                              <w:br/>
                            </w:r>
                            <w:r w:rsidRPr="00F70D40">
                              <w:rPr>
                                <w:b/>
                                <w:bCs/>
                              </w:rPr>
                              <w:t>The sensitivity, specificity and cost are based on prototypes and expert opinion and may change</w:t>
                            </w:r>
                          </w:p>
                          <w:p w14:paraId="7C910936" w14:textId="77777777" w:rsidR="00F70D40" w:rsidRDefault="00F70D40" w:rsidP="00F70D40">
                            <w:pPr>
                              <w:jc w:val="cente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6F24A0" id="_x0000_t202" coordsize="21600,21600" o:spt="202" path="m,l,21600r21600,l21600,xe">
                <v:stroke joinstyle="miter"/>
                <v:path gradientshapeok="t" o:connecttype="rect"/>
              </v:shapetype>
              <v:shape id="Text Box 5" o:spid="_x0000_s1026" type="#_x0000_t202" style="position:absolute;margin-left:20.8pt;margin-top:12.5pt;width:1in;height:36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" fillcolor="white [3201]" strokeweight=".5pt">
                <v:textbox>
                  <w:txbxContent>
                    <w:p w14:paraId="256AF092" w14:textId="77777777" w:rsidR="00F70D40" w:rsidRPr="00F70D40" w:rsidRDefault="00F70D40" w:rsidP="00F70D40">
                      <w:pPr>
                        <w:jc w:val="center"/>
                      </w:pPr>
                      <w:r w:rsidRPr="00F70D40">
                        <w:t xml:space="preserve">Please note photos are for demonstration purposes only and may not reflect the final design of the malaria non-invasive tests. </w:t>
                      </w:r>
                      <w:r w:rsidRPr="00F70D40">
                        <w:br/>
                      </w:r>
                      <w:r w:rsidRPr="00F70D40">
                        <w:rPr>
                          <w:b/>
                          <w:bCs/>
                        </w:rPr>
                        <w:t>The sensitivity, specificity and cost are based on prototypes and expert opinion and may change</w:t>
                      </w:r>
                    </w:p>
                    <w:p w14:paraId="7C910936" w14:textId="77777777" w:rsidR="00F70D40" w:rsidRDefault="00F70D40" w:rsidP="00F70D40">
                      <w:pPr>
                        <w:jc w:val="center"/>
                      </w:pPr>
                    </w:p>
                  </w:txbxContent>
                </v:textbox>
                <w10:wrap anchorx="margin"/>
              </v:shape>
            </w:pict>
          </mc:Fallback>
        </mc:AlternateContent>
      </w:r>
    </w:p>
    <w:sectPr w:rsidR="00F63C73" w:rsidRPr="006E38F4" w:rsidSect="006E38F4">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A982D" w14:textId="77777777" w:rsidR="001B6579" w:rsidRDefault="001B6579" w:rsidP="00D832BE">
      <w:pPr>
        <w:spacing w:after="0" w:line="240" w:lineRule="auto"/>
      </w:pPr>
      <w:r>
        <w:separator/>
      </w:r>
    </w:p>
  </w:endnote>
  <w:endnote w:type="continuationSeparator" w:id="0">
    <w:p w14:paraId="29DF2FC0" w14:textId="77777777" w:rsidR="001B6579" w:rsidRDefault="001B6579" w:rsidP="00D83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Narrow">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A23A4" w14:textId="77777777" w:rsidR="001B6579" w:rsidRDefault="001B6579" w:rsidP="00D832BE">
      <w:pPr>
        <w:spacing w:after="0" w:line="240" w:lineRule="auto"/>
      </w:pPr>
      <w:r>
        <w:separator/>
      </w:r>
    </w:p>
  </w:footnote>
  <w:footnote w:type="continuationSeparator" w:id="0">
    <w:p w14:paraId="281C6289" w14:textId="77777777" w:rsidR="001B6579" w:rsidRDefault="001B6579" w:rsidP="00D832BE">
      <w:pPr>
        <w:spacing w:after="0" w:line="240" w:lineRule="auto"/>
      </w:pPr>
      <w:r>
        <w:continuationSeparator/>
      </w:r>
    </w:p>
  </w:footnote>
  <w:footnote w:id="1">
    <w:p w14:paraId="20D91AE9" w14:textId="0C6299D5" w:rsidR="00D832BE" w:rsidRDefault="00D832BE">
      <w:pPr>
        <w:pStyle w:val="FootnoteText"/>
      </w:pPr>
      <w:r>
        <w:rPr>
          <w:rStyle w:val="FootnoteReference"/>
        </w:rPr>
        <w:footnoteRef/>
      </w:r>
      <w:r>
        <w:t xml:space="preserve"> </w:t>
      </w:r>
      <w:r w:rsidR="003424AA">
        <w:t>B</w:t>
      </w:r>
      <w:r w:rsidR="00847DD9" w:rsidRPr="00847DD9">
        <w:t>ased on ideal</w:t>
      </w:r>
      <w:r w:rsidR="00847DD9">
        <w:t xml:space="preserve"> </w:t>
      </w:r>
      <w:r w:rsidR="00847DD9" w:rsidRPr="00847DD9">
        <w:t>characteristics for prototype device</w:t>
      </w:r>
    </w:p>
  </w:footnote>
  <w:footnote w:id="2">
    <w:p w14:paraId="011C0C98" w14:textId="29695222" w:rsidR="00C548CA" w:rsidRDefault="00C548CA">
      <w:pPr>
        <w:pStyle w:val="FootnoteText"/>
      </w:pPr>
      <w:r>
        <w:rPr>
          <w:rStyle w:val="FootnoteReference"/>
        </w:rPr>
        <w:footnoteRef/>
      </w:r>
      <w:r>
        <w:t xml:space="preserve"> </w:t>
      </w:r>
      <w:r w:rsidR="003424AA" w:rsidRPr="003424AA">
        <w:t>Garcia GA, Kariyawasam TN, Lord AR, da Costa CF, Chaves LB, Lima-Junior JDC, Maciel-de-Freitas R, Sikulu-Lord MT. Malaria absorption peaks acquired through the skin of patients with infrared light can detect patients with varying parasitemia. PNAS Nexus. 2022 Dec 7;1(5):pgac272. doi: 10.1093/pnasnexus/pgac272. PMID: 36712329; PMCID: PMC9802436.</w:t>
      </w:r>
    </w:p>
  </w:footnote>
  <w:footnote w:id="3">
    <w:p w14:paraId="4BA1752E" w14:textId="0B77C87B" w:rsidR="0049796D" w:rsidRDefault="0049796D">
      <w:pPr>
        <w:pStyle w:val="FootnoteText"/>
      </w:pPr>
      <w:r>
        <w:rPr>
          <w:rStyle w:val="FootnoteReference"/>
        </w:rPr>
        <w:footnoteRef/>
      </w:r>
      <w:r>
        <w:t xml:space="preserve"> </w:t>
      </w:r>
      <w:r w:rsidRPr="0049796D">
        <w:t>Tao D, McGill B, Hamerly T, Kobayashi T, Khare P, Dziedzic A, Leski T, Holtz A, Shull B, Jedlicka AE, Walzer A, Slowey PD, Slowey CC, Nsango SE, Stenger DA, Chaponda M, Mulenga M, Jacobsen KH, Sullivan DJ, Ryan SJ, Ansumana R, Moss WJ, Morlais I, Dinglasan RR. A saliva-based rapid test to quantify the infectious subclinical malaria parasite reservoir. Sci Transl Med. 2019 Jan 2;11(473):eaan4479. doi: 10.1126/scitranslmed.aan4479. PMID: 30602535; PMCID: PMC6441545.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C73"/>
    <w:rsid w:val="00047CBE"/>
    <w:rsid w:val="000E4567"/>
    <w:rsid w:val="001A12BD"/>
    <w:rsid w:val="001B6579"/>
    <w:rsid w:val="002466C3"/>
    <w:rsid w:val="003424AA"/>
    <w:rsid w:val="00401639"/>
    <w:rsid w:val="0049796D"/>
    <w:rsid w:val="005C4B23"/>
    <w:rsid w:val="00622938"/>
    <w:rsid w:val="006657ED"/>
    <w:rsid w:val="006E38F4"/>
    <w:rsid w:val="006E5F39"/>
    <w:rsid w:val="00813DEC"/>
    <w:rsid w:val="00847DD9"/>
    <w:rsid w:val="00854CB3"/>
    <w:rsid w:val="00857DF1"/>
    <w:rsid w:val="009A096C"/>
    <w:rsid w:val="00A434F4"/>
    <w:rsid w:val="00A52B3A"/>
    <w:rsid w:val="00AB50EE"/>
    <w:rsid w:val="00B162DF"/>
    <w:rsid w:val="00C0165E"/>
    <w:rsid w:val="00C375C3"/>
    <w:rsid w:val="00C44228"/>
    <w:rsid w:val="00C548CA"/>
    <w:rsid w:val="00CC1958"/>
    <w:rsid w:val="00D832BE"/>
    <w:rsid w:val="00DF340F"/>
    <w:rsid w:val="00E344FA"/>
    <w:rsid w:val="00F51635"/>
    <w:rsid w:val="00F63C73"/>
    <w:rsid w:val="00F70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5F62D"/>
  <w15:chartTrackingRefBased/>
  <w15:docId w15:val="{A6D38436-45D5-4B2A-89F9-BA8824DCD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3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C73"/>
    <w:rPr>
      <w:rFonts w:eastAsiaTheme="majorEastAsia" w:cstheme="majorBidi"/>
      <w:color w:val="272727" w:themeColor="text1" w:themeTint="D8"/>
    </w:rPr>
  </w:style>
  <w:style w:type="paragraph" w:styleId="Title">
    <w:name w:val="Title"/>
    <w:basedOn w:val="Normal"/>
    <w:next w:val="Normal"/>
    <w:link w:val="TitleChar"/>
    <w:uiPriority w:val="10"/>
    <w:qFormat/>
    <w:rsid w:val="00F63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C73"/>
    <w:pPr>
      <w:spacing w:before="160"/>
      <w:jc w:val="center"/>
    </w:pPr>
    <w:rPr>
      <w:i/>
      <w:iCs/>
      <w:color w:val="404040" w:themeColor="text1" w:themeTint="BF"/>
    </w:rPr>
  </w:style>
  <w:style w:type="character" w:customStyle="1" w:styleId="QuoteChar">
    <w:name w:val="Quote Char"/>
    <w:basedOn w:val="DefaultParagraphFont"/>
    <w:link w:val="Quote"/>
    <w:uiPriority w:val="29"/>
    <w:rsid w:val="00F63C73"/>
    <w:rPr>
      <w:i/>
      <w:iCs/>
      <w:color w:val="404040" w:themeColor="text1" w:themeTint="BF"/>
    </w:rPr>
  </w:style>
  <w:style w:type="paragraph" w:styleId="ListParagraph">
    <w:name w:val="List Paragraph"/>
    <w:basedOn w:val="Normal"/>
    <w:uiPriority w:val="34"/>
    <w:qFormat/>
    <w:rsid w:val="00F63C73"/>
    <w:pPr>
      <w:ind w:left="720"/>
      <w:contextualSpacing/>
    </w:pPr>
  </w:style>
  <w:style w:type="character" w:styleId="IntenseEmphasis">
    <w:name w:val="Intense Emphasis"/>
    <w:basedOn w:val="DefaultParagraphFont"/>
    <w:uiPriority w:val="21"/>
    <w:qFormat/>
    <w:rsid w:val="00F63C73"/>
    <w:rPr>
      <w:i/>
      <w:iCs/>
      <w:color w:val="0F4761" w:themeColor="accent1" w:themeShade="BF"/>
    </w:rPr>
  </w:style>
  <w:style w:type="paragraph" w:styleId="IntenseQuote">
    <w:name w:val="Intense Quote"/>
    <w:basedOn w:val="Normal"/>
    <w:next w:val="Normal"/>
    <w:link w:val="IntenseQuoteChar"/>
    <w:uiPriority w:val="30"/>
    <w:qFormat/>
    <w:rsid w:val="00F63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C73"/>
    <w:rPr>
      <w:i/>
      <w:iCs/>
      <w:color w:val="0F4761" w:themeColor="accent1" w:themeShade="BF"/>
    </w:rPr>
  </w:style>
  <w:style w:type="character" w:styleId="IntenseReference">
    <w:name w:val="Intense Reference"/>
    <w:basedOn w:val="DefaultParagraphFont"/>
    <w:uiPriority w:val="32"/>
    <w:qFormat/>
    <w:rsid w:val="00F63C73"/>
    <w:rPr>
      <w:b/>
      <w:bCs/>
      <w:smallCaps/>
      <w:color w:val="0F4761" w:themeColor="accent1" w:themeShade="BF"/>
      <w:spacing w:val="5"/>
    </w:rPr>
  </w:style>
  <w:style w:type="table" w:styleId="TableGrid">
    <w:name w:val="Table Grid"/>
    <w:basedOn w:val="TableNormal"/>
    <w:uiPriority w:val="39"/>
    <w:rsid w:val="00C01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832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32BE"/>
    <w:rPr>
      <w:sz w:val="20"/>
      <w:szCs w:val="20"/>
    </w:rPr>
  </w:style>
  <w:style w:type="character" w:styleId="FootnoteReference">
    <w:name w:val="footnote reference"/>
    <w:basedOn w:val="DefaultParagraphFont"/>
    <w:uiPriority w:val="99"/>
    <w:semiHidden/>
    <w:unhideWhenUsed/>
    <w:rsid w:val="00D832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47823">
      <w:bodyDiv w:val="1"/>
      <w:marLeft w:val="0"/>
      <w:marRight w:val="0"/>
      <w:marTop w:val="0"/>
      <w:marBottom w:val="0"/>
      <w:divBdr>
        <w:top w:val="none" w:sz="0" w:space="0" w:color="auto"/>
        <w:left w:val="none" w:sz="0" w:space="0" w:color="auto"/>
        <w:bottom w:val="none" w:sz="0" w:space="0" w:color="auto"/>
        <w:right w:val="none" w:sz="0" w:space="0" w:color="auto"/>
      </w:divBdr>
    </w:div>
    <w:div w:id="97991630">
      <w:bodyDiv w:val="1"/>
      <w:marLeft w:val="0"/>
      <w:marRight w:val="0"/>
      <w:marTop w:val="0"/>
      <w:marBottom w:val="0"/>
      <w:divBdr>
        <w:top w:val="none" w:sz="0" w:space="0" w:color="auto"/>
        <w:left w:val="none" w:sz="0" w:space="0" w:color="auto"/>
        <w:bottom w:val="none" w:sz="0" w:space="0" w:color="auto"/>
        <w:right w:val="none" w:sz="0" w:space="0" w:color="auto"/>
      </w:divBdr>
    </w:div>
    <w:div w:id="353849906">
      <w:bodyDiv w:val="1"/>
      <w:marLeft w:val="0"/>
      <w:marRight w:val="0"/>
      <w:marTop w:val="0"/>
      <w:marBottom w:val="0"/>
      <w:divBdr>
        <w:top w:val="none" w:sz="0" w:space="0" w:color="auto"/>
        <w:left w:val="none" w:sz="0" w:space="0" w:color="auto"/>
        <w:bottom w:val="none" w:sz="0" w:space="0" w:color="auto"/>
        <w:right w:val="none" w:sz="0" w:space="0" w:color="auto"/>
      </w:divBdr>
    </w:div>
    <w:div w:id="765030531">
      <w:bodyDiv w:val="1"/>
      <w:marLeft w:val="0"/>
      <w:marRight w:val="0"/>
      <w:marTop w:val="0"/>
      <w:marBottom w:val="0"/>
      <w:divBdr>
        <w:top w:val="none" w:sz="0" w:space="0" w:color="auto"/>
        <w:left w:val="none" w:sz="0" w:space="0" w:color="auto"/>
        <w:bottom w:val="none" w:sz="0" w:space="0" w:color="auto"/>
        <w:right w:val="none" w:sz="0" w:space="0" w:color="auto"/>
      </w:divBdr>
    </w:div>
    <w:div w:id="837385924">
      <w:bodyDiv w:val="1"/>
      <w:marLeft w:val="0"/>
      <w:marRight w:val="0"/>
      <w:marTop w:val="0"/>
      <w:marBottom w:val="0"/>
      <w:divBdr>
        <w:top w:val="none" w:sz="0" w:space="0" w:color="auto"/>
        <w:left w:val="none" w:sz="0" w:space="0" w:color="auto"/>
        <w:bottom w:val="none" w:sz="0" w:space="0" w:color="auto"/>
        <w:right w:val="none" w:sz="0" w:space="0" w:color="auto"/>
      </w:divBdr>
    </w:div>
    <w:div w:id="1544757388">
      <w:bodyDiv w:val="1"/>
      <w:marLeft w:val="0"/>
      <w:marRight w:val="0"/>
      <w:marTop w:val="0"/>
      <w:marBottom w:val="0"/>
      <w:divBdr>
        <w:top w:val="none" w:sz="0" w:space="0" w:color="auto"/>
        <w:left w:val="none" w:sz="0" w:space="0" w:color="auto"/>
        <w:bottom w:val="none" w:sz="0" w:space="0" w:color="auto"/>
        <w:right w:val="none" w:sz="0" w:space="0" w:color="auto"/>
      </w:divBdr>
    </w:div>
    <w:div w:id="1754623263">
      <w:bodyDiv w:val="1"/>
      <w:marLeft w:val="0"/>
      <w:marRight w:val="0"/>
      <w:marTop w:val="0"/>
      <w:marBottom w:val="0"/>
      <w:divBdr>
        <w:top w:val="none" w:sz="0" w:space="0" w:color="auto"/>
        <w:left w:val="none" w:sz="0" w:space="0" w:color="auto"/>
        <w:bottom w:val="none" w:sz="0" w:space="0" w:color="auto"/>
        <w:right w:val="none" w:sz="0" w:space="0" w:color="auto"/>
      </w:divBdr>
    </w:div>
    <w:div w:id="186910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CBCA9-14FB-44DF-9C56-F5CEB1A3E57E}">
  <ds:schemaRefs>
    <ds:schemaRef ds:uri="http://schemas.openxmlformats.org/officeDocument/2006/bibliography"/>
  </ds:schemaRefs>
</ds:datastoreItem>
</file>

<file path=docMetadata/LabelInfo.xml><?xml version="1.0" encoding="utf-8"?>
<clbl:labelList xmlns:clbl="http://schemas.microsoft.com/office/2020/mipLabelMetadata">
  <clbl:label id="{8277b9de-ec8d-46a4-9b63-4b30e2b6c9a1}" enabled="0" method="" siteId="{8277b9de-ec8d-46a4-9b63-4b30e2b6c9a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Morrison</dc:creator>
  <cp:keywords/>
  <dc:description/>
  <cp:lastModifiedBy>Revathi   Thangaraj</cp:lastModifiedBy>
  <cp:revision>3</cp:revision>
  <dcterms:created xsi:type="dcterms:W3CDTF">2025-01-22T18:19:00Z</dcterms:created>
  <dcterms:modified xsi:type="dcterms:W3CDTF">2025-01-25T10:25:00Z</dcterms:modified>
</cp:coreProperties>
</file>