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D7F5" w14:textId="60397BA6" w:rsidR="004F38B6" w:rsidRPr="00BF79D4" w:rsidRDefault="004F38B6" w:rsidP="003571BC">
      <w:pPr>
        <w:spacing w:after="240" w:line="360" w:lineRule="auto"/>
        <w:rPr>
          <w:rFonts w:ascii="Arial" w:hAnsi="Arial" w:cs="Arial"/>
          <w:b/>
          <w:bCs/>
          <w:sz w:val="28"/>
          <w:szCs w:val="28"/>
        </w:rPr>
      </w:pPr>
      <w:r w:rsidRPr="00BF79D4">
        <w:rPr>
          <w:rFonts w:ascii="Arial" w:hAnsi="Arial" w:cs="Arial"/>
          <w:b/>
          <w:bCs/>
          <w:sz w:val="28"/>
          <w:szCs w:val="28"/>
        </w:rPr>
        <w:t>Supplementary information</w:t>
      </w:r>
    </w:p>
    <w:p w14:paraId="2B5D2AA3" w14:textId="4A4ADBCB" w:rsidR="00955597" w:rsidRPr="00BF79D4" w:rsidRDefault="00955597" w:rsidP="003571BC">
      <w:pPr>
        <w:spacing w:after="24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F79D4">
        <w:rPr>
          <w:rFonts w:ascii="Arial" w:hAnsi="Arial" w:cs="Arial"/>
          <w:b/>
          <w:bCs/>
          <w:sz w:val="28"/>
          <w:szCs w:val="28"/>
        </w:rPr>
        <w:t>A power analysis framework to aid the design of robust semi-field vector control experiments</w:t>
      </w:r>
    </w:p>
    <w:p w14:paraId="30396F34" w14:textId="5B4280CD" w:rsidR="00955597" w:rsidRPr="005252C2" w:rsidRDefault="00955597" w:rsidP="003571BC">
      <w:pPr>
        <w:spacing w:line="360" w:lineRule="auto"/>
        <w:jc w:val="center"/>
        <w:rPr>
          <w:rFonts w:ascii="Arial" w:hAnsi="Arial" w:cs="Arial"/>
          <w:vertAlign w:val="superscript"/>
        </w:rPr>
      </w:pPr>
      <w:r w:rsidRPr="005252C2">
        <w:rPr>
          <w:rFonts w:ascii="Arial" w:hAnsi="Arial" w:cs="Arial"/>
        </w:rPr>
        <w:t>Andrea M. Kipingu</w:t>
      </w:r>
      <w:r w:rsidRPr="005252C2">
        <w:rPr>
          <w:rFonts w:ascii="Arial" w:hAnsi="Arial" w:cs="Arial"/>
          <w:vertAlign w:val="superscript"/>
        </w:rPr>
        <w:t>1,2,*,</w:t>
      </w:r>
      <w:hyperlink r:id="rId7" w:history="1">
        <w:r w:rsidRPr="005252C2">
          <w:rPr>
            <w:rStyle w:val="Hyperlink"/>
            <w:rFonts w:ascii="Arial" w:hAnsi="Arial" w:cs="Arial"/>
            <w:vertAlign w:val="superscript"/>
          </w:rPr>
          <w:t>ORCID</w:t>
        </w:r>
      </w:hyperlink>
      <w:r w:rsidRPr="005252C2">
        <w:rPr>
          <w:rFonts w:ascii="Arial" w:hAnsi="Arial" w:cs="Arial"/>
        </w:rPr>
        <w:t xml:space="preserve"> Dickson W. Lw</w:t>
      </w:r>
      <w:r w:rsidR="0066438A">
        <w:rPr>
          <w:rFonts w:ascii="Arial" w:hAnsi="Arial" w:cs="Arial"/>
        </w:rPr>
        <w:t>e</w:t>
      </w:r>
      <w:r w:rsidRPr="005252C2">
        <w:rPr>
          <w:rFonts w:ascii="Arial" w:hAnsi="Arial" w:cs="Arial"/>
        </w:rPr>
        <w:t>to</w:t>
      </w:r>
      <w:r w:rsidR="0066438A">
        <w:rPr>
          <w:rFonts w:ascii="Arial" w:hAnsi="Arial" w:cs="Arial"/>
        </w:rPr>
        <w:t>i</w:t>
      </w:r>
      <w:r w:rsidRPr="005252C2">
        <w:rPr>
          <w:rFonts w:ascii="Arial" w:hAnsi="Arial" w:cs="Arial"/>
        </w:rPr>
        <w:t>jera</w:t>
      </w:r>
      <w:r w:rsidRPr="005252C2">
        <w:rPr>
          <w:rFonts w:ascii="Arial" w:hAnsi="Arial" w:cs="Arial"/>
          <w:vertAlign w:val="superscript"/>
        </w:rPr>
        <w:t>2,</w:t>
      </w:r>
      <w:hyperlink r:id="rId8" w:history="1">
        <w:r w:rsidRPr="005252C2">
          <w:rPr>
            <w:rStyle w:val="Hyperlink"/>
            <w:rFonts w:ascii="Arial" w:hAnsi="Arial" w:cs="Arial"/>
            <w:vertAlign w:val="superscript"/>
          </w:rPr>
          <w:t>ORCID</w:t>
        </w:r>
      </w:hyperlink>
      <w:r w:rsidRPr="005252C2">
        <w:rPr>
          <w:rFonts w:ascii="Arial" w:hAnsi="Arial" w:cs="Arial"/>
        </w:rPr>
        <w:t xml:space="preserve"> Kija R. Ng’habi</w:t>
      </w:r>
      <w:r w:rsidRPr="005252C2">
        <w:rPr>
          <w:rFonts w:ascii="Arial" w:hAnsi="Arial" w:cs="Arial"/>
          <w:vertAlign w:val="superscript"/>
        </w:rPr>
        <w:t>4</w:t>
      </w:r>
      <w:r w:rsidRPr="005252C2">
        <w:rPr>
          <w:rFonts w:ascii="Arial" w:hAnsi="Arial" w:cs="Arial"/>
        </w:rPr>
        <w:t xml:space="preserve"> Samson S. Kiware</w:t>
      </w:r>
      <w:r w:rsidRPr="005252C2">
        <w:rPr>
          <w:rFonts w:ascii="Arial" w:hAnsi="Arial" w:cs="Arial"/>
          <w:vertAlign w:val="superscript"/>
        </w:rPr>
        <w:t>2,3,</w:t>
      </w:r>
      <w:hyperlink r:id="rId9" w:history="1">
        <w:r w:rsidRPr="005252C2">
          <w:rPr>
            <w:rStyle w:val="Hyperlink"/>
            <w:rFonts w:ascii="Arial" w:hAnsi="Arial" w:cs="Arial"/>
            <w:vertAlign w:val="superscript"/>
          </w:rPr>
          <w:t>ORCID</w:t>
        </w:r>
      </w:hyperlink>
      <w:r w:rsidRPr="005252C2">
        <w:rPr>
          <w:rFonts w:ascii="Arial" w:hAnsi="Arial" w:cs="Arial"/>
        </w:rPr>
        <w:t xml:space="preserve"> Mafalda Viana</w:t>
      </w:r>
      <w:r w:rsidRPr="005252C2">
        <w:rPr>
          <w:rFonts w:ascii="Arial" w:hAnsi="Arial" w:cs="Arial"/>
          <w:vertAlign w:val="superscript"/>
        </w:rPr>
        <w:t>1,§,</w:t>
      </w:r>
      <w:hyperlink r:id="rId10" w:history="1">
        <w:r w:rsidRPr="005252C2">
          <w:rPr>
            <w:rStyle w:val="Hyperlink"/>
            <w:rFonts w:ascii="Arial" w:hAnsi="Arial" w:cs="Arial"/>
            <w:vertAlign w:val="superscript"/>
          </w:rPr>
          <w:t>ORCID</w:t>
        </w:r>
      </w:hyperlink>
      <w:r w:rsidRPr="005252C2">
        <w:rPr>
          <w:rFonts w:ascii="Arial" w:hAnsi="Arial" w:cs="Arial"/>
        </w:rPr>
        <w:t xml:space="preserve"> Paul C. D. Johnson</w:t>
      </w:r>
      <w:r w:rsidRPr="005252C2">
        <w:rPr>
          <w:rFonts w:ascii="Arial" w:hAnsi="Arial" w:cs="Arial"/>
          <w:vertAlign w:val="superscript"/>
        </w:rPr>
        <w:t>1,§,*,</w:t>
      </w:r>
      <w:hyperlink r:id="rId11" w:history="1">
        <w:r w:rsidRPr="005252C2">
          <w:rPr>
            <w:rStyle w:val="Hyperlink"/>
            <w:rFonts w:ascii="Arial" w:hAnsi="Arial" w:cs="Arial"/>
            <w:vertAlign w:val="superscript"/>
          </w:rPr>
          <w:t>ORCID</w:t>
        </w:r>
      </w:hyperlink>
      <w:r w:rsidR="00B5584A">
        <w:rPr>
          <w:rStyle w:val="Hyperlink"/>
          <w:rFonts w:ascii="Arial" w:hAnsi="Arial" w:cs="Arial"/>
          <w:vertAlign w:val="superscript"/>
        </w:rPr>
        <w:t xml:space="preserve"> </w:t>
      </w:r>
    </w:p>
    <w:p w14:paraId="213C9FA2" w14:textId="77777777" w:rsidR="00937550" w:rsidRPr="002E1961" w:rsidRDefault="00937550" w:rsidP="003571BC">
      <w:pPr>
        <w:spacing w:before="240" w:after="240" w:line="360" w:lineRule="auto"/>
        <w:rPr>
          <w:rFonts w:ascii="Arial" w:hAnsi="Arial" w:cs="Arial"/>
        </w:rPr>
      </w:pPr>
      <w:r w:rsidRPr="002E1961">
        <w:rPr>
          <w:rFonts w:ascii="Arial" w:hAnsi="Arial" w:cs="Arial"/>
          <w:b/>
          <w:bCs/>
          <w:vertAlign w:val="superscript"/>
        </w:rPr>
        <w:t>*</w:t>
      </w:r>
      <w:r w:rsidRPr="002E1961">
        <w:rPr>
          <w:rFonts w:ascii="Arial" w:hAnsi="Arial" w:cs="Arial"/>
          <w:b/>
          <w:bCs/>
        </w:rPr>
        <w:t>Corresponding author</w:t>
      </w:r>
      <w:r>
        <w:rPr>
          <w:rFonts w:ascii="Arial" w:hAnsi="Arial" w:cs="Arial"/>
          <w:b/>
          <w:bCs/>
        </w:rPr>
        <w:t>s</w:t>
      </w:r>
      <w:r w:rsidRPr="002E196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hyperlink r:id="rId12" w:history="1">
        <w:r w:rsidRPr="00E07E96">
          <w:rPr>
            <w:rStyle w:val="Hyperlink"/>
            <w:rFonts w:ascii="Arial" w:hAnsi="Arial" w:cs="Arial"/>
          </w:rPr>
          <w:t>akipingu@ihi.or.tz</w:t>
        </w:r>
      </w:hyperlink>
      <w:r>
        <w:rPr>
          <w:rFonts w:ascii="Arial" w:hAnsi="Arial" w:cs="Arial"/>
          <w:b/>
          <w:bCs/>
        </w:rPr>
        <w:t xml:space="preserve"> &amp; </w:t>
      </w:r>
      <w:hyperlink r:id="rId13" w:history="1">
        <w:r w:rsidRPr="00E07E96">
          <w:rPr>
            <w:rStyle w:val="Hyperlink"/>
            <w:rFonts w:ascii="Arial" w:hAnsi="Arial" w:cs="Arial"/>
          </w:rPr>
          <w:t>paul.johnson@glasgow.ac.uk</w:t>
        </w:r>
      </w:hyperlink>
      <w:r>
        <w:rPr>
          <w:rFonts w:ascii="Arial" w:hAnsi="Arial" w:cs="Arial"/>
          <w:b/>
          <w:bCs/>
        </w:rPr>
        <w:t xml:space="preserve"> </w:t>
      </w:r>
    </w:p>
    <w:p w14:paraId="6B25E626" w14:textId="2A2DC192" w:rsidR="009A1FEA" w:rsidRPr="00937550" w:rsidRDefault="00937550" w:rsidP="003571BC">
      <w:pPr>
        <w:spacing w:line="360" w:lineRule="auto"/>
        <w:rPr>
          <w:rFonts w:ascii="Arial" w:hAnsi="Arial" w:cs="Arial"/>
          <w:b/>
          <w:bCs/>
        </w:rPr>
      </w:pPr>
      <w:r w:rsidRPr="002E1961">
        <w:rPr>
          <w:rFonts w:ascii="Arial" w:hAnsi="Arial" w:cs="Arial"/>
          <w:b/>
          <w:bCs/>
          <w:vertAlign w:val="superscript"/>
        </w:rPr>
        <w:t>§</w:t>
      </w:r>
      <w:r w:rsidRPr="002E1961">
        <w:rPr>
          <w:rFonts w:ascii="Arial" w:hAnsi="Arial" w:cs="Arial"/>
          <w:b/>
          <w:bCs/>
        </w:rPr>
        <w:t>Joint senior authorship</w:t>
      </w:r>
    </w:p>
    <w:p w14:paraId="4E2E5067" w14:textId="33C7990F" w:rsidR="00B5584A" w:rsidRPr="00B5584A" w:rsidRDefault="00BF79D4" w:rsidP="003571BC">
      <w:pPr>
        <w:pStyle w:val="ListParagraph"/>
        <w:spacing w:before="240" w:after="200" w:line="360" w:lineRule="auto"/>
        <w:ind w:left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List of a</w:t>
      </w:r>
      <w:r w:rsidR="00B5584A">
        <w:rPr>
          <w:rFonts w:ascii="Arial" w:hAnsi="Arial" w:cs="Arial"/>
          <w:b/>
          <w:bCs/>
        </w:rPr>
        <w:t>ffiliations</w:t>
      </w:r>
    </w:p>
    <w:p w14:paraId="266BFC61" w14:textId="7EB70456" w:rsidR="00955597" w:rsidRPr="00007D45" w:rsidRDefault="00955597" w:rsidP="003571BC">
      <w:pPr>
        <w:pStyle w:val="ListParagraph"/>
        <w:numPr>
          <w:ilvl w:val="0"/>
          <w:numId w:val="5"/>
        </w:numPr>
        <w:spacing w:before="240" w:after="200" w:line="360" w:lineRule="auto"/>
        <w:jc w:val="both"/>
        <w:rPr>
          <w:rFonts w:ascii="Arial" w:hAnsi="Arial" w:cs="Arial"/>
          <w:b/>
          <w:bCs/>
        </w:rPr>
      </w:pPr>
      <w:r w:rsidRPr="00007D45">
        <w:rPr>
          <w:rFonts w:ascii="Arial" w:hAnsi="Arial" w:cs="Arial"/>
        </w:rPr>
        <w:t>School of Biodiversity, One Health and Veterinary Medicine, University of Glasgow, Graham Kerr Building, Glasgow G12 8QQ, United Kingdom</w:t>
      </w:r>
    </w:p>
    <w:p w14:paraId="17BDCA97" w14:textId="77777777" w:rsidR="00955597" w:rsidRPr="00007D45" w:rsidRDefault="00955597" w:rsidP="003571B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eastAsia="Times New Roman" w:hAnsi="Arial" w:cs="Arial"/>
          <w:lang w:eastAsia="en-GB"/>
        </w:rPr>
      </w:pPr>
      <w:r w:rsidRPr="00007D45">
        <w:rPr>
          <w:rFonts w:ascii="Arial" w:hAnsi="Arial" w:cs="Arial"/>
        </w:rPr>
        <w:t xml:space="preserve">Department of Environmental Health &amp; Ecological Sciences, Ifakara Health Institute, </w:t>
      </w:r>
      <w:r w:rsidRPr="00007D45">
        <w:rPr>
          <w:rFonts w:ascii="Arial" w:eastAsia="Times New Roman" w:hAnsi="Arial" w:cs="Arial"/>
          <w:shd w:val="clear" w:color="auto" w:fill="FFFFFF"/>
          <w:lang w:eastAsia="en-GB"/>
        </w:rPr>
        <w:t>P.O. Box 78 373, Dar es Salaam,</w:t>
      </w:r>
      <w:r w:rsidRPr="00007D45">
        <w:rPr>
          <w:rFonts w:ascii="Arial" w:hAnsi="Arial" w:cs="Arial"/>
        </w:rPr>
        <w:t xml:space="preserve"> Tanzania</w:t>
      </w:r>
    </w:p>
    <w:p w14:paraId="6711C2EB" w14:textId="77777777" w:rsidR="00955597" w:rsidRPr="00007D45" w:rsidRDefault="00955597" w:rsidP="003571B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007D45">
        <w:rPr>
          <w:rFonts w:ascii="Arial" w:hAnsi="Arial" w:cs="Arial"/>
        </w:rPr>
        <w:t>The Pan-African Mosquito Control Association, KEMRI Headquarters, Mbagathi Road, Nairobi, Nairobi 54840-00200, Kenya</w:t>
      </w:r>
    </w:p>
    <w:p w14:paraId="2F6F96D3" w14:textId="77777777" w:rsidR="00955597" w:rsidRPr="00007D45" w:rsidRDefault="00955597" w:rsidP="003571BC">
      <w:pPr>
        <w:numPr>
          <w:ilvl w:val="0"/>
          <w:numId w:val="5"/>
        </w:numPr>
        <w:spacing w:after="120" w:line="360" w:lineRule="auto"/>
        <w:jc w:val="both"/>
        <w:rPr>
          <w:rStyle w:val="normaltextrun"/>
          <w:rFonts w:ascii="Arial" w:eastAsia="Times New Roman" w:hAnsi="Arial" w:cs="Arial"/>
          <w:lang w:eastAsia="en-GB"/>
        </w:rPr>
      </w:pPr>
      <w:r w:rsidRPr="00007D45">
        <w:rPr>
          <w:rFonts w:ascii="Arial" w:eastAsia="Times New Roman" w:hAnsi="Arial" w:cs="Arial"/>
          <w:lang w:eastAsia="en-GB"/>
        </w:rPr>
        <w:t>Mbeya College of Health and Allied Sciences, University of Dar es Salaam, P. O. Box 608, Mbeya, Tanzania</w:t>
      </w:r>
    </w:p>
    <w:p w14:paraId="5A3A9793" w14:textId="101D068E" w:rsidR="004E5DCF" w:rsidRPr="00A76E47" w:rsidRDefault="00BF79D4" w:rsidP="003571BC">
      <w:pPr>
        <w:pStyle w:val="Author"/>
        <w:spacing w:before="240" w:line="36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List of e</w:t>
      </w:r>
      <w:r w:rsidR="00F561F4" w:rsidRPr="00A76E47">
        <w:rPr>
          <w:rFonts w:ascii="Arial" w:hAnsi="Arial" w:cs="Arial"/>
          <w:b/>
          <w:bCs/>
        </w:rPr>
        <w:t>mail address</w:t>
      </w:r>
      <w:r>
        <w:rPr>
          <w:rFonts w:ascii="Arial" w:hAnsi="Arial" w:cs="Arial"/>
          <w:b/>
          <w:bCs/>
        </w:rPr>
        <w:t>es</w:t>
      </w:r>
      <w:r w:rsidR="00F561F4" w:rsidRPr="00A76E47">
        <w:rPr>
          <w:rFonts w:ascii="Arial" w:hAnsi="Arial" w:cs="Arial"/>
          <w:b/>
          <w:bCs/>
        </w:rPr>
        <w:t>:</w:t>
      </w:r>
    </w:p>
    <w:p w14:paraId="48BEA151" w14:textId="0E6D13AA" w:rsidR="00A76E47" w:rsidRPr="00A76E47" w:rsidRDefault="00A76E47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76E47">
        <w:rPr>
          <w:rFonts w:ascii="Arial" w:hAnsi="Arial" w:cs="Arial"/>
        </w:rPr>
        <w:t>Andrea M. Kipingu</w:t>
      </w:r>
      <w:r w:rsidRPr="00A76E47">
        <w:rPr>
          <w:rFonts w:ascii="Arial" w:hAnsi="Arial" w:cs="Arial"/>
          <w:vertAlign w:val="superscript"/>
        </w:rPr>
        <w:t>1,2,*,</w:t>
      </w:r>
      <w:hyperlink r:id="rId14" w:history="1">
        <w:r w:rsidRPr="00A76E47">
          <w:rPr>
            <w:rStyle w:val="Hyperlink"/>
            <w:rFonts w:ascii="Arial" w:hAnsi="Arial" w:cs="Arial"/>
            <w:vertAlign w:val="superscript"/>
          </w:rPr>
          <w:t>ORCID</w:t>
        </w:r>
      </w:hyperlink>
      <w:r w:rsidR="003A603F">
        <w:rPr>
          <w:rFonts w:ascii="Arial" w:hAnsi="Arial" w:cs="Arial"/>
        </w:rPr>
        <w:t xml:space="preserve">: </w:t>
      </w:r>
      <w:hyperlink r:id="rId15" w:history="1">
        <w:r w:rsidR="00B83B5D" w:rsidRPr="00040F07">
          <w:rPr>
            <w:rStyle w:val="Hyperlink"/>
            <w:rFonts w:ascii="Arial" w:hAnsi="Arial" w:cs="Arial"/>
          </w:rPr>
          <w:t>akipingu@ihi.or.tz</w:t>
        </w:r>
      </w:hyperlink>
      <w:r w:rsidR="00950FB1">
        <w:rPr>
          <w:rFonts w:ascii="Arial" w:hAnsi="Arial" w:cs="Arial"/>
        </w:rPr>
        <w:t xml:space="preserve"> (</w:t>
      </w:r>
      <w:hyperlink r:id="rId16" w:history="1">
        <w:r w:rsidR="004B2B52" w:rsidRPr="00040F07">
          <w:rPr>
            <w:rStyle w:val="Hyperlink"/>
            <w:rFonts w:ascii="Arial" w:hAnsi="Arial" w:cs="Arial"/>
          </w:rPr>
          <w:t>andreakipingu@gmail.com</w:t>
        </w:r>
      </w:hyperlink>
      <w:r w:rsidR="004B2B52">
        <w:rPr>
          <w:rFonts w:ascii="Arial" w:hAnsi="Arial" w:cs="Arial"/>
        </w:rPr>
        <w:t>)</w:t>
      </w:r>
      <w:r w:rsidR="00950FB1">
        <w:rPr>
          <w:rFonts w:ascii="Arial" w:hAnsi="Arial" w:cs="Arial"/>
        </w:rPr>
        <w:t xml:space="preserve"> </w:t>
      </w:r>
    </w:p>
    <w:p w14:paraId="211D2192" w14:textId="36E24F34" w:rsidR="00A76E47" w:rsidRPr="00A76E47" w:rsidRDefault="00A76E47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76E47">
        <w:rPr>
          <w:rFonts w:ascii="Arial" w:hAnsi="Arial" w:cs="Arial"/>
        </w:rPr>
        <w:t>Dickson W. Lwatoejera</w:t>
      </w:r>
      <w:r w:rsidRPr="00A76E47">
        <w:rPr>
          <w:rFonts w:ascii="Arial" w:hAnsi="Arial" w:cs="Arial"/>
          <w:vertAlign w:val="superscript"/>
        </w:rPr>
        <w:t>2,</w:t>
      </w:r>
      <w:hyperlink r:id="rId17" w:history="1">
        <w:r w:rsidRPr="00A76E47">
          <w:rPr>
            <w:rStyle w:val="Hyperlink"/>
            <w:rFonts w:ascii="Arial" w:hAnsi="Arial" w:cs="Arial"/>
            <w:vertAlign w:val="superscript"/>
          </w:rPr>
          <w:t>ORCID</w:t>
        </w:r>
      </w:hyperlink>
      <w:r w:rsidR="003A603F">
        <w:rPr>
          <w:rFonts w:ascii="Arial" w:hAnsi="Arial" w:cs="Arial"/>
        </w:rPr>
        <w:t xml:space="preserve">: </w:t>
      </w:r>
      <w:hyperlink r:id="rId18" w:history="1">
        <w:r w:rsidR="0096262F" w:rsidRPr="00040F07">
          <w:rPr>
            <w:rStyle w:val="Hyperlink"/>
            <w:rFonts w:ascii="Arial" w:hAnsi="Arial" w:cs="Arial"/>
          </w:rPr>
          <w:t>dwilson@ihi.or.tz</w:t>
        </w:r>
      </w:hyperlink>
      <w:r w:rsidR="0096262F">
        <w:rPr>
          <w:rFonts w:ascii="Arial" w:hAnsi="Arial" w:cs="Arial"/>
        </w:rPr>
        <w:t xml:space="preserve"> </w:t>
      </w:r>
    </w:p>
    <w:p w14:paraId="3893CA3F" w14:textId="18B896BD" w:rsidR="00A76E47" w:rsidRPr="00A76E47" w:rsidRDefault="00A76E47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76E47">
        <w:rPr>
          <w:rFonts w:ascii="Arial" w:hAnsi="Arial" w:cs="Arial"/>
        </w:rPr>
        <w:t>Kija R. Ng’habi</w:t>
      </w:r>
      <w:r w:rsidRPr="00A76E47">
        <w:rPr>
          <w:rFonts w:ascii="Arial" w:hAnsi="Arial" w:cs="Arial"/>
          <w:vertAlign w:val="superscript"/>
        </w:rPr>
        <w:t>4</w:t>
      </w:r>
      <w:r w:rsidR="003A603F">
        <w:rPr>
          <w:rFonts w:ascii="Arial" w:hAnsi="Arial" w:cs="Arial"/>
        </w:rPr>
        <w:t xml:space="preserve">: </w:t>
      </w:r>
      <w:hyperlink r:id="rId19" w:history="1">
        <w:r w:rsidR="00950FB1" w:rsidRPr="00040F07">
          <w:rPr>
            <w:rStyle w:val="Hyperlink"/>
            <w:rFonts w:ascii="Arial" w:hAnsi="Arial" w:cs="Arial"/>
          </w:rPr>
          <w:t>ndyaisin@gmail.com</w:t>
        </w:r>
      </w:hyperlink>
      <w:r w:rsidR="00950FB1">
        <w:rPr>
          <w:rFonts w:ascii="Arial" w:hAnsi="Arial" w:cs="Arial"/>
        </w:rPr>
        <w:t xml:space="preserve"> </w:t>
      </w:r>
    </w:p>
    <w:p w14:paraId="7F636D7F" w14:textId="26DA7D2F" w:rsidR="00A76E47" w:rsidRPr="00A76E47" w:rsidRDefault="00A76E47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76E47">
        <w:rPr>
          <w:rFonts w:ascii="Arial" w:hAnsi="Arial" w:cs="Arial"/>
        </w:rPr>
        <w:t>Samson S. Kiware</w:t>
      </w:r>
      <w:r w:rsidRPr="00A76E47">
        <w:rPr>
          <w:rFonts w:ascii="Arial" w:hAnsi="Arial" w:cs="Arial"/>
          <w:vertAlign w:val="superscript"/>
        </w:rPr>
        <w:t>2,3,</w:t>
      </w:r>
      <w:hyperlink r:id="rId20" w:history="1">
        <w:r w:rsidRPr="00A76E47">
          <w:rPr>
            <w:rStyle w:val="Hyperlink"/>
            <w:rFonts w:ascii="Arial" w:hAnsi="Arial" w:cs="Arial"/>
            <w:vertAlign w:val="superscript"/>
          </w:rPr>
          <w:t>ORCID</w:t>
        </w:r>
      </w:hyperlink>
      <w:r w:rsidR="003A603F">
        <w:rPr>
          <w:rFonts w:ascii="Arial" w:hAnsi="Arial" w:cs="Arial"/>
        </w:rPr>
        <w:t>:</w:t>
      </w:r>
      <w:r w:rsidR="00B83B5D">
        <w:rPr>
          <w:rFonts w:ascii="Arial" w:hAnsi="Arial" w:cs="Arial"/>
        </w:rPr>
        <w:t xml:space="preserve"> </w:t>
      </w:r>
      <w:hyperlink r:id="rId21" w:history="1">
        <w:r w:rsidR="00B83B5D" w:rsidRPr="00040F07">
          <w:rPr>
            <w:rStyle w:val="Hyperlink"/>
            <w:rFonts w:ascii="Arial" w:hAnsi="Arial" w:cs="Arial"/>
          </w:rPr>
          <w:t>skiware@ihi.or.tz</w:t>
        </w:r>
      </w:hyperlink>
      <w:r w:rsidR="00B83B5D">
        <w:rPr>
          <w:rFonts w:ascii="Arial" w:hAnsi="Arial" w:cs="Arial"/>
        </w:rPr>
        <w:t xml:space="preserve"> </w:t>
      </w:r>
    </w:p>
    <w:p w14:paraId="77A14AE6" w14:textId="5683ED53" w:rsidR="00A76E47" w:rsidRPr="00A76E47" w:rsidRDefault="00A76E47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A76E47">
        <w:rPr>
          <w:rFonts w:ascii="Arial" w:hAnsi="Arial" w:cs="Arial"/>
        </w:rPr>
        <w:t>Mafalda Viana</w:t>
      </w:r>
      <w:r w:rsidRPr="00A76E47">
        <w:rPr>
          <w:rFonts w:ascii="Arial" w:hAnsi="Arial" w:cs="Arial"/>
          <w:vertAlign w:val="superscript"/>
        </w:rPr>
        <w:t>1,§,</w:t>
      </w:r>
      <w:hyperlink r:id="rId22" w:history="1">
        <w:r w:rsidRPr="00A76E47">
          <w:rPr>
            <w:rStyle w:val="Hyperlink"/>
            <w:rFonts w:ascii="Arial" w:hAnsi="Arial" w:cs="Arial"/>
            <w:vertAlign w:val="superscript"/>
          </w:rPr>
          <w:t>ORCID</w:t>
        </w:r>
      </w:hyperlink>
      <w:r w:rsidR="003A603F">
        <w:rPr>
          <w:rFonts w:ascii="Arial" w:hAnsi="Arial" w:cs="Arial"/>
        </w:rPr>
        <w:t xml:space="preserve">: </w:t>
      </w:r>
      <w:hyperlink r:id="rId23" w:history="1">
        <w:r w:rsidR="00B83B5D" w:rsidRPr="00040F07">
          <w:rPr>
            <w:rStyle w:val="Hyperlink"/>
            <w:rFonts w:ascii="Arial" w:hAnsi="Arial" w:cs="Arial"/>
          </w:rPr>
          <w:t>mafalda.viana@glasgow.ac.uk</w:t>
        </w:r>
      </w:hyperlink>
      <w:r w:rsidR="00B83B5D">
        <w:rPr>
          <w:rFonts w:ascii="Arial" w:hAnsi="Arial" w:cs="Arial"/>
        </w:rPr>
        <w:t xml:space="preserve"> </w:t>
      </w:r>
    </w:p>
    <w:p w14:paraId="18307D33" w14:textId="62504179" w:rsidR="00B83B5D" w:rsidRPr="00B83B5D" w:rsidRDefault="00B83B5D" w:rsidP="003571B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vertAlign w:val="superscript"/>
        </w:rPr>
      </w:pPr>
      <w:r w:rsidRPr="00A76E47">
        <w:rPr>
          <w:rFonts w:ascii="Arial" w:hAnsi="Arial" w:cs="Arial"/>
        </w:rPr>
        <w:t>Paul C. D. Johnson</w:t>
      </w:r>
      <w:r w:rsidRPr="00A76E47">
        <w:rPr>
          <w:rFonts w:ascii="Arial" w:hAnsi="Arial" w:cs="Arial"/>
          <w:vertAlign w:val="superscript"/>
        </w:rPr>
        <w:t>1,§,*,</w:t>
      </w:r>
      <w:hyperlink r:id="rId24" w:history="1">
        <w:r w:rsidRPr="00A76E47">
          <w:rPr>
            <w:rStyle w:val="Hyperlink"/>
            <w:rFonts w:ascii="Arial" w:hAnsi="Arial" w:cs="Arial"/>
            <w:vertAlign w:val="superscript"/>
          </w:rPr>
          <w:t>ORCID</w:t>
        </w:r>
      </w:hyperlink>
      <w:r w:rsidRPr="00B83B5D">
        <w:rPr>
          <w:rFonts w:ascii="Arial" w:hAnsi="Arial" w:cs="Arial"/>
        </w:rPr>
        <w:t xml:space="preserve">: </w:t>
      </w:r>
      <w:hyperlink r:id="rId25" w:history="1">
        <w:r w:rsidRPr="00040F07">
          <w:rPr>
            <w:rStyle w:val="Hyperlink"/>
            <w:rFonts w:ascii="Arial" w:hAnsi="Arial" w:cs="Arial"/>
          </w:rPr>
          <w:t>paul.johnson@glasgow.ac.uk</w:t>
        </w:r>
      </w:hyperlink>
      <w:r>
        <w:rPr>
          <w:rFonts w:ascii="Arial" w:hAnsi="Arial" w:cs="Arial"/>
        </w:rPr>
        <w:t xml:space="preserve"> </w:t>
      </w:r>
    </w:p>
    <w:p w14:paraId="4F67D16E" w14:textId="77777777" w:rsidR="00657918" w:rsidRDefault="00657918" w:rsidP="003571BC">
      <w:pPr>
        <w:spacing w:after="160" w:line="360" w:lineRule="auto"/>
        <w:rPr>
          <w:rFonts w:ascii="Arial" w:hAnsi="Arial" w:cs="Arial"/>
          <w:kern w:val="0"/>
          <w:lang w:val="en-US"/>
          <w14:ligatures w14:val="none"/>
        </w:rPr>
        <w:sectPr w:rsidR="00657918" w:rsidSect="004F156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DEAB0B1" w14:textId="7E8CBA90" w:rsidR="004E5DCF" w:rsidRPr="004E5DCF" w:rsidRDefault="004E5DCF" w:rsidP="003571BC">
      <w:pPr>
        <w:pStyle w:val="Author"/>
        <w:spacing w:before="240" w:line="360" w:lineRule="auto"/>
        <w:jc w:val="both"/>
        <w:rPr>
          <w:rFonts w:ascii="Arial" w:hAnsi="Arial" w:cs="Arial"/>
        </w:rPr>
      </w:pPr>
      <w:r w:rsidRPr="00F606E7">
        <w:rPr>
          <w:rFonts w:ascii="Arial" w:hAnsi="Arial" w:cs="Arial"/>
        </w:rPr>
        <w:lastRenderedPageBreak/>
        <w:t xml:space="preserve">List of </w:t>
      </w:r>
      <w:r>
        <w:rPr>
          <w:rFonts w:ascii="Arial" w:hAnsi="Arial" w:cs="Arial"/>
        </w:rPr>
        <w:t>selected</w:t>
      </w:r>
      <w:r w:rsidRPr="00F606E7">
        <w:rPr>
          <w:rFonts w:ascii="Arial" w:hAnsi="Arial" w:cs="Arial"/>
        </w:rPr>
        <w:t xml:space="preserve"> </w:t>
      </w:r>
      <w:r w:rsidR="00F53486" w:rsidRPr="00F606E7">
        <w:rPr>
          <w:rFonts w:ascii="Arial" w:hAnsi="Arial" w:cs="Arial"/>
        </w:rPr>
        <w:t xml:space="preserve">articles </w:t>
      </w:r>
      <w:r w:rsidRPr="00F606E7">
        <w:rPr>
          <w:rFonts w:ascii="Arial" w:hAnsi="Arial" w:cs="Arial"/>
        </w:rPr>
        <w:t>for review.</w:t>
      </w:r>
    </w:p>
    <w:p w14:paraId="62615272" w14:textId="77777777" w:rsidR="007B24A7" w:rsidRDefault="004F156B" w:rsidP="003571BC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101EA6">
        <w:rPr>
          <w:rFonts w:ascii="Arial" w:hAnsi="Arial" w:cs="Arial"/>
          <w:lang w:val="en-US"/>
        </w:rPr>
        <w:t xml:space="preserve">Malaria Journal articles </w:t>
      </w:r>
    </w:p>
    <w:p w14:paraId="1DFE79B9" w14:textId="65875EA7" w:rsidR="004F156B" w:rsidRPr="00101EA6" w:rsidRDefault="004F156B" w:rsidP="003571BC">
      <w:pPr>
        <w:spacing w:line="360" w:lineRule="auto"/>
        <w:jc w:val="both"/>
        <w:rPr>
          <w:rFonts w:ascii="Arial" w:hAnsi="Arial" w:cs="Arial"/>
          <w:lang w:val="en-US"/>
        </w:rPr>
      </w:pP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Use of power (2</w:t>
      </w:r>
      <w:r w:rsidR="00E613DA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6</w:t>
      </w: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%)</w:t>
      </w:r>
      <w:r w:rsidRPr="00101EA6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no use of power (7</w:t>
      </w:r>
      <w:r w:rsidR="00F226CE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4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%)</w:t>
      </w:r>
    </w:p>
    <w:p w14:paraId="4690632E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Vajda, É.A.,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Saeung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M., Ross, 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A semi-field evaluation in Thailand of the use of human landing catches (HLC) versus human-baited double net trap (HDN) for assessing the impact of a volatile pyrethroid spatial repellent and pyrethroid-treated clothing on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 xml:space="preserve">Anopheles </w:t>
      </w:r>
      <w:proofErr w:type="spellStart"/>
      <w:r w:rsidRPr="00101EA6">
        <w:rPr>
          <w:rFonts w:ascii="Arial" w:hAnsi="Arial" w:cs="Arial"/>
          <w:i/>
          <w:iCs/>
          <w:color w:val="FF0000"/>
        </w:rPr>
        <w:t>minimus</w:t>
      </w:r>
      <w:proofErr w:type="spellEnd"/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landing.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22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202 (2023). </w:t>
      </w:r>
      <w:hyperlink r:id="rId26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https://doi.org/10.1186/s12936-023-04619-x</w:t>
        </w:r>
      </w:hyperlink>
    </w:p>
    <w:p w14:paraId="2C39C5A9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Muyaga, L.L., Meza, F.C., Kahamba, N.F.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Effects of vegetation densities on the performance of attractive targeted sugar baits (ATSBs) for malaria vector control: a semi-field study.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22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190 (2023). </w:t>
      </w:r>
      <w:hyperlink r:id="rId27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https://doi.org/10.1186/s12936-023-04625-z</w:t>
        </w:r>
      </w:hyperlink>
    </w:p>
    <w:p w14:paraId="3F60B817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>Chanda, J., Wagman, J., Chanda, B.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Feeding rates of malaria vectors from a prototype attractive sugar bait station in Western Province, Zambia: results of an entomological validation study.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Malar J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22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70 (2023). </w:t>
      </w:r>
      <w:hyperlink r:id="rId28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https://doi.org/10.1186/s12936-023-04491-9</w:t>
        </w:r>
      </w:hyperlink>
    </w:p>
    <w:p w14:paraId="7C832012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bookmarkStart w:id="0" w:name="OLE_LINK1"/>
      <w:bookmarkStart w:id="1" w:name="OLE_LINK2"/>
      <w:r w:rsidRPr="00101EA6">
        <w:rPr>
          <w:rFonts w:ascii="Arial" w:hAnsi="Arial" w:cs="Arial"/>
          <w:color w:val="FF0000"/>
          <w:shd w:val="clear" w:color="auto" w:fill="FFFFFF"/>
        </w:rPr>
        <w:t>Gleave, K., Guy, A., Mechan, F.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Impacts of dual active-ingredient bed nets on the behavioural responses of pyrethroid resistant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gambiae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determined by room-scale infrared video tracking.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22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132 (2023). </w:t>
      </w:r>
      <w:hyperlink r:id="rId29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https://doi.org/10.1186/s12936-023-04548-9</w:t>
        </w:r>
      </w:hyperlink>
    </w:p>
    <w:bookmarkEnd w:id="0"/>
    <w:bookmarkEnd w:id="1"/>
    <w:p w14:paraId="4D724AF3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Swai, J.K., Kibondo, U.A.,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Ntabaliba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W.S.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CDC light traps underestimate the protective efficacy of an indoor spatial repellent against bites from wild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arabiensis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mosquitoes in Tanzania.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22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141 (2023). </w:t>
      </w:r>
      <w:hyperlink r:id="rId30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https://doi.org/10.1186/s12936-023-04568-5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34B22239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Mmbando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, A.S.,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Mponzi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, W.P., Ngowo, H.S.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Small-scale field evaluation of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transfluthrin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-treated eave ribbons and sandals for the control of malaria vectors in rural Tanzania.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Malar J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22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43 (2023). </w:t>
      </w:r>
      <w:hyperlink r:id="rId31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https://doi.org/10.1186/s12936-023-04476-8</w:t>
        </w:r>
      </w:hyperlink>
    </w:p>
    <w:p w14:paraId="30D7A54C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Yohana, R.,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Chisulumi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P.S.,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Kidima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W.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Anti-mosquito properties of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 xml:space="preserve">Pelargonium </w:t>
      </w:r>
      <w:proofErr w:type="spellStart"/>
      <w:r w:rsidRPr="00101EA6">
        <w:rPr>
          <w:rFonts w:ascii="Arial" w:hAnsi="Arial" w:cs="Arial"/>
          <w:i/>
          <w:iCs/>
          <w:color w:val="FF0000"/>
        </w:rPr>
        <w:t>roseum</w:t>
      </w:r>
      <w:proofErr w:type="spellEnd"/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(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Geraniaceae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) and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Juniperus virginiana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(Cupressaceae) essential oils against dominant malaria vectors in Africa.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21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219 (2022). </w:t>
      </w:r>
      <w:hyperlink r:id="rId32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https://doi.org/10.1186/s12936-022-04220-8</w:t>
        </w:r>
      </w:hyperlink>
    </w:p>
    <w:p w14:paraId="5BED1E1D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lastRenderedPageBreak/>
        <w:t>Govoetchan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R.,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Fongnikin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A., Syme, T.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VECTRON™ T500, a new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broflanilide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insecticide for indoor residual spraying, provides prolonged control of pyrethroid-resistant malaria vectors.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21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324 (2022). </w:t>
      </w:r>
      <w:hyperlink r:id="rId33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https://doi.org/10.1186/s12936-022-04336-x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32A91FA5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Mmbando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, A.S., Bradley, J.,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Kazimbaya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, D.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The effect of light and ventilation on house entry by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Anopheles arabiensis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sampled using light traps in Tanzania: an experimental hut study.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Malar J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21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36 (2022). </w:t>
      </w:r>
      <w:hyperlink r:id="rId34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https://doi.org/10.1186/s12936-022-04063-3</w:t>
        </w:r>
      </w:hyperlink>
      <w:r w:rsidRPr="00101EA6">
        <w:rPr>
          <w:rFonts w:ascii="Arial" w:hAnsi="Arial" w:cs="Arial"/>
          <w:color w:val="0070C0"/>
          <w:shd w:val="clear" w:color="auto" w:fill="FFFFFF"/>
        </w:rPr>
        <w:t xml:space="preserve"> </w:t>
      </w:r>
    </w:p>
    <w:p w14:paraId="1D2FC001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Hyperlink"/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>Tambwe, M.M., Moore, S., Hofer, 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Transfluthrin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 eave-positioned targeted insecticide (EPTI) reduces human landing rate (HLR) of pyrethroid resistant and susceptible malaria vectors in a semi-field simulated peridomestic space.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Malar J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20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357 (2021). </w:t>
      </w:r>
      <w:hyperlink r:id="rId35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https://doi.org/10.1186/s12936-021-03880-2</w:t>
        </w:r>
      </w:hyperlink>
    </w:p>
    <w:p w14:paraId="4BE5AFA5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Hyperlink"/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Kaindoa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E.W.,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Mmbando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A.S., Shirima, R.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Insecticide-treated eave ribbons for malaria vector control in low-income communities.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20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415 (2021). </w:t>
      </w:r>
      <w:hyperlink r:id="rId36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https://doi.org/10.1186/s12936-021-03945-2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45901925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Mbuba, E.,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Odufuwa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O.G., Tenywa, F.C.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Single blinded semi-field evaluation of MAÏA</w:t>
      </w:r>
      <w:r w:rsidRPr="00101EA6">
        <w:rPr>
          <w:rFonts w:ascii="Arial" w:hAnsi="Arial" w:cs="Arial"/>
          <w:color w:val="FF0000"/>
          <w:vertAlign w:val="superscript"/>
        </w:rPr>
        <w:t>®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topical repellent ointment compared to unformulated 20% DEET against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gambiae</w:t>
      </w:r>
      <w:r w:rsidRPr="00101EA6">
        <w:rPr>
          <w:rFonts w:ascii="Arial" w:hAnsi="Arial" w:cs="Arial"/>
          <w:color w:val="FF0000"/>
          <w:shd w:val="clear" w:color="auto" w:fill="FFFFFF"/>
        </w:rPr>
        <w:t>,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arabiensis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and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Aedes aegypti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 Tanzania.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20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12 (2021). </w:t>
      </w:r>
      <w:hyperlink r:id="rId37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https://doi.org/10.1186/s12936-020-03461-9</w:t>
        </w:r>
      </w:hyperlink>
    </w:p>
    <w:p w14:paraId="44216FDE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Osoro, J.K.,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Machani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M.G.,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Ochomo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E.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Insecticide resistance exerts significant fitness costs in immature stages of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gambiae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 western Kenya.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20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259 (2021). </w:t>
      </w:r>
      <w:hyperlink r:id="rId38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https://doi.org/10.1186/s12936-021-03798-9</w:t>
        </w:r>
      </w:hyperlink>
    </w:p>
    <w:p w14:paraId="4EE1389A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Nignan, C., Niang, A., Maïga, H.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Comparison of swarming, mating performance and longevity of males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 xml:space="preserve">Anopheles </w:t>
      </w:r>
      <w:proofErr w:type="spellStart"/>
      <w:r w:rsidRPr="00101EA6">
        <w:rPr>
          <w:rFonts w:ascii="Arial" w:hAnsi="Arial" w:cs="Arial"/>
          <w:i/>
          <w:iCs/>
          <w:color w:val="FF0000"/>
        </w:rPr>
        <w:t>coluzzii</w:t>
      </w:r>
      <w:proofErr w:type="spellEnd"/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between individuals fed with different natural fruit juices in laboratory and semi-field conditions.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19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173 (2020). </w:t>
      </w:r>
      <w:hyperlink r:id="rId39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https://doi.org/10.1186/s12936-020-03248-y</w:t>
        </w:r>
      </w:hyperlink>
    </w:p>
    <w:p w14:paraId="314552D3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Martin, N.J., Nam, V.S., Lover, A.A.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The impact of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transfluthrin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on the spatial repellency of the primary malaria mosquito vectors in Vietnam: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 xml:space="preserve">Anopheles </w:t>
      </w:r>
      <w:proofErr w:type="spellStart"/>
      <w:r w:rsidRPr="00101EA6">
        <w:rPr>
          <w:rFonts w:ascii="Arial" w:hAnsi="Arial" w:cs="Arial"/>
          <w:i/>
          <w:iCs/>
          <w:color w:val="FF0000"/>
        </w:rPr>
        <w:t>dirus</w:t>
      </w:r>
      <w:proofErr w:type="spellEnd"/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and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 xml:space="preserve">Anopheles </w:t>
      </w:r>
      <w:proofErr w:type="spellStart"/>
      <w:r w:rsidRPr="00101EA6">
        <w:rPr>
          <w:rFonts w:ascii="Arial" w:hAnsi="Arial" w:cs="Arial"/>
          <w:i/>
          <w:iCs/>
          <w:color w:val="FF0000"/>
        </w:rPr>
        <w:t>minimus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19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9 (2020). </w:t>
      </w:r>
      <w:hyperlink r:id="rId40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https://doi.org/10.1186/s12936-019-3092-4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4B872B30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Sangoro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O.P.,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Gavana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T., Finda, M.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Evaluation of personal protection afforded by repellent-treated sandals against mosquito bites in south-eastern Tanzania.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19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148 (2020). </w:t>
      </w:r>
      <w:hyperlink r:id="rId41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https://doi.org/10.1186/s12936-020-03215-7</w:t>
        </w:r>
      </w:hyperlink>
    </w:p>
    <w:p w14:paraId="1B90B5AB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lastRenderedPageBreak/>
        <w:t>Cribellier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Spitzen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J., Fairbairn, H.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Lure, retain, and catch malaria mosquitoes. How heat and humidity improve odour-baited trap performance.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19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357 (2020). </w:t>
      </w:r>
      <w:hyperlink r:id="rId42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https://doi.org/10.1186/s12936-020-03403-5</w:t>
        </w:r>
      </w:hyperlink>
    </w:p>
    <w:p w14:paraId="199623CF" w14:textId="77777777" w:rsidR="004F156B" w:rsidRPr="00101EA6" w:rsidRDefault="004F156B" w:rsidP="003571B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Kemibala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E.E., Mafra-Neto, A., Dekker, T.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A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zooprophylaxis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strategy using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Style w:val="u-small-caps"/>
          <w:rFonts w:ascii="Arial" w:hAnsi="Arial" w:cs="Arial"/>
          <w:caps/>
          <w:color w:val="FF0000"/>
        </w:rPr>
        <w:t>L</w:t>
      </w:r>
      <w:r w:rsidRPr="00101EA6">
        <w:rPr>
          <w:rFonts w:ascii="Arial" w:hAnsi="Arial" w:cs="Arial"/>
          <w:color w:val="FF0000"/>
          <w:shd w:val="clear" w:color="auto" w:fill="FFFFFF"/>
        </w:rPr>
        <w:t>-lactic acid (Abate) to divert host-seeking malaria vectors from human host to treated non-host animals.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Malar J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19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52 (2020). </w:t>
      </w:r>
      <w:hyperlink r:id="rId43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https://doi.org/10.1186/s12936-020-3136-9</w:t>
        </w:r>
      </w:hyperlink>
    </w:p>
    <w:p w14:paraId="272C29CF" w14:textId="22CC71ED" w:rsidR="004F156B" w:rsidRPr="005F14F9" w:rsidRDefault="004F156B" w:rsidP="003571BC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>Musa, J.J., Moore, S., Moore, J.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Long-lasting insecticidal nets retain bio-efficacy after 5 years of storage: implications for malaria control programmes.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Malar J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19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110 (2020). </w:t>
      </w:r>
      <w:hyperlink r:id="rId44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https://doi.org/10.1186/s12936-020-03183-y</w:t>
        </w:r>
      </w:hyperlink>
    </w:p>
    <w:p w14:paraId="6B362651" w14:textId="6AF68E9B" w:rsidR="004F156B" w:rsidRPr="00946EC2" w:rsidRDefault="004F156B" w:rsidP="003571BC">
      <w:pPr>
        <w:spacing w:before="240" w:after="240" w:line="360" w:lineRule="auto"/>
        <w:jc w:val="both"/>
        <w:rPr>
          <w:rFonts w:ascii="Arial" w:hAnsi="Arial" w:cs="Arial"/>
          <w:b/>
          <w:bCs/>
          <w:lang w:val="en-US"/>
        </w:rPr>
      </w:pPr>
      <w:r w:rsidRPr="00946EC2">
        <w:rPr>
          <w:rFonts w:ascii="Arial" w:hAnsi="Arial" w:cs="Arial"/>
          <w:b/>
          <w:bCs/>
          <w:lang w:val="en-US"/>
        </w:rPr>
        <w:t>Parasites &amp; Vectors articles</w:t>
      </w:r>
    </w:p>
    <w:p w14:paraId="2B4A95DE" w14:textId="4E105DC9" w:rsidR="004F156B" w:rsidRPr="00101EA6" w:rsidRDefault="004F156B" w:rsidP="003571BC">
      <w:pPr>
        <w:spacing w:line="360" w:lineRule="auto"/>
        <w:jc w:val="both"/>
        <w:rPr>
          <w:rFonts w:ascii="Arial" w:hAnsi="Arial" w:cs="Arial"/>
          <w:lang w:val="en-US"/>
        </w:rPr>
      </w:pP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Use of power (3</w:t>
      </w:r>
      <w:r w:rsidR="00243DBE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2</w:t>
      </w: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%)</w:t>
      </w:r>
      <w:r w:rsidRPr="00101EA6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no use of power (6</w:t>
      </w:r>
      <w:r w:rsidR="00243DBE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8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%)</w:t>
      </w:r>
    </w:p>
    <w:p w14:paraId="67642988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Zahouli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J.Z.B., Dibo, JD.,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Diakaridia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F.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Semi-field evaluation of the space spray efficacy of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Fludora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Co-Max EW against wild insecticide-resistant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Aedes aegypti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and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Culex quinquefasciatus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mosquito populations from Abidjan, Côte d’Ivoire.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16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47 (2023). </w:t>
      </w:r>
      <w:hyperlink r:id="rId45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https://doi.org/10.1186/s13071-022-05572-5</w:t>
        </w:r>
      </w:hyperlink>
    </w:p>
    <w:p w14:paraId="089A35FA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Maasayi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M.S.,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Machange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J.J., Kamande, D.S.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The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MTego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trap: a potential tool for monitoring malaria and arbovirus vectors.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16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212 (2023). </w:t>
      </w:r>
      <w:hyperlink r:id="rId46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https://doi.org/10.1186/s13071-023-05835-9</w:t>
        </w:r>
      </w:hyperlink>
    </w:p>
    <w:p w14:paraId="1F157D0E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Tia, I.Z.,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Barreaux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A.M.G.,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Oumbouke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W.A.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Efficacy of a ‘lethal house lure’ against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Culex quinquefasciatus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from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Bouaké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city, Côte d’Ivoire.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16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300 (2023). </w:t>
      </w:r>
      <w:hyperlink r:id="rId47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https://doi.org/10.1186/s13071-023-05883-1</w:t>
        </w:r>
      </w:hyperlink>
    </w:p>
    <w:p w14:paraId="166B55A2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Tambwe, M.M., Kibondo, U.A.,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Odufuwa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O.G.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Human landing catches provide a useful measure of protective efficacy for the evaluation of volatile pyrethroid spatial repellents.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16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90 (2023). </w:t>
      </w:r>
      <w:hyperlink r:id="rId48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https://doi.org/10.1186/s13071-023-05685-5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2EC0EFA2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Sarwar, M.S., Jahan, N., Ali, 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Establishment of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Wolbachia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infection in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Aedes aegypti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from Pakistan via embryonic microinjection and semi-field </w:t>
      </w:r>
      <w:r w:rsidRPr="00101EA6">
        <w:rPr>
          <w:rFonts w:ascii="Arial" w:hAnsi="Arial" w:cs="Arial"/>
          <w:color w:val="FF0000"/>
          <w:shd w:val="clear" w:color="auto" w:fill="FFFFFF"/>
        </w:rPr>
        <w:lastRenderedPageBreak/>
        <w:t>evaluation of general fitness of resultant mosquito population.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15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191 (2022). </w:t>
      </w:r>
      <w:hyperlink r:id="rId49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https://doi.org/10.1186/s13071-022-05317-4</w:t>
        </w:r>
      </w:hyperlink>
    </w:p>
    <w:p w14:paraId="3AB5F424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Njoroge, M.M., Hiscox, A., Saddler, 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Less is more: repellent-treated fabric strips as a substitute for full screening of open eave gaps for indoor and outdoor protection from malaria mosquito bites.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15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259 (2022). </w:t>
      </w:r>
      <w:hyperlink r:id="rId50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https://doi.org/10.1186/s13071-022-05384-7</w:t>
        </w:r>
      </w:hyperlink>
    </w:p>
    <w:p w14:paraId="7163DE32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Pauly, I., Jakoby, O. &amp; Becker, N. Efficacy of native cyclopoid copepods in biological vector control with regard to their predatory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behavior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 against the Asian tiger mosquito,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Aedes albopictus</w:t>
      </w:r>
      <w:r w:rsidRPr="00101EA6">
        <w:rPr>
          <w:rFonts w:ascii="Arial" w:hAnsi="Arial" w:cs="Arial"/>
          <w:color w:val="FF0000"/>
          <w:shd w:val="clear" w:color="auto" w:fill="FFFFFF"/>
        </w:rPr>
        <w:t>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15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351 (2022). </w:t>
      </w:r>
      <w:hyperlink r:id="rId51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https://doi.org/10.1186/s13071-022-05460-y</w:t>
        </w:r>
      </w:hyperlink>
    </w:p>
    <w:p w14:paraId="1F500B31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 xml:space="preserve">Mbewe, N.J., Rowland, M.W.,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Snetselaar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, J.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Efficacy of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bednets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 with dual insecticide-treated netting (Interceptor® G2) on side and roof panels against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Anopheles arabiensis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in north-eastern Tanzania.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15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326 (2022). </w:t>
      </w:r>
      <w:hyperlink r:id="rId52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https://doi.org/10.1186/s13071-022-05454-w</w:t>
        </w:r>
      </w:hyperlink>
    </w:p>
    <w:p w14:paraId="5CCA2759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 xml:space="preserve">Kibondo, U.A.,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Odufuwa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, O.G.,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Ngonyani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, S.H.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Influence of testing modality on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bioefficacy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 for the evaluation of Interceptor</w:t>
      </w:r>
      <w:r w:rsidRPr="00101EA6">
        <w:rPr>
          <w:rFonts w:ascii="Arial" w:hAnsi="Arial" w:cs="Arial"/>
          <w:color w:val="0070C0"/>
          <w:vertAlign w:val="superscript"/>
        </w:rPr>
        <w:t>®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G2 mosquito nets to combat malaria mosquitoes in Tanzania.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15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124 (2022). </w:t>
      </w:r>
      <w:hyperlink r:id="rId53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https://doi.org/10.1186/s13071-022-05207-9</w:t>
        </w:r>
      </w:hyperlink>
      <w:r w:rsidRPr="00101EA6">
        <w:rPr>
          <w:rFonts w:ascii="Arial" w:hAnsi="Arial" w:cs="Arial"/>
          <w:color w:val="0070C0"/>
          <w:shd w:val="clear" w:color="auto" w:fill="FFFFFF"/>
        </w:rPr>
        <w:t xml:space="preserve"> </w:t>
      </w:r>
    </w:p>
    <w:p w14:paraId="0ABE8733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>Tambwe, M.M., Saddler, A., Kibondo, U.A.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Semi-field evaluation of the exposure-free mosquito electrocuting trap and BG-Sentinel trap as an alternative to the human landing catch for measuring the efficacy of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transfluthrin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 emanators against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Aedes aegypti</w:t>
      </w:r>
      <w:r w:rsidRPr="00101EA6">
        <w:rPr>
          <w:rFonts w:ascii="Arial" w:hAnsi="Arial" w:cs="Arial"/>
          <w:color w:val="0070C0"/>
          <w:shd w:val="clear" w:color="auto" w:fill="FFFFFF"/>
        </w:rPr>
        <w:t>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14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265 (2021). </w:t>
      </w:r>
      <w:hyperlink r:id="rId54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https://doi.org/10.1186/s13071-021-04754-x</w:t>
        </w:r>
      </w:hyperlink>
    </w:p>
    <w:p w14:paraId="4A5575A9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Bokore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, G.E.,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Svenberg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>, L., Tamre, R.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Grass-like plants release general volatile cues attractive for gravid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Anopheles gambiae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sensu stricto mosquitoes.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14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552 (2021). </w:t>
      </w:r>
      <w:hyperlink r:id="rId55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https://doi.org/10.1186/s13071-021-04939-4</w:t>
        </w:r>
      </w:hyperlink>
    </w:p>
    <w:p w14:paraId="4B8FAED5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101EA6">
        <w:rPr>
          <w:rFonts w:ascii="Arial" w:hAnsi="Arial" w:cs="Arial"/>
          <w:color w:val="0070C0"/>
          <w:shd w:val="clear" w:color="auto" w:fill="FFFFFF"/>
        </w:rPr>
        <w:t>Njoroge, M.M., Fillinger, U., Saddler, A.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Evaluating putative repellent ‘push’ and attractive ‘pull’ components for manipulating the odour orientation of host-seeking malaria vectors in the peri-domestic space.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14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42 (2021). </w:t>
      </w:r>
      <w:hyperlink r:id="rId56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https://doi.org/10.1186/s13071-020-04556-7</w:t>
        </w:r>
      </w:hyperlink>
    </w:p>
    <w:p w14:paraId="6233046F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Nambunga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I.H.,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Msugupakulya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B.J., Hape, E.E.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Wild populations of malaria vectors can mate both inside and outside human dwellings.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14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514 (2021). </w:t>
      </w:r>
      <w:hyperlink r:id="rId57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https://doi.org/10.1186/s13071-021-04989-8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5A3DF51B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70C0"/>
          <w:lang w:val="en-US"/>
        </w:rPr>
      </w:pPr>
      <w:r w:rsidRPr="0076123F">
        <w:rPr>
          <w:rFonts w:ascii="Arial" w:hAnsi="Arial" w:cs="Arial"/>
          <w:color w:val="0070C0"/>
          <w:shd w:val="clear" w:color="auto" w:fill="FFFFFF"/>
        </w:rPr>
        <w:lastRenderedPageBreak/>
        <w:t xml:space="preserve">Tambwe, </w:t>
      </w:r>
      <w:r w:rsidRPr="00101EA6">
        <w:rPr>
          <w:rFonts w:ascii="Arial" w:hAnsi="Arial" w:cs="Arial"/>
          <w:color w:val="0070C0"/>
          <w:shd w:val="clear" w:color="auto" w:fill="FFFFFF"/>
        </w:rPr>
        <w:t>M.M., Moore, S.J., Chilumba, H.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et al.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Semi-field evaluation of freestanding </w:t>
      </w:r>
      <w:proofErr w:type="spellStart"/>
      <w:r w:rsidRPr="00101EA6">
        <w:rPr>
          <w:rFonts w:ascii="Arial" w:hAnsi="Arial" w:cs="Arial"/>
          <w:color w:val="0070C0"/>
          <w:shd w:val="clear" w:color="auto" w:fill="FFFFFF"/>
        </w:rPr>
        <w:t>transfluthrin</w:t>
      </w:r>
      <w:proofErr w:type="spellEnd"/>
      <w:r w:rsidRPr="00101EA6">
        <w:rPr>
          <w:rFonts w:ascii="Arial" w:hAnsi="Arial" w:cs="Arial"/>
          <w:color w:val="0070C0"/>
          <w:shd w:val="clear" w:color="auto" w:fill="FFFFFF"/>
        </w:rPr>
        <w:t xml:space="preserve"> passive emanators and the BG sentinel trap as a “push-pull control strategy” against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Aedes aegypti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color w:val="0070C0"/>
          <w:shd w:val="clear" w:color="auto" w:fill="FFFFFF"/>
        </w:rPr>
        <w:t>mosquitoes.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0070C0"/>
        </w:rPr>
        <w:t>Parasites Vectors</w:t>
      </w:r>
      <w:r w:rsidRPr="00101EA6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0070C0"/>
        </w:rPr>
        <w:t>13</w:t>
      </w:r>
      <w:r w:rsidRPr="00101EA6">
        <w:rPr>
          <w:rFonts w:ascii="Arial" w:hAnsi="Arial" w:cs="Arial"/>
          <w:color w:val="0070C0"/>
          <w:shd w:val="clear" w:color="auto" w:fill="FFFFFF"/>
        </w:rPr>
        <w:t xml:space="preserve">, 392 (2020). </w:t>
      </w:r>
      <w:hyperlink r:id="rId58" w:history="1">
        <w:r w:rsidRPr="00101EA6">
          <w:rPr>
            <w:rStyle w:val="Hyperlink"/>
            <w:rFonts w:ascii="Arial" w:hAnsi="Arial" w:cs="Arial"/>
            <w:color w:val="0070C0"/>
            <w:shd w:val="clear" w:color="auto" w:fill="FFFFFF"/>
          </w:rPr>
          <w:t>https://doi.org/10.1186/s13071-020-04263-3</w:t>
        </w:r>
      </w:hyperlink>
    </w:p>
    <w:p w14:paraId="15F10466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>Sippy, R., Rivera, G.E., Sanchez, V.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Ingested insecticide to control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Aedes aegypti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: developing a novel dried attractive toxic sugar bait device for intra-domiciliary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control.</w:t>
      </w:r>
      <w:r w:rsidRPr="00101EA6">
        <w:rPr>
          <w:rFonts w:ascii="Arial" w:hAnsi="Arial" w:cs="Arial"/>
          <w:i/>
          <w:iCs/>
          <w:color w:val="FF0000"/>
        </w:rPr>
        <w:t>Parasites</w:t>
      </w:r>
      <w:proofErr w:type="spellEnd"/>
      <w:r w:rsidRPr="00101EA6">
        <w:rPr>
          <w:rFonts w:ascii="Arial" w:hAnsi="Arial" w:cs="Arial"/>
          <w:i/>
          <w:iCs/>
          <w:color w:val="FF0000"/>
        </w:rPr>
        <w:t xml:space="preserve">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13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78 (2020). </w:t>
      </w:r>
      <w:hyperlink r:id="rId59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https://doi.org/10.1186/s13071-020-3930-9</w:t>
        </w:r>
      </w:hyperlink>
    </w:p>
    <w:p w14:paraId="5A426CA2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r w:rsidRPr="00101EA6">
        <w:rPr>
          <w:rFonts w:ascii="Arial" w:hAnsi="Arial" w:cs="Arial"/>
          <w:color w:val="FF0000"/>
          <w:shd w:val="clear" w:color="auto" w:fill="FFFFFF"/>
        </w:rPr>
        <w:t xml:space="preserve">Hughes, 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Lissenden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N., Viana, M.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Anopheles gambiae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populations from Burkina Faso show minimal delayed mortality after exposure to insecticide-treated nets.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13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17 (2020). </w:t>
      </w:r>
      <w:hyperlink r:id="rId60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https://doi.org/10.1186/s13071-019-3872-2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414E69CE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Kathet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S., Sudi, W.,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Mwingira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V.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Efficacy of 3D screens for sustainable mosquito control: a semi-field experimental hut evaluation in northeastern Tanzania.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16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417 (2023). </w:t>
      </w:r>
      <w:hyperlink r:id="rId61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https://doi.org/10.1186/s13071-023-06032-4</w:t>
        </w:r>
      </w:hyperlink>
      <w:r w:rsidRPr="00101EA6">
        <w:rPr>
          <w:rFonts w:ascii="Arial" w:hAnsi="Arial" w:cs="Arial"/>
          <w:color w:val="FF0000"/>
          <w:shd w:val="clear" w:color="auto" w:fill="FFFFFF"/>
        </w:rPr>
        <w:t xml:space="preserve"> </w:t>
      </w:r>
    </w:p>
    <w:p w14:paraId="783DCD56" w14:textId="77777777" w:rsidR="004F156B" w:rsidRPr="00101EA6" w:rsidRDefault="004F156B" w:rsidP="003571B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Cozzarolo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CS.,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Pigeault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R.,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Isaïa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J.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>Experiment in semi-natural conditions did not confirm the influence of malaria infection on bird attractiveness to mosquitoes.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15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, 187 (2022). </w:t>
      </w:r>
      <w:hyperlink r:id="rId62" w:history="1">
        <w:r w:rsidRPr="00101EA6">
          <w:rPr>
            <w:rStyle w:val="Hyperlink"/>
            <w:rFonts w:ascii="Arial" w:hAnsi="Arial" w:cs="Arial"/>
            <w:color w:val="FF0000"/>
            <w:shd w:val="clear" w:color="auto" w:fill="FFFFFF"/>
          </w:rPr>
          <w:t>https://doi.org/10.1186/s13071-022-05292-w</w:t>
        </w:r>
      </w:hyperlink>
    </w:p>
    <w:p w14:paraId="44466771" w14:textId="2F39335D" w:rsidR="004F156B" w:rsidRPr="005F14F9" w:rsidRDefault="004F156B" w:rsidP="003571BC">
      <w:pPr>
        <w:pStyle w:val="ListParagraph"/>
        <w:numPr>
          <w:ilvl w:val="0"/>
          <w:numId w:val="2"/>
        </w:numPr>
        <w:spacing w:after="240" w:line="360" w:lineRule="auto"/>
        <w:jc w:val="both"/>
        <w:rPr>
          <w:rFonts w:ascii="Arial" w:hAnsi="Arial" w:cs="Arial"/>
          <w:color w:val="FF0000"/>
          <w:lang w:val="en-US"/>
        </w:rPr>
      </w:pP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Fongnikin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A.,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Houeto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 xml:space="preserve">, N.,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Agbevo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, A.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et al.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color w:val="FF0000"/>
          <w:shd w:val="clear" w:color="auto" w:fill="FFFFFF"/>
        </w:rPr>
        <w:t xml:space="preserve">Efficacy of </w:t>
      </w:r>
      <w:proofErr w:type="spellStart"/>
      <w:r w:rsidRPr="00101EA6">
        <w:rPr>
          <w:rFonts w:ascii="Arial" w:hAnsi="Arial" w:cs="Arial"/>
          <w:color w:val="FF0000"/>
          <w:shd w:val="clear" w:color="auto" w:fill="FFFFFF"/>
        </w:rPr>
        <w:t>Fludora</w:t>
      </w:r>
      <w:proofErr w:type="spellEnd"/>
      <w:r w:rsidRPr="00101EA6">
        <w:rPr>
          <w:rFonts w:ascii="Arial" w:hAnsi="Arial" w:cs="Arial"/>
          <w:color w:val="FF0000"/>
          <w:shd w:val="clear" w:color="auto" w:fill="FFFFFF"/>
        </w:rPr>
        <w:t>® Fusion (a mixture of deltamethrin and clothianidin) for indoor residual spraying against pyrethroid-resistant malaria vectors: laboratory and experimental hut evaluation.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i/>
          <w:iCs/>
          <w:color w:val="FF0000"/>
        </w:rPr>
        <w:t>Parasites Vectors</w:t>
      </w:r>
      <w:r w:rsidRPr="00101EA6">
        <w:rPr>
          <w:rStyle w:val="apple-converted-space"/>
          <w:rFonts w:ascii="Arial" w:hAnsi="Arial" w:cs="Arial"/>
          <w:color w:val="FF0000"/>
          <w:shd w:val="clear" w:color="auto" w:fill="FFFFFF"/>
        </w:rPr>
        <w:t> </w:t>
      </w:r>
      <w:r w:rsidRPr="00101EA6">
        <w:rPr>
          <w:rFonts w:ascii="Arial" w:hAnsi="Arial" w:cs="Arial"/>
          <w:b/>
          <w:bCs/>
          <w:color w:val="FF0000"/>
        </w:rPr>
        <w:t>13</w:t>
      </w:r>
      <w:r w:rsidRPr="00101EA6">
        <w:rPr>
          <w:rFonts w:ascii="Arial" w:hAnsi="Arial" w:cs="Arial"/>
          <w:color w:val="FF0000"/>
          <w:shd w:val="clear" w:color="auto" w:fill="FFFFFF"/>
        </w:rPr>
        <w:t>, 466 (2020). https://doi.org/10.1186/s13071-020-04341-6</w:t>
      </w:r>
    </w:p>
    <w:p w14:paraId="3627B6A4" w14:textId="667A89AD" w:rsidR="004F156B" w:rsidRPr="00101EA6" w:rsidRDefault="004F156B" w:rsidP="003571BC">
      <w:pPr>
        <w:spacing w:line="360" w:lineRule="auto"/>
        <w:jc w:val="both"/>
        <w:rPr>
          <w:rFonts w:ascii="Arial" w:hAnsi="Arial" w:cs="Arial"/>
          <w:lang w:val="en-US"/>
        </w:rPr>
      </w:pPr>
      <w:r w:rsidRPr="00101EA6">
        <w:rPr>
          <w:rFonts w:ascii="Arial" w:eastAsia="Times New Roman" w:hAnsi="Arial" w:cs="Arial"/>
          <w:kern w:val="0"/>
          <w:lang w:eastAsia="en-GB"/>
          <w14:ligatures w14:val="none"/>
        </w:rPr>
        <w:t xml:space="preserve">Total in all journals combined: </w:t>
      </w: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Use of power (</w:t>
      </w:r>
      <w:r w:rsidR="001332E7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2</w:t>
      </w:r>
      <w:r w:rsidR="005E6D2F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9</w:t>
      </w:r>
      <w:r w:rsidRPr="00101EA6"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  <w:t>%)</w:t>
      </w:r>
      <w:r w:rsidRPr="00101EA6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no use of power (7</w:t>
      </w:r>
      <w:r w:rsidR="00BD1F6E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1</w:t>
      </w:r>
      <w:r w:rsidRPr="00101EA6">
        <w:rPr>
          <w:rFonts w:ascii="Arial" w:eastAsia="Times New Roman" w:hAnsi="Arial" w:cs="Arial"/>
          <w:color w:val="FF0000"/>
          <w:kern w:val="0"/>
          <w:lang w:eastAsia="en-GB"/>
          <w14:ligatures w14:val="none"/>
        </w:rPr>
        <w:t>%)</w:t>
      </w:r>
    </w:p>
    <w:sectPr w:rsidR="004F156B" w:rsidRPr="00101EA6" w:rsidSect="004F1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0A90" w14:textId="77777777" w:rsidR="00F674EB" w:rsidRDefault="00F674EB" w:rsidP="00153414">
      <w:r>
        <w:separator/>
      </w:r>
    </w:p>
  </w:endnote>
  <w:endnote w:type="continuationSeparator" w:id="0">
    <w:p w14:paraId="7756A24D" w14:textId="77777777" w:rsidR="00F674EB" w:rsidRDefault="00F674EB" w:rsidP="0015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C300" w14:textId="77777777" w:rsidR="00F674EB" w:rsidRDefault="00F674EB" w:rsidP="00153414">
      <w:r>
        <w:separator/>
      </w:r>
    </w:p>
  </w:footnote>
  <w:footnote w:type="continuationSeparator" w:id="0">
    <w:p w14:paraId="5202E0D5" w14:textId="77777777" w:rsidR="00F674EB" w:rsidRDefault="00F674EB" w:rsidP="00153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27C"/>
    <w:multiLevelType w:val="hybridMultilevel"/>
    <w:tmpl w:val="FAE60F98"/>
    <w:lvl w:ilvl="0" w:tplc="A8CACE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 w:val="0"/>
        <w:color w:val="0C233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E074D"/>
    <w:multiLevelType w:val="hybridMultilevel"/>
    <w:tmpl w:val="A0AEB8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9634D"/>
    <w:multiLevelType w:val="hybridMultilevel"/>
    <w:tmpl w:val="9AC629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21466"/>
    <w:multiLevelType w:val="hybridMultilevel"/>
    <w:tmpl w:val="9AC629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41CB1"/>
    <w:multiLevelType w:val="hybridMultilevel"/>
    <w:tmpl w:val="07186D52"/>
    <w:lvl w:ilvl="0" w:tplc="76B6B3D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1419B"/>
    <w:multiLevelType w:val="hybridMultilevel"/>
    <w:tmpl w:val="474A66D6"/>
    <w:lvl w:ilvl="0" w:tplc="A14EBC6E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7275176">
    <w:abstractNumId w:val="2"/>
  </w:num>
  <w:num w:numId="2" w16cid:durableId="1035932640">
    <w:abstractNumId w:val="1"/>
  </w:num>
  <w:num w:numId="3" w16cid:durableId="979723426">
    <w:abstractNumId w:val="3"/>
  </w:num>
  <w:num w:numId="4" w16cid:durableId="770586719">
    <w:abstractNumId w:val="5"/>
  </w:num>
  <w:num w:numId="5" w16cid:durableId="228998073">
    <w:abstractNumId w:val="0"/>
  </w:num>
  <w:num w:numId="6" w16cid:durableId="240915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6B"/>
    <w:rsid w:val="000011B3"/>
    <w:rsid w:val="000404C5"/>
    <w:rsid w:val="000B6E03"/>
    <w:rsid w:val="000D29E7"/>
    <w:rsid w:val="00101EA6"/>
    <w:rsid w:val="001332E7"/>
    <w:rsid w:val="00153414"/>
    <w:rsid w:val="00217F11"/>
    <w:rsid w:val="00243DBE"/>
    <w:rsid w:val="00272FDF"/>
    <w:rsid w:val="003112BF"/>
    <w:rsid w:val="003242EB"/>
    <w:rsid w:val="003571BC"/>
    <w:rsid w:val="003A603F"/>
    <w:rsid w:val="00417262"/>
    <w:rsid w:val="00442318"/>
    <w:rsid w:val="004B2B52"/>
    <w:rsid w:val="004E5DCF"/>
    <w:rsid w:val="004F156B"/>
    <w:rsid w:val="004F38B6"/>
    <w:rsid w:val="005505D2"/>
    <w:rsid w:val="0058600D"/>
    <w:rsid w:val="005E6613"/>
    <w:rsid w:val="005E6D2F"/>
    <w:rsid w:val="005F14F9"/>
    <w:rsid w:val="005F324F"/>
    <w:rsid w:val="0061725E"/>
    <w:rsid w:val="006261D5"/>
    <w:rsid w:val="00637AA3"/>
    <w:rsid w:val="00657918"/>
    <w:rsid w:val="0066438A"/>
    <w:rsid w:val="00691751"/>
    <w:rsid w:val="00727691"/>
    <w:rsid w:val="0076123F"/>
    <w:rsid w:val="007B24A7"/>
    <w:rsid w:val="007B73BB"/>
    <w:rsid w:val="00890277"/>
    <w:rsid w:val="00937550"/>
    <w:rsid w:val="00946EC2"/>
    <w:rsid w:val="00950FB1"/>
    <w:rsid w:val="00951DA8"/>
    <w:rsid w:val="00955597"/>
    <w:rsid w:val="0096262F"/>
    <w:rsid w:val="009667F1"/>
    <w:rsid w:val="009A1FEA"/>
    <w:rsid w:val="009E0456"/>
    <w:rsid w:val="00A76E47"/>
    <w:rsid w:val="00A92F79"/>
    <w:rsid w:val="00B5584A"/>
    <w:rsid w:val="00B83B5D"/>
    <w:rsid w:val="00BA37CF"/>
    <w:rsid w:val="00BB79BF"/>
    <w:rsid w:val="00BD1F6E"/>
    <w:rsid w:val="00BF79D4"/>
    <w:rsid w:val="00CA3199"/>
    <w:rsid w:val="00D53EB1"/>
    <w:rsid w:val="00D81E95"/>
    <w:rsid w:val="00E21264"/>
    <w:rsid w:val="00E613DA"/>
    <w:rsid w:val="00F226CE"/>
    <w:rsid w:val="00F53486"/>
    <w:rsid w:val="00F561F4"/>
    <w:rsid w:val="00F606E7"/>
    <w:rsid w:val="00F674EB"/>
    <w:rsid w:val="00FC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C0A4B4"/>
  <w15:chartTrackingRefBased/>
  <w15:docId w15:val="{59C7066E-DE72-CC43-A75C-819F9845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56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F1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1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5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5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5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5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1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5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5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4F1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5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5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56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4F156B"/>
  </w:style>
  <w:style w:type="character" w:styleId="Hyperlink">
    <w:name w:val="Hyperlink"/>
    <w:basedOn w:val="DefaultParagraphFont"/>
    <w:uiPriority w:val="99"/>
    <w:unhideWhenUsed/>
    <w:rsid w:val="004F156B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4F156B"/>
    <w:rPr>
      <w:b/>
      <w:bCs/>
    </w:rPr>
  </w:style>
  <w:style w:type="character" w:customStyle="1" w:styleId="u-small-caps">
    <w:name w:val="u-small-caps"/>
    <w:basedOn w:val="DefaultParagraphFont"/>
    <w:rsid w:val="004F156B"/>
  </w:style>
  <w:style w:type="character" w:styleId="CommentReference">
    <w:name w:val="annotation reference"/>
    <w:basedOn w:val="DefaultParagraphFont"/>
    <w:uiPriority w:val="99"/>
    <w:semiHidden/>
    <w:unhideWhenUsed/>
    <w:rsid w:val="004F156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34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414"/>
  </w:style>
  <w:style w:type="paragraph" w:styleId="Footer">
    <w:name w:val="footer"/>
    <w:basedOn w:val="Normal"/>
    <w:link w:val="FooterChar"/>
    <w:uiPriority w:val="99"/>
    <w:unhideWhenUsed/>
    <w:rsid w:val="001534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414"/>
  </w:style>
  <w:style w:type="paragraph" w:customStyle="1" w:styleId="Author">
    <w:name w:val="Author"/>
    <w:next w:val="BodyText"/>
    <w:qFormat/>
    <w:rsid w:val="00153414"/>
    <w:pPr>
      <w:keepNext/>
      <w:keepLines/>
      <w:spacing w:after="200" w:line="240" w:lineRule="auto"/>
      <w:jc w:val="center"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534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3414"/>
  </w:style>
  <w:style w:type="character" w:customStyle="1" w:styleId="normaltextrun">
    <w:name w:val="normaltextrun"/>
    <w:basedOn w:val="DefaultParagraphFont"/>
    <w:rsid w:val="00955597"/>
  </w:style>
  <w:style w:type="character" w:styleId="UnresolvedMention">
    <w:name w:val="Unresolved Mention"/>
    <w:basedOn w:val="DefaultParagraphFont"/>
    <w:uiPriority w:val="99"/>
    <w:semiHidden/>
    <w:unhideWhenUsed/>
    <w:rsid w:val="00B83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ul.johnson@glasgow.ac.uk" TargetMode="External"/><Relationship Id="rId18" Type="http://schemas.openxmlformats.org/officeDocument/2006/relationships/hyperlink" Target="mailto:dwilson@ihi.or.tz" TargetMode="External"/><Relationship Id="rId26" Type="http://schemas.openxmlformats.org/officeDocument/2006/relationships/hyperlink" Target="https://doi.org/10.1186/s12936-023-04619-x" TargetMode="External"/><Relationship Id="rId39" Type="http://schemas.openxmlformats.org/officeDocument/2006/relationships/hyperlink" Target="https://doi.org/10.1186/s12936-020-03248-y" TargetMode="External"/><Relationship Id="rId21" Type="http://schemas.openxmlformats.org/officeDocument/2006/relationships/hyperlink" Target="mailto:skiware@ihi.or.tz" TargetMode="External"/><Relationship Id="rId34" Type="http://schemas.openxmlformats.org/officeDocument/2006/relationships/hyperlink" Target="https://doi.org/10.1186/s12936-022-04063-3" TargetMode="External"/><Relationship Id="rId42" Type="http://schemas.openxmlformats.org/officeDocument/2006/relationships/hyperlink" Target="https://doi.org/10.1186/s12936-020-03403-5" TargetMode="External"/><Relationship Id="rId47" Type="http://schemas.openxmlformats.org/officeDocument/2006/relationships/hyperlink" Target="https://doi.org/10.1186/s13071-023-05883-1" TargetMode="External"/><Relationship Id="rId50" Type="http://schemas.openxmlformats.org/officeDocument/2006/relationships/hyperlink" Target="https://doi.org/10.1186/s13071-022-05384-7" TargetMode="External"/><Relationship Id="rId55" Type="http://schemas.openxmlformats.org/officeDocument/2006/relationships/hyperlink" Target="https://doi.org/10.1186/s13071-021-04939-4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orcid.org/0000-0002-9063-8651" TargetMode="External"/><Relationship Id="rId2" Type="http://schemas.openxmlformats.org/officeDocument/2006/relationships/styles" Target="styles.xml"/><Relationship Id="rId16" Type="http://schemas.openxmlformats.org/officeDocument/2006/relationships/hyperlink" Target="mailto:andreakipingu@gmail.com" TargetMode="External"/><Relationship Id="rId29" Type="http://schemas.openxmlformats.org/officeDocument/2006/relationships/hyperlink" Target="https://doi.org/10.1186/s12936-023-04548-9" TargetMode="External"/><Relationship Id="rId11" Type="http://schemas.openxmlformats.org/officeDocument/2006/relationships/hyperlink" Target="https://orcid.org/0000-0001-6663-7520" TargetMode="External"/><Relationship Id="rId24" Type="http://schemas.openxmlformats.org/officeDocument/2006/relationships/hyperlink" Target="https://orcid.org/0000-0001-6663-7520" TargetMode="External"/><Relationship Id="rId32" Type="http://schemas.openxmlformats.org/officeDocument/2006/relationships/hyperlink" Target="https://doi.org/10.1186/s12936-022-04220-8" TargetMode="External"/><Relationship Id="rId37" Type="http://schemas.openxmlformats.org/officeDocument/2006/relationships/hyperlink" Target="https://doi.org/10.1186/s12936-020-03461-9" TargetMode="External"/><Relationship Id="rId40" Type="http://schemas.openxmlformats.org/officeDocument/2006/relationships/hyperlink" Target="https://doi.org/10.1186/s12936-019-3092-4" TargetMode="External"/><Relationship Id="rId45" Type="http://schemas.openxmlformats.org/officeDocument/2006/relationships/hyperlink" Target="https://doi.org/10.1186/s13071-022-05572-5" TargetMode="External"/><Relationship Id="rId53" Type="http://schemas.openxmlformats.org/officeDocument/2006/relationships/hyperlink" Target="https://doi.org/10.1186/s13071-022-05207-9" TargetMode="External"/><Relationship Id="rId58" Type="http://schemas.openxmlformats.org/officeDocument/2006/relationships/hyperlink" Target="https://doi.org/10.1186/s13071-020-04263-3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oi.org/10.1186/s13071-023-06032-4" TargetMode="External"/><Relationship Id="rId19" Type="http://schemas.openxmlformats.org/officeDocument/2006/relationships/hyperlink" Target="mailto:ndyaisin@gmail.com" TargetMode="External"/><Relationship Id="rId14" Type="http://schemas.openxmlformats.org/officeDocument/2006/relationships/hyperlink" Target="https://orcid.org/0000-0002-9063-8651" TargetMode="External"/><Relationship Id="rId22" Type="http://schemas.openxmlformats.org/officeDocument/2006/relationships/hyperlink" Target="https://orcid.org/0000-0001-5975-6505" TargetMode="External"/><Relationship Id="rId27" Type="http://schemas.openxmlformats.org/officeDocument/2006/relationships/hyperlink" Target="https://doi.org/10.1186/s12936-023-04625-z" TargetMode="External"/><Relationship Id="rId30" Type="http://schemas.openxmlformats.org/officeDocument/2006/relationships/hyperlink" Target="https://doi.org/10.1186/s12936-023-04568-5" TargetMode="External"/><Relationship Id="rId35" Type="http://schemas.openxmlformats.org/officeDocument/2006/relationships/hyperlink" Target="https://doi.org/10.1186/s12936-021-03880-2" TargetMode="External"/><Relationship Id="rId43" Type="http://schemas.openxmlformats.org/officeDocument/2006/relationships/hyperlink" Target="https://doi.org/10.1186/s12936-020-3136-9" TargetMode="External"/><Relationship Id="rId48" Type="http://schemas.openxmlformats.org/officeDocument/2006/relationships/hyperlink" Target="https://doi.org/10.1186/s13071-023-05685-5" TargetMode="External"/><Relationship Id="rId56" Type="http://schemas.openxmlformats.org/officeDocument/2006/relationships/hyperlink" Target="https://doi.org/10.1186/s13071-020-04556-7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orcid.org/0000-0003-2544-0451" TargetMode="External"/><Relationship Id="rId51" Type="http://schemas.openxmlformats.org/officeDocument/2006/relationships/hyperlink" Target="https://doi.org/10.1186/s13071-022-05460-y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kipingu@ihi.or.tz" TargetMode="External"/><Relationship Id="rId17" Type="http://schemas.openxmlformats.org/officeDocument/2006/relationships/hyperlink" Target="https://orcid.org/0000-0003-2544-0451" TargetMode="External"/><Relationship Id="rId25" Type="http://schemas.openxmlformats.org/officeDocument/2006/relationships/hyperlink" Target="mailto:paul.johnson@glasgow.ac.uk" TargetMode="External"/><Relationship Id="rId33" Type="http://schemas.openxmlformats.org/officeDocument/2006/relationships/hyperlink" Target="https://doi.org/10.1186/s12936-022-04336-x" TargetMode="External"/><Relationship Id="rId38" Type="http://schemas.openxmlformats.org/officeDocument/2006/relationships/hyperlink" Target="https://doi.org/10.1186/s12936-021-03798-9" TargetMode="External"/><Relationship Id="rId46" Type="http://schemas.openxmlformats.org/officeDocument/2006/relationships/hyperlink" Target="https://doi.org/10.1186/s13071-023-05835-9" TargetMode="External"/><Relationship Id="rId59" Type="http://schemas.openxmlformats.org/officeDocument/2006/relationships/hyperlink" Target="https://doi.org/10.1186/s13071-020-3930-9" TargetMode="External"/><Relationship Id="rId20" Type="http://schemas.openxmlformats.org/officeDocument/2006/relationships/hyperlink" Target="https://orcid.org/0000-0001-7252-520X" TargetMode="External"/><Relationship Id="rId41" Type="http://schemas.openxmlformats.org/officeDocument/2006/relationships/hyperlink" Target="https://doi.org/10.1186/s12936-020-03215-7" TargetMode="External"/><Relationship Id="rId54" Type="http://schemas.openxmlformats.org/officeDocument/2006/relationships/hyperlink" Target="https://doi.org/10.1186/s13071-021-04754-x" TargetMode="External"/><Relationship Id="rId62" Type="http://schemas.openxmlformats.org/officeDocument/2006/relationships/hyperlink" Target="https://doi.org/10.1186/s13071-022-05292-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akipingu@ihi.or.tz" TargetMode="External"/><Relationship Id="rId23" Type="http://schemas.openxmlformats.org/officeDocument/2006/relationships/hyperlink" Target="mailto:mafalda.viana@glasgow.ac.uk" TargetMode="External"/><Relationship Id="rId28" Type="http://schemas.openxmlformats.org/officeDocument/2006/relationships/hyperlink" Target="https://doi.org/10.1186/s12936-023-04491-9" TargetMode="External"/><Relationship Id="rId36" Type="http://schemas.openxmlformats.org/officeDocument/2006/relationships/hyperlink" Target="https://doi.org/10.1186/s12936-021-03945-2" TargetMode="External"/><Relationship Id="rId49" Type="http://schemas.openxmlformats.org/officeDocument/2006/relationships/hyperlink" Target="https://doi.org/10.1186/s13071-022-05317-4" TargetMode="External"/><Relationship Id="rId57" Type="http://schemas.openxmlformats.org/officeDocument/2006/relationships/hyperlink" Target="https://doi.org/10.1186/s13071-021-04989-8" TargetMode="External"/><Relationship Id="rId10" Type="http://schemas.openxmlformats.org/officeDocument/2006/relationships/hyperlink" Target="https://orcid.org/0000-0001-5975-6505" TargetMode="External"/><Relationship Id="rId31" Type="http://schemas.openxmlformats.org/officeDocument/2006/relationships/hyperlink" Target="https://doi.org/10.1186/s12936-023-04476-8" TargetMode="External"/><Relationship Id="rId44" Type="http://schemas.openxmlformats.org/officeDocument/2006/relationships/hyperlink" Target="https://doi.org/10.1186/s12936-020-03183-y" TargetMode="External"/><Relationship Id="rId52" Type="http://schemas.openxmlformats.org/officeDocument/2006/relationships/hyperlink" Target="https://doi.org/10.1186/s13071-022-05454-w" TargetMode="External"/><Relationship Id="rId60" Type="http://schemas.openxmlformats.org/officeDocument/2006/relationships/hyperlink" Target="https://doi.org/10.1186/s13071-019-3872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1-7252-520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Kipingu (PGR)</dc:creator>
  <cp:keywords/>
  <dc:description/>
  <cp:lastModifiedBy>Andrea Kipingu (PGR)</cp:lastModifiedBy>
  <cp:revision>58</cp:revision>
  <dcterms:created xsi:type="dcterms:W3CDTF">2024-03-26T14:17:00Z</dcterms:created>
  <dcterms:modified xsi:type="dcterms:W3CDTF">2025-07-02T20:34:00Z</dcterms:modified>
</cp:coreProperties>
</file>