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21E39D" w14:textId="77777777" w:rsidR="00644A71" w:rsidRPr="0065491C" w:rsidRDefault="00644A71" w:rsidP="00644A71">
      <w:pPr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theme="majorHAnsi"/>
          <w:b/>
          <w:bCs/>
          <w:kern w:val="36"/>
          <w:sz w:val="28"/>
          <w:szCs w:val="28"/>
        </w:rPr>
      </w:pPr>
      <w:r w:rsidRPr="0065491C">
        <w:rPr>
          <w:rFonts w:asciiTheme="majorHAnsi" w:eastAsia="Times New Roman" w:hAnsiTheme="majorHAnsi" w:cstheme="majorHAnsi"/>
          <w:b/>
          <w:bCs/>
          <w:kern w:val="36"/>
          <w:sz w:val="28"/>
          <w:szCs w:val="28"/>
        </w:rPr>
        <w:t>Supplementary Statistical Appendix</w:t>
      </w:r>
    </w:p>
    <w:p w14:paraId="25260056" w14:textId="77777777" w:rsidR="00644A71" w:rsidRPr="0065491C" w:rsidRDefault="00644A71" w:rsidP="00644A71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b/>
          <w:bCs/>
          <w:sz w:val="24"/>
          <w:szCs w:val="24"/>
        </w:rPr>
        <w:t>1. Overview of Meta-Analytic Approach</w:t>
      </w:r>
    </w:p>
    <w:p w14:paraId="3DE7B849" w14:textId="77777777" w:rsidR="00644A71" w:rsidRPr="0065491C" w:rsidRDefault="00644A71" w:rsidP="00644A7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 xml:space="preserve">A quantitative synthesis was conducted for studies reporting </w:t>
      </w:r>
      <w:r w:rsidRPr="0065491C">
        <w:rPr>
          <w:rFonts w:asciiTheme="majorHAnsi" w:eastAsia="Times New Roman" w:hAnsiTheme="majorHAnsi" w:cstheme="majorHAnsi"/>
          <w:i/>
          <w:iCs/>
          <w:sz w:val="24"/>
          <w:szCs w:val="24"/>
        </w:rPr>
        <w:t>Plasmodium vivax</w:t>
      </w:r>
      <w:r w:rsidRPr="0065491C">
        <w:rPr>
          <w:rFonts w:asciiTheme="majorHAnsi" w:eastAsia="Times New Roman" w:hAnsiTheme="majorHAnsi" w:cstheme="majorHAnsi"/>
          <w:sz w:val="24"/>
          <w:szCs w:val="24"/>
        </w:rPr>
        <w:t xml:space="preserve"> prevalence among Duffy-negative individu</w:t>
      </w:r>
      <w:bookmarkStart w:id="0" w:name="_GoBack"/>
      <w:bookmarkEnd w:id="0"/>
      <w:r w:rsidRPr="0065491C">
        <w:rPr>
          <w:rFonts w:asciiTheme="majorHAnsi" w:eastAsia="Times New Roman" w:hAnsiTheme="majorHAnsi" w:cstheme="majorHAnsi"/>
          <w:sz w:val="24"/>
          <w:szCs w:val="24"/>
        </w:rPr>
        <w:t>als. The outcome measure was prevalence (proportion of infected individuals among Duffy-negative participants).</w:t>
      </w:r>
    </w:p>
    <w:p w14:paraId="7D95A893" w14:textId="77777777" w:rsidR="00644A71" w:rsidRPr="0065491C" w:rsidRDefault="00644A71" w:rsidP="00644A7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 xml:space="preserve">Pooled prevalence estimates were calculated using a random-effects model with the </w:t>
      </w:r>
      <w:proofErr w:type="spellStart"/>
      <w:r w:rsidRPr="0065491C">
        <w:rPr>
          <w:rFonts w:asciiTheme="majorHAnsi" w:eastAsia="Times New Roman" w:hAnsiTheme="majorHAnsi" w:cstheme="majorHAnsi"/>
          <w:sz w:val="24"/>
          <w:szCs w:val="24"/>
        </w:rPr>
        <w:t>DerSimonian</w:t>
      </w:r>
      <w:proofErr w:type="spellEnd"/>
      <w:r w:rsidRPr="0065491C">
        <w:rPr>
          <w:rFonts w:asciiTheme="majorHAnsi" w:eastAsia="Times New Roman" w:hAnsiTheme="majorHAnsi" w:cstheme="majorHAnsi"/>
          <w:sz w:val="24"/>
          <w:szCs w:val="24"/>
        </w:rPr>
        <w:t xml:space="preserve">–Laird (DL) estimator to account for between-study variability. All analyses were conducted in R (version </w:t>
      </w:r>
      <w:r w:rsidR="004C6A9E" w:rsidRPr="0065491C">
        <w:rPr>
          <w:rFonts w:asciiTheme="majorHAnsi" w:eastAsia="Times New Roman" w:hAnsiTheme="majorHAnsi" w:cstheme="majorHAnsi"/>
          <w:sz w:val="24"/>
          <w:szCs w:val="24"/>
        </w:rPr>
        <w:t>4</w:t>
      </w:r>
      <w:r w:rsidRPr="0065491C">
        <w:rPr>
          <w:rFonts w:asciiTheme="majorHAnsi" w:eastAsia="Times New Roman" w:hAnsiTheme="majorHAnsi" w:cstheme="majorHAnsi"/>
          <w:sz w:val="24"/>
          <w:szCs w:val="24"/>
        </w:rPr>
        <w:t>.</w:t>
      </w:r>
      <w:r w:rsidR="004C6A9E" w:rsidRPr="0065491C">
        <w:rPr>
          <w:rFonts w:asciiTheme="majorHAnsi" w:eastAsia="Times New Roman" w:hAnsiTheme="majorHAnsi" w:cstheme="majorHAnsi"/>
          <w:sz w:val="24"/>
          <w:szCs w:val="24"/>
        </w:rPr>
        <w:t>3</w:t>
      </w:r>
      <w:r w:rsidRPr="0065491C">
        <w:rPr>
          <w:rFonts w:asciiTheme="majorHAnsi" w:eastAsia="Times New Roman" w:hAnsiTheme="majorHAnsi" w:cstheme="majorHAnsi"/>
          <w:sz w:val="24"/>
          <w:szCs w:val="24"/>
        </w:rPr>
        <w:t>.</w:t>
      </w:r>
      <w:r w:rsidR="004C6A9E" w:rsidRPr="0065491C">
        <w:rPr>
          <w:rFonts w:asciiTheme="majorHAnsi" w:eastAsia="Times New Roman" w:hAnsiTheme="majorHAnsi" w:cstheme="majorHAnsi"/>
          <w:sz w:val="24"/>
          <w:szCs w:val="24"/>
        </w:rPr>
        <w:t>2</w:t>
      </w:r>
      <w:r w:rsidRPr="0065491C">
        <w:rPr>
          <w:rFonts w:asciiTheme="majorHAnsi" w:eastAsia="Times New Roman" w:hAnsiTheme="majorHAnsi" w:cstheme="majorHAnsi"/>
          <w:sz w:val="24"/>
          <w:szCs w:val="24"/>
        </w:rPr>
        <w:t xml:space="preserve">; R Foundation for Statistical Computing, Vienna, Austria) using the meta and </w:t>
      </w:r>
      <w:proofErr w:type="spellStart"/>
      <w:r w:rsidRPr="0065491C">
        <w:rPr>
          <w:rFonts w:asciiTheme="majorHAnsi" w:eastAsia="Times New Roman" w:hAnsiTheme="majorHAnsi" w:cstheme="majorHAnsi"/>
          <w:sz w:val="24"/>
          <w:szCs w:val="24"/>
        </w:rPr>
        <w:t>metafor</w:t>
      </w:r>
      <w:proofErr w:type="spellEnd"/>
      <w:r w:rsidRPr="0065491C">
        <w:rPr>
          <w:rFonts w:asciiTheme="majorHAnsi" w:eastAsia="Times New Roman" w:hAnsiTheme="majorHAnsi" w:cstheme="majorHAnsi"/>
          <w:sz w:val="24"/>
          <w:szCs w:val="24"/>
        </w:rPr>
        <w:t xml:space="preserve"> packages.</w:t>
      </w:r>
    </w:p>
    <w:p w14:paraId="71710A5B" w14:textId="77777777" w:rsidR="00644A71" w:rsidRPr="0065491C" w:rsidRDefault="00644A71" w:rsidP="00644A71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b/>
          <w:bCs/>
          <w:sz w:val="24"/>
          <w:szCs w:val="24"/>
        </w:rPr>
        <w:t>2. Data Transformation</w:t>
      </w:r>
    </w:p>
    <w:p w14:paraId="18A7481C" w14:textId="77777777" w:rsidR="00644A71" w:rsidRPr="0065491C" w:rsidRDefault="00644A71" w:rsidP="00644A7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Because prevalence proportions may exhibit variance instability, particularly in studies with small sample sizes, proportions were stabilized using the Freeman–Tukey double arcsine transformation prior to pooling. Back-transformation was applied to obtain pooled prevalence estimates on the original proportion scale.</w:t>
      </w:r>
    </w:p>
    <w:p w14:paraId="6486282C" w14:textId="77777777" w:rsidR="00644A71" w:rsidRPr="0065491C" w:rsidRDefault="00644A71" w:rsidP="00644A7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No zero-event studies were identified; therefore, no continuity correction was applied.</w:t>
      </w:r>
    </w:p>
    <w:p w14:paraId="09BFFD33" w14:textId="77777777" w:rsidR="00644A71" w:rsidRPr="0065491C" w:rsidRDefault="00644A71" w:rsidP="00644A71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b/>
          <w:bCs/>
          <w:sz w:val="24"/>
          <w:szCs w:val="24"/>
        </w:rPr>
        <w:t>3. Heterogeneity Assessment</w:t>
      </w:r>
    </w:p>
    <w:p w14:paraId="25613F82" w14:textId="77777777" w:rsidR="00644A71" w:rsidRPr="0065491C" w:rsidRDefault="00644A71" w:rsidP="00644A7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Between-study heterogeneity was assessed using:</w:t>
      </w:r>
    </w:p>
    <w:p w14:paraId="1ECE17A0" w14:textId="77777777" w:rsidR="00644A71" w:rsidRPr="0065491C" w:rsidRDefault="00644A71" w:rsidP="00644A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b/>
          <w:bCs/>
          <w:sz w:val="24"/>
          <w:szCs w:val="24"/>
        </w:rPr>
        <w:t>Cochran’s Q test</w:t>
      </w:r>
      <w:r w:rsidRPr="0065491C">
        <w:rPr>
          <w:rFonts w:asciiTheme="majorHAnsi" w:eastAsia="Times New Roman" w:hAnsiTheme="majorHAnsi" w:cstheme="majorHAnsi"/>
          <w:sz w:val="24"/>
          <w:szCs w:val="24"/>
        </w:rPr>
        <w:t xml:space="preserve"> (χ² test for heterogeneity)</w:t>
      </w:r>
    </w:p>
    <w:p w14:paraId="636D0DD8" w14:textId="77777777" w:rsidR="00644A71" w:rsidRPr="0065491C" w:rsidRDefault="00644A71" w:rsidP="00644A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b/>
          <w:bCs/>
          <w:sz w:val="24"/>
          <w:szCs w:val="24"/>
        </w:rPr>
        <w:t>I² statistic</w:t>
      </w:r>
      <w:r w:rsidRPr="0065491C">
        <w:rPr>
          <w:rFonts w:asciiTheme="majorHAnsi" w:eastAsia="Times New Roman" w:hAnsiTheme="majorHAnsi" w:cstheme="majorHAnsi"/>
          <w:sz w:val="24"/>
          <w:szCs w:val="24"/>
        </w:rPr>
        <w:t>, calculated as:</w:t>
      </w:r>
    </w:p>
    <w:p w14:paraId="69B90490" w14:textId="77777777" w:rsidR="00644A71" w:rsidRPr="0065491C" w:rsidRDefault="00644A71" w:rsidP="00644A71">
      <w:pPr>
        <w:spacing w:before="100" w:beforeAutospacing="1" w:after="100" w:afterAutospacing="1" w:line="240" w:lineRule="auto"/>
        <w:jc w:val="center"/>
        <w:rPr>
          <w:rFonts w:asciiTheme="majorHAnsi" w:hAnsiTheme="majorHAnsi" w:cstheme="majorHAnsi"/>
          <w:b/>
          <w:bCs/>
        </w:rPr>
      </w:pPr>
      <w:r w:rsidRPr="0065491C">
        <w:rPr>
          <w:rFonts w:asciiTheme="majorHAnsi" w:hAnsiTheme="majorHAnsi" w:cstheme="majorHAnsi"/>
          <w:b/>
          <w:bCs/>
        </w:rPr>
        <w:t>I² = [(Q − df) / Q] × 100%</w:t>
      </w:r>
    </w:p>
    <w:p w14:paraId="79F0F422" w14:textId="77777777" w:rsidR="00644A71" w:rsidRPr="0065491C" w:rsidRDefault="00644A71" w:rsidP="004C6A9E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 xml:space="preserve">where </w:t>
      </w:r>
      <w:r w:rsidRPr="0065491C">
        <w:rPr>
          <w:rFonts w:asciiTheme="majorHAnsi" w:eastAsia="Times New Roman" w:hAnsiTheme="majorHAnsi" w:cstheme="majorHAnsi"/>
          <w:i/>
          <w:iCs/>
          <w:sz w:val="24"/>
          <w:szCs w:val="24"/>
        </w:rPr>
        <w:t>Q</w:t>
      </w:r>
      <w:r w:rsidRPr="0065491C">
        <w:rPr>
          <w:rFonts w:asciiTheme="majorHAnsi" w:eastAsia="Times New Roman" w:hAnsiTheme="majorHAnsi" w:cstheme="majorHAnsi"/>
          <w:sz w:val="24"/>
          <w:szCs w:val="24"/>
        </w:rPr>
        <w:t xml:space="preserve"> is Cochran’s statistic and </w:t>
      </w:r>
      <w:r w:rsidRPr="0065491C">
        <w:rPr>
          <w:rFonts w:asciiTheme="majorHAnsi" w:eastAsia="Times New Roman" w:hAnsiTheme="majorHAnsi" w:cstheme="majorHAnsi"/>
          <w:i/>
          <w:iCs/>
          <w:sz w:val="24"/>
          <w:szCs w:val="24"/>
        </w:rPr>
        <w:t>df</w:t>
      </w:r>
      <w:r w:rsidRPr="0065491C">
        <w:rPr>
          <w:rFonts w:asciiTheme="majorHAnsi" w:eastAsia="Times New Roman" w:hAnsiTheme="majorHAnsi" w:cstheme="majorHAnsi"/>
          <w:sz w:val="24"/>
          <w:szCs w:val="24"/>
        </w:rPr>
        <w:t xml:space="preserve"> represents degrees of freedom.</w:t>
      </w:r>
    </w:p>
    <w:p w14:paraId="2BD2A4CE" w14:textId="77777777" w:rsidR="00644A71" w:rsidRPr="0065491C" w:rsidRDefault="00644A71" w:rsidP="004C6A9E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Heterogeneity was interpreted as:</w:t>
      </w:r>
    </w:p>
    <w:p w14:paraId="4B092E67" w14:textId="77777777" w:rsidR="00644A71" w:rsidRPr="0065491C" w:rsidRDefault="00644A71" w:rsidP="004C6A9E">
      <w:pPr>
        <w:numPr>
          <w:ilvl w:val="0"/>
          <w:numId w:val="2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Low: I² &lt; 25%</w:t>
      </w:r>
    </w:p>
    <w:p w14:paraId="3A460EC5" w14:textId="77777777" w:rsidR="00644A71" w:rsidRPr="0065491C" w:rsidRDefault="00644A71" w:rsidP="004C6A9E">
      <w:pPr>
        <w:numPr>
          <w:ilvl w:val="0"/>
          <w:numId w:val="2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Moderate: 25–75%</w:t>
      </w:r>
    </w:p>
    <w:p w14:paraId="2CB15DE1" w14:textId="6EB40BDA" w:rsidR="00644A71" w:rsidRPr="0065491C" w:rsidRDefault="00644A71" w:rsidP="004C6A9E">
      <w:pPr>
        <w:numPr>
          <w:ilvl w:val="0"/>
          <w:numId w:val="2"/>
        </w:num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High: &gt;75%</w:t>
      </w:r>
    </w:p>
    <w:p w14:paraId="0C37A801" w14:textId="77777777" w:rsidR="00662B90" w:rsidRPr="0065491C" w:rsidRDefault="00662B90" w:rsidP="00662B90">
      <w:pPr>
        <w:spacing w:after="0" w:line="240" w:lineRule="auto"/>
        <w:ind w:left="720"/>
        <w:rPr>
          <w:rFonts w:asciiTheme="majorHAnsi" w:eastAsia="Times New Roman" w:hAnsiTheme="majorHAnsi" w:cstheme="majorHAnsi"/>
          <w:sz w:val="24"/>
          <w:szCs w:val="24"/>
        </w:rPr>
      </w:pPr>
    </w:p>
    <w:p w14:paraId="27BA6044" w14:textId="77777777" w:rsidR="00662B90" w:rsidRPr="0065491C" w:rsidRDefault="00662B90" w:rsidP="00662B90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Because Cochran’s Q test has limited statistical power when only a small number of studies are included, heterogeneity was interpreted in conjunction with the I² statistic.</w:t>
      </w:r>
    </w:p>
    <w:p w14:paraId="340BE539" w14:textId="77777777" w:rsidR="00662B90" w:rsidRPr="0065491C" w:rsidRDefault="00662B90" w:rsidP="00662B90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A random-effects model was applied irrespective of the magnitude of heterogeneity due to anticipated clinical and methodological variability among studies.</w:t>
      </w:r>
    </w:p>
    <w:p w14:paraId="3B79F6EC" w14:textId="77777777" w:rsidR="00662B90" w:rsidRPr="0065491C" w:rsidRDefault="00662B90" w:rsidP="004C6A9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</w:p>
    <w:p w14:paraId="4F11A1DC" w14:textId="77777777" w:rsidR="00644A71" w:rsidRPr="0065491C" w:rsidRDefault="00644A71" w:rsidP="004C6A9E">
      <w:pPr>
        <w:spacing w:before="100" w:beforeAutospacing="1" w:after="100" w:afterAutospacing="1" w:line="240" w:lineRule="auto"/>
        <w:jc w:val="both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b/>
          <w:bCs/>
          <w:sz w:val="24"/>
          <w:szCs w:val="24"/>
        </w:rPr>
        <w:t>4. Sensitivity Analysis</w:t>
      </w:r>
    </w:p>
    <w:p w14:paraId="727B66F6" w14:textId="77777777" w:rsidR="00644A71" w:rsidRPr="0065491C" w:rsidRDefault="00644A71" w:rsidP="004C6A9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To evaluate robustness of pooled estimates, a leave-one-out sensitivity analysis was conducted using sequential omission of individual studies. Stability of the pooled estimate across iterations was examined to identify influential studies.</w:t>
      </w:r>
    </w:p>
    <w:p w14:paraId="0329D6BE" w14:textId="77777777" w:rsidR="00644A71" w:rsidRPr="0065491C" w:rsidRDefault="00644A71" w:rsidP="004C6A9E">
      <w:pPr>
        <w:spacing w:before="100" w:beforeAutospacing="1" w:after="100" w:afterAutospacing="1" w:line="240" w:lineRule="auto"/>
        <w:jc w:val="both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b/>
          <w:bCs/>
          <w:sz w:val="24"/>
          <w:szCs w:val="24"/>
        </w:rPr>
        <w:t>5. Publication Bias and Small-Study Effects</w:t>
      </w:r>
    </w:p>
    <w:p w14:paraId="771FF5BC" w14:textId="77777777" w:rsidR="00644A71" w:rsidRPr="0065491C" w:rsidRDefault="00644A71" w:rsidP="004C6A9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Small-study effects were assessed using:</w:t>
      </w:r>
    </w:p>
    <w:p w14:paraId="20232EC7" w14:textId="77777777" w:rsidR="00644A71" w:rsidRPr="0065491C" w:rsidRDefault="00644A71" w:rsidP="004C6A9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Visual inspection of funnel plot symmetry</w:t>
      </w:r>
    </w:p>
    <w:p w14:paraId="00C64E0E" w14:textId="77777777" w:rsidR="004C6A9E" w:rsidRPr="0065491C" w:rsidRDefault="00644A71" w:rsidP="004C6A9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Egger’s regression test (linear regression of standard normal deviate against standard error)</w:t>
      </w:r>
    </w:p>
    <w:p w14:paraId="52AD26AF" w14:textId="77777777" w:rsidR="004C6A9E" w:rsidRPr="0065491C" w:rsidRDefault="00644A71" w:rsidP="004C6A9E">
      <w:pPr>
        <w:spacing w:before="100" w:beforeAutospacing="1" w:after="100" w:afterAutospacing="1" w:line="240" w:lineRule="auto"/>
        <w:ind w:left="720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 xml:space="preserve">Statistical significance was defined as </w:t>
      </w:r>
      <w:r w:rsidRPr="0065491C">
        <w:rPr>
          <w:rFonts w:asciiTheme="majorHAnsi" w:eastAsia="Times New Roman" w:hAnsiTheme="majorHAnsi" w:cstheme="majorHAnsi"/>
          <w:i/>
          <w:iCs/>
          <w:sz w:val="24"/>
          <w:szCs w:val="24"/>
        </w:rPr>
        <w:t>P</w:t>
      </w:r>
      <w:r w:rsidRPr="0065491C">
        <w:rPr>
          <w:rFonts w:asciiTheme="majorHAnsi" w:eastAsia="Times New Roman" w:hAnsiTheme="majorHAnsi" w:cstheme="majorHAnsi"/>
          <w:sz w:val="24"/>
          <w:szCs w:val="24"/>
        </w:rPr>
        <w:t xml:space="preserve"> &lt; 0.05. Interpretation of publication bias tests was performed cautiously due to the limited number of included studies (n = 5), as recommended in methodological guidelines.</w:t>
      </w:r>
    </w:p>
    <w:p w14:paraId="57B1D8DF" w14:textId="77777777" w:rsidR="00644A71" w:rsidRPr="0065491C" w:rsidRDefault="00644A71" w:rsidP="004C6A9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b/>
          <w:bCs/>
          <w:sz w:val="24"/>
          <w:szCs w:val="24"/>
        </w:rPr>
        <w:t>6. Subgroup Analyses</w:t>
      </w:r>
    </w:p>
    <w:p w14:paraId="5CD9CB63" w14:textId="77777777" w:rsidR="00644A71" w:rsidRPr="0065491C" w:rsidRDefault="00644A71" w:rsidP="004C6A9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Where sufficient data were available, subgroup analyses were performed according to:</w:t>
      </w:r>
    </w:p>
    <w:p w14:paraId="2A5C6FC8" w14:textId="77777777" w:rsidR="00644A71" w:rsidRPr="0065491C" w:rsidRDefault="00644A71" w:rsidP="004C6A9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Geographic region</w:t>
      </w:r>
    </w:p>
    <w:p w14:paraId="373904D4" w14:textId="77777777" w:rsidR="00644A71" w:rsidRPr="0065491C" w:rsidRDefault="00644A71" w:rsidP="004C6A9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Diagnostic method</w:t>
      </w:r>
    </w:p>
    <w:p w14:paraId="217B0332" w14:textId="77777777" w:rsidR="00644A71" w:rsidRPr="0065491C" w:rsidRDefault="00644A71" w:rsidP="004C6A9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Study population characteristics</w:t>
      </w:r>
    </w:p>
    <w:p w14:paraId="07366843" w14:textId="77777777" w:rsidR="00644A71" w:rsidRPr="0065491C" w:rsidRDefault="00644A71" w:rsidP="004C6A9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Subgroup differences were explored descriptively due to limited statistical power.</w:t>
      </w:r>
    </w:p>
    <w:p w14:paraId="4D4A96AD" w14:textId="77777777" w:rsidR="00644A71" w:rsidRPr="0065491C" w:rsidRDefault="00644A71" w:rsidP="004C6A9E">
      <w:pPr>
        <w:spacing w:before="100" w:beforeAutospacing="1" w:after="100" w:afterAutospacing="1" w:line="240" w:lineRule="auto"/>
        <w:jc w:val="both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b/>
          <w:bCs/>
          <w:sz w:val="24"/>
          <w:szCs w:val="24"/>
        </w:rPr>
        <w:t>7. Reproducibility and Code</w:t>
      </w:r>
    </w:p>
    <w:p w14:paraId="41833780" w14:textId="77777777" w:rsidR="006054E3" w:rsidRPr="0065491C" w:rsidRDefault="00644A71" w:rsidP="004C6A9E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The following R structure was used for meta-analysis:</w:t>
      </w:r>
    </w:p>
    <w:p w14:paraId="61F4FC5E" w14:textId="77777777" w:rsidR="00644A71" w:rsidRPr="0065491C" w:rsidRDefault="00644A71" w:rsidP="00662B90">
      <w:pPr>
        <w:pStyle w:val="ListParagraph"/>
      </w:pPr>
      <w:r w:rsidRPr="0065491C">
        <w:t>library(meta)</w:t>
      </w:r>
    </w:p>
    <w:p w14:paraId="43FFEF5A" w14:textId="03F0976C" w:rsidR="00644A71" w:rsidRPr="0065491C" w:rsidRDefault="00644A71" w:rsidP="00662B90">
      <w:pPr>
        <w:pStyle w:val="ListParagraph"/>
      </w:pPr>
      <w:r w:rsidRPr="0065491C">
        <w:t>library(</w:t>
      </w:r>
      <w:proofErr w:type="spellStart"/>
      <w:r w:rsidRPr="0065491C">
        <w:t>metafor</w:t>
      </w:r>
      <w:proofErr w:type="spellEnd"/>
      <w:r w:rsidRPr="0065491C">
        <w:t>)</w:t>
      </w:r>
    </w:p>
    <w:p w14:paraId="4C8E2171" w14:textId="77777777" w:rsidR="00644A71" w:rsidRPr="0065491C" w:rsidRDefault="00644A71" w:rsidP="00662B90">
      <w:pPr>
        <w:pStyle w:val="ListParagraph"/>
      </w:pPr>
      <w:proofErr w:type="spellStart"/>
      <w:r w:rsidRPr="0065491C">
        <w:t>meta_analysis</w:t>
      </w:r>
      <w:proofErr w:type="spellEnd"/>
      <w:r w:rsidRPr="0065491C">
        <w:t xml:space="preserve"> &lt;- </w:t>
      </w:r>
      <w:proofErr w:type="spellStart"/>
      <w:proofErr w:type="gramStart"/>
      <w:r w:rsidRPr="0065491C">
        <w:t>metaprop</w:t>
      </w:r>
      <w:proofErr w:type="spellEnd"/>
      <w:r w:rsidRPr="0065491C">
        <w:t>(</w:t>
      </w:r>
      <w:proofErr w:type="gramEnd"/>
    </w:p>
    <w:p w14:paraId="03A5CC6A" w14:textId="77777777" w:rsidR="00644A71" w:rsidRPr="0065491C" w:rsidRDefault="00644A71" w:rsidP="00662B90">
      <w:pPr>
        <w:pStyle w:val="ListParagraph"/>
      </w:pPr>
      <w:r w:rsidRPr="0065491C">
        <w:t xml:space="preserve">  event,</w:t>
      </w:r>
    </w:p>
    <w:p w14:paraId="0A9FA241" w14:textId="77777777" w:rsidR="00644A71" w:rsidRPr="0065491C" w:rsidRDefault="00644A71" w:rsidP="00662B90">
      <w:pPr>
        <w:pStyle w:val="ListParagraph"/>
      </w:pPr>
      <w:r w:rsidRPr="0065491C">
        <w:t xml:space="preserve">  n,</w:t>
      </w:r>
    </w:p>
    <w:p w14:paraId="29203D61" w14:textId="77777777" w:rsidR="00644A71" w:rsidRPr="0065491C" w:rsidRDefault="00644A71" w:rsidP="00662B90">
      <w:pPr>
        <w:pStyle w:val="ListParagraph"/>
      </w:pPr>
      <w:r w:rsidRPr="0065491C">
        <w:t xml:space="preserve">  </w:t>
      </w:r>
      <w:proofErr w:type="spellStart"/>
      <w:r w:rsidRPr="0065491C">
        <w:t>studlab</w:t>
      </w:r>
      <w:proofErr w:type="spellEnd"/>
      <w:r w:rsidRPr="0065491C">
        <w:t xml:space="preserve"> = study,</w:t>
      </w:r>
    </w:p>
    <w:p w14:paraId="54DF7AB1" w14:textId="77777777" w:rsidR="00644A71" w:rsidRPr="0065491C" w:rsidRDefault="00644A71" w:rsidP="00662B90">
      <w:pPr>
        <w:pStyle w:val="ListParagraph"/>
      </w:pPr>
      <w:r w:rsidRPr="0065491C">
        <w:t xml:space="preserve">  data = dataset,</w:t>
      </w:r>
    </w:p>
    <w:p w14:paraId="1C72CAF2" w14:textId="77777777" w:rsidR="00644A71" w:rsidRPr="0065491C" w:rsidRDefault="00644A71" w:rsidP="00662B90">
      <w:pPr>
        <w:pStyle w:val="ListParagraph"/>
      </w:pPr>
      <w:r w:rsidRPr="0065491C">
        <w:t xml:space="preserve">  </w:t>
      </w:r>
      <w:proofErr w:type="spellStart"/>
      <w:r w:rsidRPr="0065491C">
        <w:t>sm</w:t>
      </w:r>
      <w:proofErr w:type="spellEnd"/>
      <w:r w:rsidRPr="0065491C">
        <w:t xml:space="preserve"> = "PFT",</w:t>
      </w:r>
    </w:p>
    <w:p w14:paraId="7AE055F1" w14:textId="77777777" w:rsidR="00644A71" w:rsidRPr="0065491C" w:rsidRDefault="00644A71" w:rsidP="00662B90">
      <w:pPr>
        <w:pStyle w:val="ListParagraph"/>
      </w:pPr>
      <w:r w:rsidRPr="0065491C">
        <w:t xml:space="preserve">  </w:t>
      </w:r>
      <w:proofErr w:type="spellStart"/>
      <w:r w:rsidRPr="0065491C">
        <w:t>method.tau</w:t>
      </w:r>
      <w:proofErr w:type="spellEnd"/>
      <w:r w:rsidRPr="0065491C">
        <w:t xml:space="preserve"> = "DL",</w:t>
      </w:r>
    </w:p>
    <w:p w14:paraId="0B4DE8F4" w14:textId="77777777" w:rsidR="00644A71" w:rsidRPr="0065491C" w:rsidRDefault="00644A71" w:rsidP="00662B90">
      <w:pPr>
        <w:pStyle w:val="ListParagraph"/>
      </w:pPr>
      <w:r w:rsidRPr="0065491C">
        <w:t xml:space="preserve">  </w:t>
      </w:r>
      <w:proofErr w:type="spellStart"/>
      <w:r w:rsidRPr="0065491C">
        <w:t>comb.fixed</w:t>
      </w:r>
      <w:proofErr w:type="spellEnd"/>
      <w:r w:rsidRPr="0065491C">
        <w:t xml:space="preserve"> = FALSE,</w:t>
      </w:r>
    </w:p>
    <w:p w14:paraId="46EE896B" w14:textId="77777777" w:rsidR="00644A71" w:rsidRPr="0065491C" w:rsidRDefault="00644A71" w:rsidP="00662B90">
      <w:pPr>
        <w:pStyle w:val="ListParagraph"/>
      </w:pPr>
      <w:r w:rsidRPr="0065491C">
        <w:t xml:space="preserve">  </w:t>
      </w:r>
      <w:proofErr w:type="spellStart"/>
      <w:r w:rsidRPr="0065491C">
        <w:t>comb.random</w:t>
      </w:r>
      <w:proofErr w:type="spellEnd"/>
      <w:r w:rsidRPr="0065491C">
        <w:t xml:space="preserve"> = TRUE</w:t>
      </w:r>
    </w:p>
    <w:p w14:paraId="481AB13A" w14:textId="77777777" w:rsidR="00644A71" w:rsidRPr="0065491C" w:rsidRDefault="00644A71" w:rsidP="00662B90">
      <w:pPr>
        <w:pStyle w:val="ListParagraph"/>
      </w:pPr>
      <w:r w:rsidRPr="0065491C">
        <w:t>)</w:t>
      </w:r>
    </w:p>
    <w:p w14:paraId="430DD25D" w14:textId="77777777" w:rsidR="00644A71" w:rsidRPr="0065491C" w:rsidRDefault="00644A71" w:rsidP="00662B90">
      <w:pPr>
        <w:pStyle w:val="ListParagraph"/>
      </w:pPr>
    </w:p>
    <w:p w14:paraId="044C20E4" w14:textId="77777777" w:rsidR="00644A71" w:rsidRPr="0065491C" w:rsidRDefault="00644A71" w:rsidP="00662B90">
      <w:pPr>
        <w:pStyle w:val="ListParagraph"/>
      </w:pPr>
      <w:r w:rsidRPr="0065491C">
        <w:t>forest(</w:t>
      </w:r>
      <w:proofErr w:type="spellStart"/>
      <w:r w:rsidRPr="0065491C">
        <w:t>meta_analysis</w:t>
      </w:r>
      <w:proofErr w:type="spellEnd"/>
      <w:r w:rsidRPr="0065491C">
        <w:t>)</w:t>
      </w:r>
    </w:p>
    <w:p w14:paraId="77967BE7" w14:textId="77777777" w:rsidR="00644A71" w:rsidRPr="0065491C" w:rsidRDefault="00644A71" w:rsidP="00662B90">
      <w:pPr>
        <w:pStyle w:val="ListParagraph"/>
      </w:pPr>
      <w:proofErr w:type="spellStart"/>
      <w:r w:rsidRPr="0065491C">
        <w:t>metainf</w:t>
      </w:r>
      <w:proofErr w:type="spellEnd"/>
      <w:r w:rsidRPr="0065491C">
        <w:t>(</w:t>
      </w:r>
      <w:proofErr w:type="spellStart"/>
      <w:r w:rsidRPr="0065491C">
        <w:t>meta_analysis</w:t>
      </w:r>
      <w:proofErr w:type="spellEnd"/>
      <w:r w:rsidRPr="0065491C">
        <w:t>)</w:t>
      </w:r>
    </w:p>
    <w:p w14:paraId="631C4C25" w14:textId="77777777" w:rsidR="00644A71" w:rsidRPr="0065491C" w:rsidRDefault="00644A71" w:rsidP="00662B90">
      <w:pPr>
        <w:pStyle w:val="ListParagraph"/>
      </w:pPr>
      <w:r w:rsidRPr="0065491C">
        <w:t>funnel(</w:t>
      </w:r>
      <w:proofErr w:type="spellStart"/>
      <w:r w:rsidRPr="0065491C">
        <w:t>meta_analysis</w:t>
      </w:r>
      <w:proofErr w:type="spellEnd"/>
      <w:r w:rsidRPr="0065491C">
        <w:t>)</w:t>
      </w:r>
    </w:p>
    <w:p w14:paraId="4FA211C4" w14:textId="77777777" w:rsidR="00644A71" w:rsidRPr="0065491C" w:rsidRDefault="00644A71" w:rsidP="00662B90">
      <w:pPr>
        <w:pStyle w:val="ListParagraph"/>
      </w:pPr>
      <w:proofErr w:type="spellStart"/>
      <w:proofErr w:type="gramStart"/>
      <w:r w:rsidRPr="0065491C">
        <w:t>metabias</w:t>
      </w:r>
      <w:proofErr w:type="spellEnd"/>
      <w:r w:rsidRPr="0065491C">
        <w:t>(</w:t>
      </w:r>
      <w:proofErr w:type="spellStart"/>
      <w:proofErr w:type="gramEnd"/>
      <w:r w:rsidRPr="0065491C">
        <w:t>meta_analysis</w:t>
      </w:r>
      <w:proofErr w:type="spellEnd"/>
      <w:r w:rsidRPr="0065491C">
        <w:t xml:space="preserve">, </w:t>
      </w:r>
      <w:proofErr w:type="spellStart"/>
      <w:r w:rsidRPr="0065491C">
        <w:t>method.bias</w:t>
      </w:r>
      <w:proofErr w:type="spellEnd"/>
      <w:r w:rsidRPr="0065491C">
        <w:t xml:space="preserve"> = "</w:t>
      </w:r>
      <w:proofErr w:type="spellStart"/>
      <w:r w:rsidRPr="0065491C">
        <w:t>linreg</w:t>
      </w:r>
      <w:proofErr w:type="spellEnd"/>
      <w:r w:rsidRPr="0065491C">
        <w:t>")</w:t>
      </w:r>
    </w:p>
    <w:p w14:paraId="17905C61" w14:textId="77777777" w:rsidR="00644A71" w:rsidRPr="0065491C" w:rsidRDefault="00644A71" w:rsidP="00644A71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65491C">
        <w:rPr>
          <w:rFonts w:asciiTheme="majorHAnsi" w:eastAsia="Times New Roman" w:hAnsiTheme="majorHAnsi" w:cstheme="majorHAnsi"/>
          <w:sz w:val="24"/>
          <w:szCs w:val="24"/>
        </w:rPr>
        <w:t>All analyses were conducted at a significance level of α = 0.05.</w:t>
      </w:r>
    </w:p>
    <w:p w14:paraId="1834B65B" w14:textId="77777777" w:rsidR="00644A71" w:rsidRPr="0065491C" w:rsidRDefault="00644A71" w:rsidP="00644A71"/>
    <w:sectPr w:rsidR="00644A71" w:rsidRPr="0065491C" w:rsidSect="006549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05920"/>
    <w:multiLevelType w:val="multilevel"/>
    <w:tmpl w:val="AE1C0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C6681"/>
    <w:multiLevelType w:val="multilevel"/>
    <w:tmpl w:val="801C2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4092D"/>
    <w:multiLevelType w:val="multilevel"/>
    <w:tmpl w:val="881E6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8D3883"/>
    <w:multiLevelType w:val="multilevel"/>
    <w:tmpl w:val="6EF0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8630A5"/>
    <w:multiLevelType w:val="multilevel"/>
    <w:tmpl w:val="D1148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363B78"/>
    <w:multiLevelType w:val="multilevel"/>
    <w:tmpl w:val="75246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F024B9"/>
    <w:multiLevelType w:val="multilevel"/>
    <w:tmpl w:val="01928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926F40"/>
    <w:multiLevelType w:val="multilevel"/>
    <w:tmpl w:val="7632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855BE3"/>
    <w:multiLevelType w:val="hybridMultilevel"/>
    <w:tmpl w:val="B69C261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BA1473"/>
    <w:multiLevelType w:val="multilevel"/>
    <w:tmpl w:val="51AE1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9"/>
  </w:num>
  <w:num w:numId="6">
    <w:abstractNumId w:val="7"/>
  </w:num>
  <w:num w:numId="7">
    <w:abstractNumId w:val="2"/>
  </w:num>
  <w:num w:numId="8">
    <w:abstractNumId w:val="5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71"/>
    <w:rsid w:val="004C6A9E"/>
    <w:rsid w:val="006054E3"/>
    <w:rsid w:val="00644A71"/>
    <w:rsid w:val="0065491C"/>
    <w:rsid w:val="0066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467A9"/>
  <w15:chartTrackingRefBased/>
  <w15:docId w15:val="{275F9DC3-A254-4B86-B9C4-B2EF44E7F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44A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44A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A7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44A7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44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44A71"/>
    <w:rPr>
      <w:i/>
      <w:iCs/>
    </w:rPr>
  </w:style>
  <w:style w:type="character" w:styleId="Strong">
    <w:name w:val="Strong"/>
    <w:basedOn w:val="DefaultParagraphFont"/>
    <w:uiPriority w:val="22"/>
    <w:qFormat/>
    <w:rsid w:val="00644A71"/>
    <w:rPr>
      <w:b/>
      <w:bCs/>
    </w:rPr>
  </w:style>
  <w:style w:type="character" w:customStyle="1" w:styleId="katex-mathml">
    <w:name w:val="katex-mathml"/>
    <w:basedOn w:val="DefaultParagraphFont"/>
    <w:rsid w:val="00644A71"/>
  </w:style>
  <w:style w:type="character" w:customStyle="1" w:styleId="mord">
    <w:name w:val="mord"/>
    <w:basedOn w:val="DefaultParagraphFont"/>
    <w:rsid w:val="00644A71"/>
  </w:style>
  <w:style w:type="character" w:customStyle="1" w:styleId="mrel">
    <w:name w:val="mrel"/>
    <w:basedOn w:val="DefaultParagraphFont"/>
    <w:rsid w:val="00644A71"/>
  </w:style>
  <w:style w:type="character" w:customStyle="1" w:styleId="mbin">
    <w:name w:val="mbin"/>
    <w:basedOn w:val="DefaultParagraphFont"/>
    <w:rsid w:val="00644A71"/>
  </w:style>
  <w:style w:type="character" w:customStyle="1" w:styleId="vlist-s">
    <w:name w:val="vlist-s"/>
    <w:basedOn w:val="DefaultParagraphFont"/>
    <w:rsid w:val="00644A7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4A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4A7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4A71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662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5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Elfaki</dc:creator>
  <cp:keywords/>
  <dc:description/>
  <cp:lastModifiedBy>Revathi   Thangaraj</cp:lastModifiedBy>
  <cp:revision>3</cp:revision>
  <dcterms:created xsi:type="dcterms:W3CDTF">2026-03-04T01:00:00Z</dcterms:created>
  <dcterms:modified xsi:type="dcterms:W3CDTF">2026-05-01T09:14:00Z</dcterms:modified>
</cp:coreProperties>
</file>