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before="0" w:after="20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Workflow Management Systems and Reproducible Pipelines for </w:t>
      </w:r>
      <w:r>
        <w:rPr>
          <w:rFonts w:eastAsia="Times New Roman" w:cs="Times New Roman" w:ascii="Times New Roman" w:hAnsi="Times New Roman"/>
          <w:b/>
          <w:bCs/>
          <w:i/>
          <w:iCs/>
          <w:sz w:val="28"/>
          <w:szCs w:val="28"/>
        </w:rPr>
        <w:t>Plasmodium falciparum</w:t>
      </w:r>
      <w:r>
        <w:rPr>
          <w:rFonts w:eastAsia="Times New Roman" w:cs="Times New Roman" w:ascii="Times New Roman" w:hAnsi="Times New Roman"/>
          <w:b/>
          <w:bCs/>
          <w:sz w:val="28"/>
          <w:szCs w:val="28"/>
        </w:rPr>
        <w:t xml:space="preserve"> Genomic Surveillance: Tools, Design Principles and Infrastructure Challenges</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Clement Igiraneza</w:t>
      </w:r>
      <w:r>
        <w:rPr>
          <w:rFonts w:eastAsia="Times New Roman" w:cs="Times New Roman" w:ascii="Times New Roman" w:hAnsi="Times New Roman"/>
          <w:sz w:val="22"/>
          <w:szCs w:val="22"/>
          <w:vertAlign w:val="superscript"/>
        </w:rPr>
        <w:t>1,*</w:t>
      </w:r>
      <w:r>
        <w:rPr>
          <w:rFonts w:eastAsia="Times New Roman" w:cs="Times New Roman" w:ascii="Times New Roman" w:hAnsi="Times New Roman"/>
          <w:sz w:val="22"/>
          <w:szCs w:val="22"/>
        </w:rPr>
        <w:t>, Danilo de Castro Silva</w:t>
      </w:r>
      <w:r>
        <w:rPr>
          <w:rFonts w:eastAsia="Times New Roman" w:cs="Times New Roman" w:ascii="Times New Roman" w:hAnsi="Times New Roman"/>
          <w:sz w:val="22"/>
          <w:szCs w:val="22"/>
          <w:vertAlign w:val="superscript"/>
        </w:rPr>
        <w:t>6</w:t>
      </w:r>
      <w:r>
        <w:rPr>
          <w:rFonts w:eastAsia="Times New Roman" w:cs="Times New Roman" w:ascii="Times New Roman" w:hAnsi="Times New Roman"/>
          <w:sz w:val="22"/>
          <w:szCs w:val="22"/>
        </w:rPr>
        <w:t>, Firas Zemzem</w:t>
      </w:r>
      <w:r>
        <w:rPr>
          <w:rFonts w:eastAsia="Times New Roman" w:cs="Times New Roman" w:ascii="Times New Roman" w:hAnsi="Times New Roman"/>
          <w:sz w:val="22"/>
          <w:szCs w:val="22"/>
          <w:vertAlign w:val="superscript"/>
        </w:rPr>
        <w:t>2,3</w:t>
      </w:r>
      <w:r>
        <w:rPr>
          <w:rFonts w:eastAsia="Times New Roman" w:cs="Times New Roman" w:ascii="Times New Roman" w:hAnsi="Times New Roman"/>
          <w:sz w:val="22"/>
          <w:szCs w:val="22"/>
        </w:rPr>
        <w:t>, Hastings Twalie Musopole</w:t>
      </w:r>
      <w:r>
        <w:rPr>
          <w:rFonts w:eastAsia="Times New Roman" w:cs="Times New Roman" w:ascii="Times New Roman" w:hAnsi="Times New Roman"/>
          <w:sz w:val="22"/>
          <w:szCs w:val="22"/>
          <w:vertAlign w:val="superscript"/>
        </w:rPr>
        <w:t>4</w:t>
      </w:r>
      <w:r>
        <w:rPr>
          <w:rFonts w:eastAsia="Times New Roman" w:cs="Times New Roman" w:ascii="Times New Roman" w:hAnsi="Times New Roman"/>
          <w:sz w:val="22"/>
          <w:szCs w:val="22"/>
        </w:rPr>
        <w:t>, Abhinav Sharma</w:t>
      </w:r>
      <w:r>
        <w:rPr>
          <w:rFonts w:eastAsia="Times New Roman" w:cs="Times New Roman" w:ascii="Times New Roman" w:hAnsi="Times New Roman"/>
          <w:sz w:val="22"/>
          <w:szCs w:val="22"/>
          <w:vertAlign w:val="superscript"/>
        </w:rPr>
        <w:t>5</w:t>
      </w:r>
      <w:r>
        <w:rPr>
          <w:rFonts w:eastAsia="Times New Roman" w:cs="Times New Roman" w:ascii="Times New Roman" w:hAnsi="Times New Roman"/>
          <w:sz w:val="22"/>
          <w:szCs w:val="22"/>
        </w:rPr>
        <w:t>, Jules Minega Ndoli</w:t>
      </w:r>
      <w:r>
        <w:rPr>
          <w:rFonts w:eastAsia="Times New Roman" w:cs="Times New Roman" w:ascii="Times New Roman" w:hAnsi="Times New Roman"/>
          <w:sz w:val="22"/>
          <w:szCs w:val="22"/>
          <w:vertAlign w:val="superscript"/>
        </w:rPr>
        <w:t>1</w:t>
      </w:r>
      <w:r>
        <w:rPr>
          <w:rFonts w:eastAsia="Times New Roman" w:cs="Times New Roman" w:ascii="Times New Roman" w:hAnsi="Times New Roman"/>
          <w:sz w:val="22"/>
          <w:szCs w:val="22"/>
        </w:rPr>
        <w:t xml:space="preserve">, </w:t>
      </w:r>
      <w:r>
        <w:rPr>
          <w:rFonts w:eastAsia="Times New Roman" w:cs="Times New Roman" w:ascii="Times New Roman" w:hAnsi="Times New Roman"/>
          <w:sz w:val="22"/>
          <w:szCs w:val="22"/>
          <w:highlight w:val="white"/>
        </w:rPr>
        <w:t>Eduan Wilkinson</w:t>
      </w:r>
      <w:r>
        <w:rPr>
          <w:rFonts w:eastAsia="Times New Roman" w:cs="Times New Roman" w:ascii="Times New Roman" w:hAnsi="Times New Roman"/>
          <w:sz w:val="22"/>
          <w:szCs w:val="22"/>
          <w:highlight w:val="white"/>
          <w:vertAlign w:val="superscript"/>
        </w:rPr>
        <w:t>6</w:t>
      </w:r>
      <w:r>
        <w:rPr>
          <w:rFonts w:eastAsia="Times New Roman" w:cs="Times New Roman" w:ascii="Times New Roman" w:hAnsi="Times New Roman"/>
          <w:sz w:val="22"/>
          <w:szCs w:val="22"/>
          <w:highlight w:val="white"/>
        </w:rPr>
        <w:t>,</w:t>
      </w:r>
      <w:r>
        <w:rPr>
          <w:rFonts w:eastAsia="Times New Roman" w:cs="Times New Roman" w:ascii="Times New Roman" w:hAnsi="Times New Roman"/>
          <w:sz w:val="22"/>
          <w:szCs w:val="22"/>
          <w:highlight w:val="white"/>
          <w:vertAlign w:val="subscript"/>
        </w:rPr>
        <w:t xml:space="preserve"> </w:t>
      </w:r>
      <w:r>
        <w:rPr>
          <w:rFonts w:eastAsia="Times New Roman" w:cs="Times New Roman" w:ascii="Times New Roman" w:hAnsi="Times New Roman"/>
          <w:sz w:val="22"/>
          <w:szCs w:val="22"/>
          <w:highlight w:val="white"/>
        </w:rPr>
        <w:t>Geraldine Van der Auwera</w:t>
      </w:r>
      <w:r>
        <w:rPr>
          <w:rFonts w:eastAsia="Times New Roman" w:cs="Times New Roman" w:ascii="Times New Roman" w:hAnsi="Times New Roman"/>
          <w:sz w:val="22"/>
          <w:szCs w:val="22"/>
          <w:highlight w:val="white"/>
          <w:vertAlign w:val="superscript"/>
        </w:rPr>
        <w:t>8</w:t>
      </w:r>
      <w:r>
        <w:rPr>
          <w:rFonts w:eastAsia="Times New Roman" w:cs="Times New Roman" w:ascii="Times New Roman" w:hAnsi="Times New Roman"/>
          <w:sz w:val="22"/>
          <w:szCs w:val="22"/>
        </w:rPr>
        <w:t>, Marcel da Câmara Ribeiro-Dantas</w:t>
      </w:r>
      <w:r>
        <w:rPr>
          <w:rFonts w:eastAsia="Times New Roman" w:cs="Times New Roman" w:ascii="Times New Roman" w:hAnsi="Times New Roman"/>
          <w:sz w:val="22"/>
          <w:szCs w:val="22"/>
          <w:vertAlign w:val="superscript"/>
        </w:rPr>
        <w:t xml:space="preserve">8 </w:t>
      </w:r>
      <w:r>
        <w:rPr>
          <w:rFonts w:eastAsia="Times New Roman" w:cs="Times New Roman" w:ascii="Times New Roman" w:hAnsi="Times New Roman"/>
          <w:sz w:val="22"/>
          <w:szCs w:val="22"/>
          <w:vertAlign w:val="subscript"/>
        </w:rPr>
        <w:t xml:space="preserve">,  </w:t>
      </w:r>
      <w:r>
        <w:rPr>
          <w:rFonts w:eastAsia="Times New Roman" w:cs="Times New Roman" w:ascii="Times New Roman" w:hAnsi="Times New Roman"/>
          <w:sz w:val="22"/>
          <w:szCs w:val="22"/>
        </w:rPr>
        <w:t>Leon</w:t>
      </w:r>
      <w:r>
        <w:rPr>
          <w:rFonts w:eastAsia="Times New Roman" w:cs="Times New Roman" w:ascii="Times New Roman" w:hAnsi="Times New Roman"/>
          <w:sz w:val="22"/>
          <w:szCs w:val="22"/>
          <w:vertAlign w:val="superscript"/>
        </w:rPr>
        <w:t xml:space="preserve"> </w:t>
      </w:r>
      <w:r>
        <w:rPr>
          <w:rFonts w:eastAsia="Times New Roman" w:cs="Times New Roman" w:ascii="Times New Roman" w:hAnsi="Times New Roman"/>
          <w:sz w:val="22"/>
          <w:szCs w:val="22"/>
        </w:rPr>
        <w:t>Mutesa</w:t>
      </w:r>
      <w:r>
        <w:rPr>
          <w:rFonts w:eastAsia="Times New Roman" w:cs="Times New Roman" w:ascii="Times New Roman" w:hAnsi="Times New Roman"/>
          <w:sz w:val="22"/>
          <w:szCs w:val="22"/>
          <w:vertAlign w:val="superscript"/>
        </w:rPr>
        <w:t xml:space="preserve">7 </w:t>
      </w:r>
      <w:r>
        <w:rPr>
          <w:rFonts w:eastAsia="Times New Roman" w:cs="Times New Roman" w:ascii="Times New Roman" w:hAnsi="Times New Roman"/>
          <w:sz w:val="22"/>
          <w:szCs w:val="22"/>
        </w:rPr>
        <w:t>and Didier Menard</w:t>
      </w:r>
      <w:r>
        <w:rPr>
          <w:rFonts w:eastAsia="Times New Roman" w:cs="Times New Roman" w:ascii="Times New Roman" w:hAnsi="Times New Roman"/>
          <w:sz w:val="22"/>
          <w:szCs w:val="22"/>
          <w:vertAlign w:val="superscript"/>
        </w:rPr>
        <w:t>8,9,10,11,*</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 xml:space="preserve">1 </w:t>
      </w:r>
      <w:r>
        <w:rPr>
          <w:rFonts w:eastAsia="Times New Roman" w:cs="Times New Roman" w:ascii="Times New Roman" w:hAnsi="Times New Roman"/>
          <w:sz w:val="22"/>
          <w:szCs w:val="22"/>
        </w:rPr>
        <w:t>University Teaching Hospital of Butare, University of Rwanda, HUYE, 254 Butare, Rwanda</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 xml:space="preserve">2 </w:t>
      </w:r>
      <w:r>
        <w:rPr>
          <w:rFonts w:eastAsia="Times New Roman" w:cs="Times New Roman" w:ascii="Times New Roman" w:hAnsi="Times New Roman"/>
          <w:sz w:val="22"/>
          <w:szCs w:val="22"/>
        </w:rPr>
        <w:t>Laboratory of Human Cytogenetics, Molecular Genetics and Reproductive Biology, Farhat Hached University Hospital, Avenue Ibn El Jazzar, 4031 Sousse,  University of Sousse, Tunisia</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3</w:t>
      </w:r>
      <w:r>
        <w:rPr>
          <w:rFonts w:eastAsia="Times New Roman" w:cs="Times New Roman" w:ascii="Times New Roman" w:hAnsi="Times New Roman"/>
          <w:sz w:val="22"/>
          <w:szCs w:val="22"/>
        </w:rPr>
        <w:t xml:space="preserve"> Higher Institute of Biotechnology of Monastir, Avenue Taher Hadded ,BP 74, 5000 Monastir, University of Monastir, Tunisia</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4</w:t>
      </w:r>
      <w:r>
        <w:rPr>
          <w:rFonts w:eastAsia="Times New Roman" w:cs="Times New Roman" w:ascii="Times New Roman" w:hAnsi="Times New Roman"/>
          <w:sz w:val="22"/>
          <w:szCs w:val="22"/>
        </w:rPr>
        <w:t xml:space="preserve"> KwaZulu-Natal Research Innovation and Sequencing Platform, Nelson R. Mandela School of Medicine, University of KwaZulu-Natal, Durban 4001, South Africa.</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5</w:t>
      </w:r>
      <w:r>
        <w:rPr>
          <w:rFonts w:eastAsia="Times New Roman" w:cs="Times New Roman" w:ascii="Times New Roman" w:hAnsi="Times New Roman"/>
          <w:sz w:val="22"/>
          <w:szCs w:val="22"/>
        </w:rPr>
        <w:t xml:space="preserve"> Division of Molecular Biology and Human Genetics, Department of Biomedical Sciences, Faculty of Medicine and Health Sciences, Bioinformatics, 2nd floor, BMRI South, Biomedical Research Institute, Francie Van Zijl Drive, Tygerberg, 7505, Stellenbosch University Tygerberg Medical Campus, South Africa</w:t>
      </w:r>
    </w:p>
    <w:p>
      <w:pPr>
        <w:pStyle w:val="Normal1"/>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6</w:t>
      </w:r>
      <w:r>
        <w:rPr>
          <w:rFonts w:eastAsia="Times New Roman" w:cs="Times New Roman" w:ascii="Times New Roman" w:hAnsi="Times New Roman"/>
          <w:sz w:val="22"/>
          <w:szCs w:val="22"/>
        </w:rPr>
        <w:t xml:space="preserve"> The Centre for Epidemic Response and Innovation, School of Data Science and Computational Thinking, Stellenbosch University, Stellenbosch 7600, South Africa.</w:t>
      </w:r>
    </w:p>
    <w:p>
      <w:pPr>
        <w:pStyle w:val="Normal1"/>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7</w:t>
      </w:r>
      <w:r>
        <w:rPr>
          <w:rFonts w:eastAsia="Times New Roman" w:cs="Times New Roman" w:ascii="Times New Roman" w:hAnsi="Times New Roman"/>
          <w:sz w:val="22"/>
          <w:szCs w:val="22"/>
        </w:rPr>
        <w:t>Center of Human Genetics, School of Medicine and Pharmacy, College of Medicine and health sciences, University of Rwanda, 4285 Kigali, Rwanda</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8</w:t>
      </w:r>
      <w:r>
        <w:rPr>
          <w:rFonts w:eastAsia="Times New Roman" w:cs="Times New Roman" w:ascii="Times New Roman" w:hAnsi="Times New Roman"/>
          <w:sz w:val="22"/>
          <w:szCs w:val="22"/>
        </w:rPr>
        <w:t xml:space="preserve"> </w:t>
      </w:r>
      <w:hyperlink r:id="rId2">
        <w:r>
          <w:rPr>
            <w:rFonts w:eastAsia="Times New Roman" w:cs="Times New Roman" w:ascii="Times New Roman" w:hAnsi="Times New Roman"/>
            <w:sz w:val="22"/>
            <w:szCs w:val="22"/>
          </w:rPr>
          <w:t xml:space="preserve">Seqera, </w:t>
        </w:r>
      </w:hyperlink>
      <w:r>
        <w:rPr>
          <w:rFonts w:eastAsia="Times New Roman" w:cs="Times New Roman" w:ascii="Times New Roman" w:hAnsi="Times New Roman"/>
          <w:sz w:val="22"/>
          <w:szCs w:val="22"/>
        </w:rPr>
        <w:t>Carrer de Marià Aguiló 28, Barcelona, 08005, Spain</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9</w:t>
      </w:r>
      <w:r>
        <w:rPr>
          <w:rFonts w:eastAsia="Times New Roman" w:cs="Times New Roman" w:ascii="Times New Roman" w:hAnsi="Times New Roman"/>
          <w:sz w:val="22"/>
          <w:szCs w:val="22"/>
        </w:rPr>
        <w:t xml:space="preserve"> Malaria Genetics and Resistance Team (MEGATEAM), UR 3073 - Pathogens Host Arthropods Vectors Interactions Unit, Université de Strasbourg, F-67000 Strasbourg, France</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10</w:t>
      </w:r>
      <w:r>
        <w:rPr>
          <w:rFonts w:eastAsia="Times New Roman" w:cs="Times New Roman" w:ascii="Times New Roman" w:hAnsi="Times New Roman"/>
          <w:sz w:val="22"/>
          <w:szCs w:val="22"/>
        </w:rPr>
        <w:t xml:space="preserve"> Malaria Parasite Biology and Vaccines, INSERM Unit 1347 - ParasitInnov, Institut Pasteur, Université Paris Cité, F-75015 Paris, France.</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11</w:t>
      </w:r>
      <w:r>
        <w:rPr>
          <w:rFonts w:eastAsia="Times New Roman" w:cs="Times New Roman" w:ascii="Times New Roman" w:hAnsi="Times New Roman"/>
          <w:sz w:val="22"/>
          <w:szCs w:val="22"/>
        </w:rPr>
        <w:t xml:space="preserve"> Laboratory of Parasitology and Medical Mycology, CHU Strasbourg, F-67000 Strasbourg, France.</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vertAlign w:val="superscript"/>
        </w:rPr>
        <w:t>12</w:t>
      </w:r>
      <w:r>
        <w:rPr>
          <w:rFonts w:eastAsia="Times New Roman" w:cs="Times New Roman" w:ascii="Times New Roman" w:hAnsi="Times New Roman"/>
          <w:sz w:val="22"/>
          <w:szCs w:val="22"/>
        </w:rPr>
        <w:t xml:space="preserve"> Institut universitaire de France (IUF), F-75231, Paris, France</w:t>
      </w:r>
    </w:p>
    <w:p>
      <w:p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b/>
          <w:bCs/>
          <w:sz w:val="22"/>
          <w:szCs w:val="22"/>
        </w:rPr>
        <w:t>Corresponding author.</w:t>
      </w:r>
    </w:p>
    <w:p>
      <w:pPr>
        <w:sectPr>
          <w:type w:val="nextPage"/>
          <w:pgSz w:w="11906" w:h="16838"/>
          <w:pgMar w:left="1440" w:right="1440" w:gutter="0" w:header="0" w:top="1440" w:footer="0" w:bottom="1440"/>
          <w:pgNumType w:start="1" w:fmt="decimal"/>
          <w:formProt w:val="false"/>
          <w:textDirection w:val="lrTb"/>
          <w:docGrid w:type="default" w:linePitch="100" w:charSpace="0"/>
        </w:sectPr>
        <w:pStyle w:val="Normal1"/>
        <w:spacing w:lineRule="auto" w:line="240" w:before="0" w:after="200"/>
        <w:jc w:val="both"/>
        <w:rPr>
          <w:rFonts w:ascii="Times New Roman" w:hAnsi="Times New Roman" w:eastAsia="Times New Roman" w:cs="Times New Roman"/>
          <w:sz w:val="22"/>
          <w:szCs w:val="22"/>
        </w:rPr>
      </w:pPr>
      <w:r>
        <w:rPr>
          <w:rFonts w:eastAsia="Times New Roman" w:cs="Times New Roman" w:ascii="Times New Roman" w:hAnsi="Times New Roman"/>
          <w:b/>
          <w:bCs/>
          <w:sz w:val="22"/>
          <w:szCs w:val="22"/>
        </w:rPr>
        <w:t>E-mail</w:t>
      </w:r>
      <w:r>
        <w:rPr>
          <w:rFonts w:eastAsia="Times New Roman" w:cs="Times New Roman" w:ascii="Times New Roman" w:hAnsi="Times New Roman"/>
          <w:sz w:val="22"/>
          <w:szCs w:val="22"/>
        </w:rPr>
        <w:t xml:space="preserve"> address: </w:t>
      </w:r>
      <w:hyperlink r:id="rId3">
        <w:r>
          <w:rPr>
            <w:rFonts w:eastAsia="Times New Roman" w:cs="Times New Roman" w:ascii="Times New Roman" w:hAnsi="Times New Roman"/>
            <w:color w:val="1155CC"/>
            <w:sz w:val="22"/>
            <w:szCs w:val="22"/>
            <w:u w:val="single"/>
          </w:rPr>
          <w:t>dmenard@unistra.fr</w:t>
        </w:r>
      </w:hyperlink>
      <w:r>
        <w:rPr>
          <w:rFonts w:eastAsia="Times New Roman" w:cs="Times New Roman" w:ascii="Times New Roman" w:hAnsi="Times New Roman"/>
          <w:sz w:val="22"/>
          <w:szCs w:val="22"/>
        </w:rPr>
        <w:t xml:space="preserve"> (D. Menard), </w:t>
      </w:r>
      <w:hyperlink r:id="rId4">
        <w:r>
          <w:rPr>
            <w:rFonts w:eastAsia="Times New Roman" w:cs="Times New Roman" w:ascii="Times New Roman" w:hAnsi="Times New Roman"/>
            <w:color w:val="1155CC"/>
            <w:sz w:val="22"/>
            <w:szCs w:val="22"/>
            <w:u w:val="single"/>
          </w:rPr>
          <w:t>igiraclement@gmail.com</w:t>
        </w:r>
      </w:hyperlink>
      <w:r>
        <w:rPr>
          <w:rFonts w:eastAsia="Times New Roman" w:cs="Times New Roman" w:ascii="Times New Roman" w:hAnsi="Times New Roman"/>
          <w:sz w:val="22"/>
          <w:szCs w:val="22"/>
        </w:rPr>
        <w:t xml:space="preserve"> (C. Igiraneza)</w:t>
      </w:r>
    </w:p>
    <w:p>
      <w:pPr>
        <w:pStyle w:val="Normal1"/>
        <w:ind w:left="-900" w:hanging="0"/>
        <w:rPr>
          <w:sz w:val="22"/>
          <w:szCs w:val="22"/>
        </w:rPr>
      </w:pPr>
      <w:r>
        <w:rPr>
          <w:b/>
          <w:bCs/>
          <w:sz w:val="22"/>
          <w:szCs w:val="22"/>
        </w:rPr>
        <w:t xml:space="preserve">Table S1. </w:t>
      </w:r>
      <w:r>
        <w:rPr>
          <w:sz w:val="22"/>
          <w:szCs w:val="22"/>
        </w:rPr>
        <w:t xml:space="preserve">Databases used in malaria surveillance. </w:t>
      </w:r>
    </w:p>
    <w:tbl>
      <w:tblPr>
        <w:tblStyle w:val="Table1"/>
        <w:tblW w:w="14865" w:type="dxa"/>
        <w:jc w:val="left"/>
        <w:tblInd w:w="-885" w:type="dxa"/>
        <w:tblLayout w:type="fixed"/>
        <w:tblCellMar>
          <w:top w:w="0" w:type="dxa"/>
          <w:left w:w="108" w:type="dxa"/>
          <w:bottom w:w="0" w:type="dxa"/>
          <w:right w:w="108" w:type="dxa"/>
        </w:tblCellMar>
        <w:tblLook w:val="0400"/>
      </w:tblPr>
      <w:tblGrid>
        <w:gridCol w:w="1770"/>
        <w:gridCol w:w="779"/>
        <w:gridCol w:w="1260"/>
        <w:gridCol w:w="1456"/>
        <w:gridCol w:w="1485"/>
        <w:gridCol w:w="1199"/>
        <w:gridCol w:w="1320"/>
        <w:gridCol w:w="1695"/>
        <w:gridCol w:w="1770"/>
        <w:gridCol w:w="2129"/>
      </w:tblGrid>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Database</w:t>
            </w:r>
          </w:p>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Name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Release</w:t>
            </w:r>
          </w:p>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Year</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Type of Data</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Service offered</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Data Release Frequency</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API Available</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 xml:space="preserve">Data </w:t>
            </w:r>
          </w:p>
          <w:p>
            <w:pPr>
              <w:pStyle w:val="Normal1"/>
              <w:widowControl w:val="false"/>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Versioning/</w:t>
            </w:r>
          </w:p>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provenance</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Active Community</w:t>
            </w:r>
          </w:p>
          <w:p>
            <w:pPr>
              <w:pStyle w:val="Normal1"/>
              <w:widowControl w:val="false"/>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 xml:space="preserve">(Monthly </w:t>
            </w:r>
          </w:p>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posts)</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 xml:space="preserve">Documentation </w:t>
            </w:r>
          </w:p>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Level Covered</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URL</w:t>
            </w:r>
          </w:p>
        </w:tc>
      </w:tr>
      <w:tr>
        <w:trPr>
          <w:trHeight w:val="1474" w:hRule="atLeast"/>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PlasmoDB (Plasmodium Genome Database)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~2001</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Genomics, transcriptomics, and proteomics</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Functional genomic database for </w:t>
            </w:r>
            <w:r>
              <w:rPr>
                <w:rFonts w:eastAsia="Times New Roman" w:cs="Times New Roman" w:ascii="Times New Roman" w:hAnsi="Times New Roman"/>
                <w:i/>
                <w:iCs/>
                <w:sz w:val="22"/>
                <w:szCs w:val="22"/>
              </w:rPr>
              <w:t>Plasmodium spp</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Regularly</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(monthly/</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weekly)</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Data Usage;</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Tutorials;</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Videos;</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Webinars;</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https://plasmodb.org/plasmo/app</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FULL-malaria</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~2001</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i/>
                <w:i/>
                <w:iCs/>
                <w:sz w:val="22"/>
                <w:szCs w:val="22"/>
              </w:rPr>
            </w:pPr>
            <w:r>
              <w:rPr>
                <w:rFonts w:eastAsia="Times New Roman" w:cs="Times New Roman" w:ascii="Times New Roman" w:hAnsi="Times New Roman"/>
                <w:sz w:val="22"/>
                <w:szCs w:val="22"/>
              </w:rPr>
              <w:t xml:space="preserve">Full-length enriched cDNA of </w:t>
            </w:r>
            <w:r>
              <w:rPr>
                <w:rFonts w:eastAsia="Times New Roman" w:cs="Times New Roman" w:ascii="Times New Roman" w:hAnsi="Times New Roman"/>
                <w:i/>
                <w:iCs/>
                <w:sz w:val="22"/>
                <w:szCs w:val="22"/>
              </w:rPr>
              <w:t>Plasmodium falciparum</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i/>
                <w:i/>
                <w:iCs/>
                <w:sz w:val="22"/>
                <w:szCs w:val="22"/>
              </w:rPr>
            </w:pPr>
            <w:r>
              <w:rPr>
                <w:rFonts w:eastAsia="Times New Roman" w:cs="Times New Roman" w:ascii="Times New Roman" w:hAnsi="Times New Roman"/>
                <w:sz w:val="22"/>
                <w:szCs w:val="22"/>
              </w:rPr>
              <w:t xml:space="preserve">Database of a full-length enriched cDNA library of </w:t>
            </w:r>
            <w:r>
              <w:rPr>
                <w:rFonts w:eastAsia="Times New Roman" w:cs="Times New Roman" w:ascii="Times New Roman" w:hAnsi="Times New Roman"/>
                <w:i/>
                <w:iCs/>
                <w:sz w:val="22"/>
                <w:szCs w:val="22"/>
              </w:rPr>
              <w:t>Plasmodium falciparum</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Unknown</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/static</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https://fullmal.hgc.jp/</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APD (Antimicrobial Peptide Database)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~2003</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Antimicrobial peptides</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Prediction, discovery, and design of antimicrobial peptides</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Regularly</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(monthly/</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weekly)</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Data Usage;</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https://aps.unmc.edu/AP/</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AnoBase (The </w:t>
            </w:r>
            <w:r>
              <w:rPr>
                <w:rFonts w:eastAsia="Times New Roman" w:cs="Times New Roman" w:ascii="Times New Roman" w:hAnsi="Times New Roman"/>
                <w:i/>
                <w:iCs/>
                <w:sz w:val="22"/>
                <w:szCs w:val="22"/>
              </w:rPr>
              <w:t>Anopheles</w:t>
            </w:r>
            <w:r>
              <w:rPr>
                <w:rFonts w:eastAsia="Times New Roman" w:cs="Times New Roman" w:ascii="Times New Roman" w:hAnsi="Times New Roman"/>
                <w:sz w:val="22"/>
                <w:szCs w:val="22"/>
              </w:rPr>
              <w:t xml:space="preserve"> Database)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~2004</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Genomics, taxonomy</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Database of Anopheles mosquitoes</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https://anobase.org/index.html</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MARA (Mapping Malaria Risk in Africa)</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~2006</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Epidemiology, prevalence</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Map malaria risk in Africa</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Ocasionally</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(annually)</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Data Usage;</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https://malariaatlas.org/</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VectorBase (Bioinformatics Resource for Invertebrate Vectors)</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~2007</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Genomics, vector biology</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Resource for vector bioinformatic data. Part of </w:t>
            </w:r>
            <w:r>
              <w:rPr>
                <w:rFonts w:eastAsia="Times New Roman" w:cs="Times New Roman" w:ascii="Times New Roman" w:hAnsi="Times New Roman"/>
                <w:color w:val="000000"/>
                <w:sz w:val="22"/>
                <w:szCs w:val="22"/>
              </w:rPr>
              <w:t>VEuPathDB</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Regularly</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(monthly/</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weekly)</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Data Usage;</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Tutorials;</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Videos;</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Webinars;</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https://vectorbase.org/vectorbase/app</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color w:val="000000"/>
                <w:sz w:val="22"/>
                <w:szCs w:val="22"/>
              </w:rPr>
              <w:t xml:space="preserve">VEuPathDB </w:t>
            </w:r>
            <w:r>
              <w:rPr>
                <w:rFonts w:eastAsia="Times New Roman" w:cs="Times New Roman" w:ascii="Times New Roman" w:hAnsi="Times New Roman"/>
                <w:sz w:val="22"/>
                <w:szCs w:val="22"/>
              </w:rPr>
              <w:t>(Eukaryotic Pathogen, Vector and Host Informatics Resource)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~2010</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Multiomics</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Unified platform for eukaryotic pathogen genomics</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Regularly</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(monthly/</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weekly)</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Data Usage;</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Tutorials;</w:t>
            </w:r>
          </w:p>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Videos;</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Webinars;</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https://veupathdb.org/veupathdb/app</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PfalDB (</w:t>
            </w:r>
            <w:r>
              <w:rPr>
                <w:rFonts w:eastAsia="Times New Roman" w:cs="Times New Roman" w:ascii="Times New Roman" w:hAnsi="Times New Roman"/>
                <w:i/>
                <w:iCs/>
                <w:sz w:val="22"/>
                <w:szCs w:val="22"/>
              </w:rPr>
              <w:t>Plasmodium falciparum</w:t>
            </w:r>
            <w:r>
              <w:rPr>
                <w:rFonts w:eastAsia="Times New Roman" w:cs="Times New Roman" w:ascii="Times New Roman" w:hAnsi="Times New Roman"/>
                <w:sz w:val="22"/>
                <w:szCs w:val="22"/>
              </w:rPr>
              <w:t xml:space="preserve"> Database)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~2014</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Genomics, variants</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Genomic database for </w:t>
            </w:r>
            <w:r>
              <w:rPr>
                <w:rFonts w:eastAsia="Times New Roman" w:cs="Times New Roman" w:ascii="Times New Roman" w:hAnsi="Times New Roman"/>
                <w:i/>
                <w:iCs/>
                <w:sz w:val="22"/>
                <w:szCs w:val="22"/>
              </w:rPr>
              <w:t>Plasmodium falciparum</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https://globalbiodata.org/inventory_item/pfaldb/</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PlasmoGem (Plasmodium Genetic Modification Database)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~2015</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Genetic screens, essential genes</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Plasmodium genetic modification, essentiality data</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Unknown</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https://plasmogem.serve.scilifelab.se/pgem/</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KiPho (Malaria Parasite Kinome-Phosphotome Resource)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~2017</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Kinase, phosphoproteomics</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Kinase and phosphorylation data for </w:t>
            </w:r>
            <w:r>
              <w:rPr>
                <w:rFonts w:eastAsia="Times New Roman" w:cs="Times New Roman" w:ascii="Times New Roman" w:hAnsi="Times New Roman"/>
                <w:i/>
                <w:iCs/>
                <w:sz w:val="22"/>
                <w:szCs w:val="22"/>
              </w:rPr>
              <w:t>Plasmodium spp</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Unknown</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/static</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https://bioinfo.icgeb.res.in/kipho/</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Phenoplasm (Community Database of phenotypes of malaria parasite genes)</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~2017</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Phenotypes, gene knockout</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Phenotypic data of genetic screens of </w:t>
            </w:r>
            <w:r>
              <w:rPr>
                <w:rFonts w:eastAsia="Times New Roman" w:cs="Times New Roman" w:ascii="Times New Roman" w:hAnsi="Times New Roman"/>
                <w:i/>
                <w:iCs/>
                <w:sz w:val="22"/>
                <w:szCs w:val="22"/>
              </w:rPr>
              <w:t>Plasmodium spp</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Ocasionally</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(7 months before latest check)</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https://phenoplasm.org/</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PvP01-DB (</w:t>
            </w:r>
            <w:r>
              <w:rPr>
                <w:rFonts w:eastAsia="Times New Roman" w:cs="Times New Roman" w:ascii="Times New Roman" w:hAnsi="Times New Roman"/>
                <w:i/>
                <w:iCs/>
                <w:sz w:val="22"/>
                <w:szCs w:val="22"/>
              </w:rPr>
              <w:t>Plasmodium vivax</w:t>
            </w:r>
            <w:r>
              <w:rPr>
                <w:rFonts w:eastAsia="Times New Roman" w:cs="Times New Roman" w:ascii="Times New Roman" w:hAnsi="Times New Roman"/>
                <w:sz w:val="22"/>
                <w:szCs w:val="22"/>
              </w:rPr>
              <w:t> PvP01 Strain Genome Database)</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~2020</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Genomics</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Genomic database for </w:t>
            </w:r>
            <w:r>
              <w:rPr>
                <w:rFonts w:eastAsia="Times New Roman" w:cs="Times New Roman" w:ascii="Times New Roman" w:hAnsi="Times New Roman"/>
                <w:i/>
                <w:iCs/>
                <w:sz w:val="22"/>
                <w:szCs w:val="22"/>
              </w:rPr>
              <w:t>Plasmodium vivax</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rPr>
                <w:rFonts w:ascii="Times New Roman" w:hAnsi="Times New Roman" w:eastAsia="Times New Roman" w:cs="Times New Roman"/>
                <w:sz w:val="22"/>
                <w:szCs w:val="22"/>
              </w:rPr>
            </w:pPr>
            <w:r>
              <w:rPr>
                <w:rFonts w:eastAsia="Times New Roman" w:cs="Times New Roman" w:ascii="Times New Roman" w:hAnsi="Times New Roman"/>
                <w:sz w:val="22"/>
                <w:szCs w:val="22"/>
              </w:rPr>
              <w:t>Unknown</w:t>
            </w:r>
          </w:p>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/static</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Yes</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General usage;</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https://bio.tools/pvp01</w:t>
            </w:r>
          </w:p>
        </w:tc>
      </w:tr>
      <w:tr>
        <w:trPr/>
        <w:tc>
          <w:tcPr>
            <w:tcW w:w="1770" w:type="dxa"/>
            <w:tcBorders>
              <w:top w:val="single" w:sz="8" w:space="0" w:color="000000"/>
              <w:left w:val="single" w:sz="8" w:space="0" w:color="000000"/>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ASDB (A comprehensive omics database for Anopheles sinensis)</w:t>
            </w:r>
          </w:p>
        </w:tc>
        <w:tc>
          <w:tcPr>
            <w:tcW w:w="77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~2021</w:t>
            </w:r>
          </w:p>
        </w:tc>
        <w:tc>
          <w:tcPr>
            <w:tcW w:w="126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Genomics, transcriptomics, metagenome</w:t>
            </w:r>
          </w:p>
        </w:tc>
        <w:tc>
          <w:tcPr>
            <w:tcW w:w="1456"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i/>
                <w:i/>
                <w:iCs/>
                <w:sz w:val="22"/>
                <w:szCs w:val="22"/>
              </w:rPr>
            </w:pPr>
            <w:r>
              <w:rPr>
                <w:rFonts w:eastAsia="Times New Roman" w:cs="Times New Roman" w:ascii="Times New Roman" w:hAnsi="Times New Roman"/>
                <w:sz w:val="22"/>
                <w:szCs w:val="22"/>
              </w:rPr>
              <w:t xml:space="preserve">Database for </w:t>
            </w:r>
            <w:r>
              <w:rPr>
                <w:rFonts w:eastAsia="Times New Roman" w:cs="Times New Roman" w:ascii="Times New Roman" w:hAnsi="Times New Roman"/>
                <w:i/>
                <w:iCs/>
                <w:sz w:val="22"/>
                <w:szCs w:val="22"/>
              </w:rPr>
              <w:t>Anopheles sinensis</w:t>
            </w:r>
          </w:p>
        </w:tc>
        <w:tc>
          <w:tcPr>
            <w:tcW w:w="148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1199"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32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1695"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No</w:t>
            </w:r>
          </w:p>
        </w:tc>
        <w:tc>
          <w:tcPr>
            <w:tcW w:w="1770" w:type="dxa"/>
            <w:tcBorders>
              <w:top w:val="single" w:sz="8" w:space="0" w:color="000000"/>
              <w:left w:val="single" w:sz="8" w:space="0" w:color="FFFFFF"/>
              <w:bottom w:val="single" w:sz="8" w:space="0" w:color="000000"/>
              <w:right w:val="single" w:sz="8" w:space="0" w:color="FFFFFF"/>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w:t>
            </w:r>
          </w:p>
        </w:tc>
        <w:tc>
          <w:tcPr>
            <w:tcW w:w="2129" w:type="dxa"/>
            <w:tcBorders>
              <w:top w:val="single" w:sz="8" w:space="0" w:color="000000"/>
              <w:left w:val="single" w:sz="8" w:space="0" w:color="FFFFFF"/>
              <w:bottom w:val="single" w:sz="8" w:space="0" w:color="000000"/>
              <w:right w:val="single" w:sz="8" w:space="0" w:color="000000"/>
            </w:tcBorders>
          </w:tcPr>
          <w:p>
            <w:pPr>
              <w:pStyle w:val="Normal1"/>
              <w:widowControl w:val="false"/>
              <w:spacing w:before="0" w:after="160"/>
              <w:rPr>
                <w:rFonts w:ascii="Times New Roman" w:hAnsi="Times New Roman" w:eastAsia="Times New Roman" w:cs="Times New Roman"/>
                <w:sz w:val="22"/>
                <w:szCs w:val="22"/>
              </w:rPr>
            </w:pPr>
            <w:r>
              <w:rPr>
                <w:rFonts w:eastAsia="Times New Roman" w:cs="Times New Roman" w:ascii="Times New Roman" w:hAnsi="Times New Roman"/>
                <w:sz w:val="22"/>
                <w:szCs w:val="22"/>
              </w:rPr>
              <w:t>http://asdb.jungleran.com/</w:t>
            </w:r>
          </w:p>
        </w:tc>
      </w:tr>
    </w:tbl>
    <w:p>
      <w:pPr>
        <w:pStyle w:val="Normal1"/>
        <w:spacing w:lineRule="auto" w:line="240" w:before="24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Notes: (-) means no information found. In the documentation level column, General usage means instructions on how to use the website or tools in the platform, while data usage means specific instructions on how to interpret data.</w:t>
      </w:r>
    </w:p>
    <w:p>
      <w:pPr>
        <w:pStyle w:val="Normal1"/>
        <w:spacing w:lineRule="auto" w:line="240" w:before="24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1"/>
        <w:spacing w:lineRule="auto" w:line="240" w:before="24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1"/>
        <w:spacing w:lineRule="auto" w:line="240" w:before="0" w:after="20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r>
    </w:p>
    <w:p>
      <w:pPr>
        <w:pStyle w:val="Normal1"/>
        <w:spacing w:lineRule="auto" w:line="240" w:before="0" w:after="200"/>
        <w:ind w:left="-900" w:hanging="0"/>
        <w:jc w:val="both"/>
        <w:rPr>
          <w:rFonts w:ascii="Times New Roman" w:hAnsi="Times New Roman" w:eastAsia="Times New Roman" w:cs="Times New Roman"/>
          <w:sz w:val="22"/>
          <w:szCs w:val="22"/>
        </w:rPr>
      </w:pPr>
      <w:r>
        <w:rPr>
          <w:rFonts w:eastAsia="Times New Roman" w:cs="Times New Roman" w:ascii="Times New Roman" w:hAnsi="Times New Roman"/>
          <w:b/>
          <w:bCs/>
          <w:sz w:val="22"/>
          <w:szCs w:val="22"/>
        </w:rPr>
        <w:t>Table S2.</w:t>
      </w:r>
      <w:r>
        <w:rPr>
          <w:rFonts w:eastAsia="Times New Roman" w:cs="Times New Roman" w:ascii="Times New Roman" w:hAnsi="Times New Roman"/>
          <w:sz w:val="22"/>
          <w:szCs w:val="22"/>
        </w:rPr>
        <w:t xml:space="preserve"> Bioinformatics pipelines and tools for malaria genomic surveillance</w:t>
      </w:r>
    </w:p>
    <w:p>
      <w:pPr>
        <w:pStyle w:val="Heading4"/>
        <w:spacing w:lineRule="auto" w:line="240"/>
        <w:ind w:left="-900" w:hanging="0"/>
        <w:jc w:val="both"/>
        <w:rPr>
          <w:rFonts w:ascii="Times New Roman" w:hAnsi="Times New Roman" w:eastAsia="Times New Roman" w:cs="Times New Roman"/>
          <w:color w:val="000000"/>
          <w:sz w:val="22"/>
          <w:szCs w:val="22"/>
        </w:rPr>
      </w:pPr>
      <w:bookmarkStart w:id="0" w:name="_85mcg0vpaw15"/>
      <w:bookmarkEnd w:id="0"/>
      <w:r>
        <w:rPr>
          <w:rFonts w:eastAsia="Times New Roman" w:cs="Times New Roman" w:ascii="Times New Roman" w:hAnsi="Times New Roman"/>
          <w:sz w:val="22"/>
          <w:szCs w:val="22"/>
        </w:rPr>
        <w:t xml:space="preserve">Part A: Whole genome sequencing pipelines: </w:t>
      </w:r>
      <w:r>
        <w:rPr>
          <w:rFonts w:eastAsia="Times New Roman" w:cs="Times New Roman" w:ascii="Times New Roman" w:hAnsi="Times New Roman"/>
          <w:i w:val="false"/>
          <w:iCs w:val="false"/>
          <w:color w:val="000000"/>
          <w:sz w:val="22"/>
          <w:szCs w:val="22"/>
        </w:rPr>
        <w:t xml:space="preserve">MalariaGEN Pipeline </w:t>
      </w:r>
      <w:hyperlink r:id="rId5">
        <w:r>
          <w:rPr>
            <w:rFonts w:eastAsia="Times New Roman" w:cs="Times New Roman" w:ascii="Times New Roman" w:hAnsi="Times New Roman"/>
            <w:color w:val="000000"/>
            <w:sz w:val="22"/>
            <w:szCs w:val="22"/>
          </w:rPr>
          <w:t>(MalariaGEN et al., 2023; Network et al., 2025)</w:t>
        </w:r>
      </w:hyperlink>
      <w:r>
        <w:rPr>
          <w:rFonts w:eastAsia="Times New Roman" w:cs="Times New Roman" w:ascii="Times New Roman" w:hAnsi="Times New Roman"/>
          <w:i w:val="false"/>
          <w:iCs w:val="false"/>
          <w:color w:val="000000"/>
          <w:sz w:val="22"/>
          <w:szCs w:val="22"/>
        </w:rPr>
        <w:t xml:space="preserve">, GATK4 based Pipeline </w:t>
      </w:r>
      <w:hyperlink r:id="rId6">
        <w:r>
          <w:rPr>
            <w:rFonts w:eastAsia="Times New Roman" w:cs="Times New Roman" w:ascii="Times New Roman" w:hAnsi="Times New Roman"/>
            <w:color w:val="000000"/>
            <w:sz w:val="22"/>
            <w:szCs w:val="22"/>
          </w:rPr>
          <w:t>(Niaré et al., 2023)</w:t>
        </w:r>
      </w:hyperlink>
      <w:r>
        <w:rPr>
          <w:rFonts w:eastAsia="Times New Roman" w:cs="Times New Roman" w:ascii="Times New Roman" w:hAnsi="Times New Roman"/>
          <w:i w:val="false"/>
          <w:iCs w:val="false"/>
          <w:color w:val="000000"/>
          <w:sz w:val="22"/>
          <w:szCs w:val="22"/>
        </w:rPr>
        <w:t xml:space="preserve">, PHARE </w:t>
      </w:r>
      <w:hyperlink r:id="rId7">
        <w:r>
          <w:rPr>
            <w:rFonts w:eastAsia="Times New Roman" w:cs="Times New Roman" w:ascii="Times New Roman" w:hAnsi="Times New Roman"/>
            <w:color w:val="000000"/>
            <w:sz w:val="22"/>
            <w:szCs w:val="22"/>
          </w:rPr>
          <w:t>(Hosch et al., 2024)</w:t>
        </w:r>
      </w:hyperlink>
      <w:r>
        <w:rPr>
          <w:rFonts w:eastAsia="Times New Roman" w:cs="Times New Roman" w:ascii="Times New Roman" w:hAnsi="Times New Roman"/>
          <w:color w:val="000000"/>
          <w:sz w:val="22"/>
          <w:szCs w:val="22"/>
        </w:rPr>
        <w:t>.</w:t>
      </w:r>
    </w:p>
    <w:tbl>
      <w:tblPr>
        <w:tblStyle w:val="Table2"/>
        <w:tblW w:w="14880" w:type="dxa"/>
        <w:jc w:val="left"/>
        <w:tblInd w:w="-900" w:type="dxa"/>
        <w:tblLayout w:type="fixed"/>
        <w:tblCellMar>
          <w:top w:w="0" w:type="dxa"/>
          <w:left w:w="108" w:type="dxa"/>
          <w:bottom w:w="0" w:type="dxa"/>
          <w:right w:w="108" w:type="dxa"/>
        </w:tblCellMar>
        <w:tblLook w:val="0000"/>
      </w:tblPr>
      <w:tblGrid>
        <w:gridCol w:w="2309"/>
        <w:gridCol w:w="1275"/>
        <w:gridCol w:w="1095"/>
        <w:gridCol w:w="1246"/>
        <w:gridCol w:w="1769"/>
        <w:gridCol w:w="1561"/>
        <w:gridCol w:w="1049"/>
        <w:gridCol w:w="4574"/>
      </w:tblGrid>
      <w:tr>
        <w:trPr>
          <w:tblHeader w:val="true"/>
          <w:trHeight w:val="595" w:hRule="atLeast"/>
        </w:trPr>
        <w:tc>
          <w:tcPr>
            <w:tcW w:w="230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Tool/</w:t>
            </w:r>
          </w:p>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Pipeline</w:t>
            </w:r>
          </w:p>
        </w:tc>
        <w:tc>
          <w:tcPr>
            <w:tcW w:w="12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Function</w:t>
            </w:r>
          </w:p>
        </w:tc>
        <w:tc>
          <w:tcPr>
            <w:tcW w:w="10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Platform</w:t>
            </w:r>
          </w:p>
        </w:tc>
        <w:tc>
          <w:tcPr>
            <w:tcW w:w="124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WfMS</w:t>
            </w:r>
          </w:p>
        </w:tc>
        <w:tc>
          <w:tcPr>
            <w:tcW w:w="176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Key Features</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Validated On</w:t>
            </w:r>
          </w:p>
        </w:tc>
        <w:tc>
          <w:tcPr>
            <w:tcW w:w="10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Active</w:t>
            </w:r>
          </w:p>
        </w:tc>
        <w:tc>
          <w:tcPr>
            <w:tcW w:w="45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Repository</w:t>
            </w:r>
          </w:p>
        </w:tc>
      </w:tr>
      <w:tr>
        <w:trPr>
          <w:trHeight w:val="1995" w:hRule="atLeast"/>
        </w:trPr>
        <w:tc>
          <w:tcPr>
            <w:tcW w:w="230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MalariaGEN Pipeline</w:t>
            </w:r>
          </w:p>
        </w:tc>
        <w:tc>
          <w:tcPr>
            <w:tcW w:w="12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WGS variant calling</w:t>
            </w:r>
          </w:p>
        </w:tc>
        <w:tc>
          <w:tcPr>
            <w:tcW w:w="10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w:t>
            </w:r>
          </w:p>
        </w:tc>
        <w:tc>
          <w:tcPr>
            <w:tcW w:w="124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WDL/</w:t>
            </w:r>
          </w:p>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Cromwell</w:t>
            </w:r>
          </w:p>
        </w:tc>
        <w:tc>
          <w:tcPr>
            <w:tcW w:w="176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Population-scale variant calling; standardized QC; cloud-optimized</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33,325 </w:t>
            </w:r>
            <w:r>
              <w:rPr>
                <w:rFonts w:eastAsia="Times New Roman" w:cs="Times New Roman" w:ascii="Times New Roman" w:hAnsi="Times New Roman"/>
                <w:i/>
                <w:iCs/>
                <w:sz w:val="22"/>
                <w:szCs w:val="22"/>
              </w:rPr>
              <w:t>P. falciparum</w:t>
            </w:r>
            <w:r>
              <w:rPr>
                <w:rFonts w:eastAsia="Times New Roman" w:cs="Times New Roman" w:ascii="Times New Roman" w:hAnsi="Times New Roman"/>
                <w:sz w:val="22"/>
                <w:szCs w:val="22"/>
              </w:rPr>
              <w:t xml:space="preserve"> samples (Pf8 release)</w:t>
            </w:r>
          </w:p>
        </w:tc>
        <w:tc>
          <w:tcPr>
            <w:tcW w:w="10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Arial Unicode MS" w:cs="Arial Unicode MS" w:ascii="Arial Unicode MS" w:hAnsi="Arial Unicode MS"/>
                <w:sz w:val="22"/>
                <w:szCs w:val="22"/>
              </w:rPr>
              <w:t>✓</w:t>
            </w:r>
          </w:p>
        </w:tc>
        <w:tc>
          <w:tcPr>
            <w:tcW w:w="45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8">
              <w:r>
                <w:rPr>
                  <w:rFonts w:eastAsia="Times New Roman" w:cs="Times New Roman" w:ascii="Times New Roman" w:hAnsi="Times New Roman"/>
                  <w:color w:val="1155CC"/>
                  <w:sz w:val="22"/>
                  <w:szCs w:val="22"/>
                  <w:u w:val="single"/>
                </w:rPr>
                <w:t>https://www.malariagen.net</w:t>
              </w:r>
            </w:hyperlink>
            <w:r>
              <w:rPr>
                <w:rFonts w:eastAsia="Times New Roman" w:cs="Times New Roman" w:ascii="Times New Roman" w:hAnsi="Times New Roman"/>
                <w:sz w:val="22"/>
                <w:szCs w:val="22"/>
              </w:rPr>
              <w:t>/</w:t>
            </w:r>
          </w:p>
        </w:tc>
      </w:tr>
      <w:tr>
        <w:trPr>
          <w:trHeight w:val="1860" w:hRule="atLeast"/>
        </w:trPr>
        <w:tc>
          <w:tcPr>
            <w:tcW w:w="230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GATK4 based Pipeline</w:t>
            </w:r>
          </w:p>
        </w:tc>
        <w:tc>
          <w:tcPr>
            <w:tcW w:w="12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Variant calling</w:t>
            </w:r>
          </w:p>
        </w:tc>
        <w:tc>
          <w:tcPr>
            <w:tcW w:w="10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w:t>
            </w:r>
          </w:p>
        </w:tc>
        <w:tc>
          <w:tcPr>
            <w:tcW w:w="124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WDL/</w:t>
            </w:r>
          </w:p>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Cromwel, Snakemake</w:t>
            </w:r>
          </w:p>
        </w:tc>
        <w:tc>
          <w:tcPr>
            <w:tcW w:w="176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GPU acceleration option; joint calling; Spark-based workflows</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Multiple WGS studies</w:t>
            </w:r>
          </w:p>
        </w:tc>
        <w:tc>
          <w:tcPr>
            <w:tcW w:w="10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Arial Unicode MS" w:cs="Arial Unicode MS" w:ascii="Arial Unicode MS" w:hAnsi="Arial Unicode MS"/>
                <w:sz w:val="22"/>
                <w:szCs w:val="22"/>
              </w:rPr>
              <w:t>✓</w:t>
            </w:r>
          </w:p>
        </w:tc>
        <w:tc>
          <w:tcPr>
            <w:tcW w:w="45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9">
              <w:r>
                <w:rPr>
                  <w:rFonts w:eastAsia="Times New Roman" w:cs="Times New Roman" w:ascii="Times New Roman" w:hAnsi="Times New Roman"/>
                  <w:color w:val="1155CC"/>
                  <w:sz w:val="22"/>
                  <w:szCs w:val="22"/>
                  <w:u w:val="single"/>
                </w:rPr>
                <w:t>https://github.com/Karaniare/Optimized_GATK4_pipeline</w:t>
              </w:r>
            </w:hyperlink>
            <w:r>
              <w:rPr>
                <w:rFonts w:eastAsia="Times New Roman" w:cs="Times New Roman" w:ascii="Times New Roman" w:hAnsi="Times New Roman"/>
                <w:sz w:val="22"/>
                <w:szCs w:val="22"/>
              </w:rPr>
              <w:t xml:space="preserve"> </w:t>
            </w:r>
          </w:p>
        </w:tc>
      </w:tr>
      <w:tr>
        <w:trPr>
          <w:trHeight w:val="1800" w:hRule="atLeast"/>
        </w:trPr>
        <w:tc>
          <w:tcPr>
            <w:tcW w:w="230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PHARE</w:t>
            </w:r>
          </w:p>
        </w:tc>
        <w:tc>
          <w:tcPr>
            <w:tcW w:w="12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Resistance haplotyping</w:t>
            </w:r>
          </w:p>
        </w:tc>
        <w:tc>
          <w:tcPr>
            <w:tcW w:w="10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ONT</w:t>
            </w:r>
          </w:p>
        </w:tc>
        <w:tc>
          <w:tcPr>
            <w:tcW w:w="124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Snakemake</w:t>
            </w:r>
          </w:p>
        </w:tc>
        <w:tc>
          <w:tcPr>
            <w:tcW w:w="176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Long-read based; designed for polyclonal infection analysis</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ONT malaria field and clinical samples</w:t>
            </w:r>
          </w:p>
        </w:tc>
        <w:tc>
          <w:tcPr>
            <w:tcW w:w="10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Arial Unicode MS" w:cs="Arial Unicode MS" w:ascii="Arial Unicode MS" w:hAnsi="Arial Unicode MS"/>
                <w:sz w:val="22"/>
                <w:szCs w:val="22"/>
              </w:rPr>
              <w:t>✓</w:t>
            </w:r>
          </w:p>
        </w:tc>
        <w:tc>
          <w:tcPr>
            <w:tcW w:w="45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10">
              <w:r>
                <w:rPr>
                  <w:rFonts w:eastAsia="Times New Roman" w:cs="Times New Roman" w:ascii="Times New Roman" w:hAnsi="Times New Roman"/>
                  <w:color w:val="1155CC"/>
                  <w:sz w:val="22"/>
                  <w:szCs w:val="22"/>
                  <w:u w:val="single"/>
                </w:rPr>
                <w:t>https://github.com/Fippu/PHARE</w:t>
              </w:r>
            </w:hyperlink>
            <w:r>
              <w:rPr>
                <w:rFonts w:eastAsia="Times New Roman" w:cs="Times New Roman" w:ascii="Times New Roman" w:hAnsi="Times New Roman"/>
                <w:sz w:val="22"/>
                <w:szCs w:val="22"/>
              </w:rPr>
              <w:t xml:space="preserve"> </w:t>
            </w:r>
          </w:p>
        </w:tc>
      </w:tr>
    </w:tbl>
    <w:p>
      <w:pPr>
        <w:pStyle w:val="Heading4"/>
        <w:spacing w:lineRule="auto" w:line="24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1"/>
        <w:spacing w:lineRule="auto" w:line="240" w:before="240" w:after="0"/>
        <w:ind w:hanging="90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Heading4"/>
        <w:spacing w:lineRule="auto" w:line="240"/>
        <w:ind w:left="-900" w:hanging="0"/>
        <w:jc w:val="both"/>
        <w:rPr>
          <w:rFonts w:ascii="Times New Roman" w:hAnsi="Times New Roman" w:eastAsia="Times New Roman" w:cs="Times New Roman"/>
          <w:i w:val="false"/>
          <w:i w:val="false"/>
          <w:iCs w:val="false"/>
          <w:color w:val="000000"/>
          <w:sz w:val="22"/>
          <w:szCs w:val="22"/>
        </w:rPr>
      </w:pPr>
      <w:bookmarkStart w:id="1" w:name="_ovg8blyixihi"/>
      <w:bookmarkEnd w:id="1"/>
      <w:r>
        <w:rPr>
          <w:rFonts w:eastAsia="Times New Roman" w:cs="Times New Roman" w:ascii="Times New Roman" w:hAnsi="Times New Roman"/>
          <w:b/>
          <w:bCs/>
          <w:sz w:val="22"/>
          <w:szCs w:val="22"/>
        </w:rPr>
        <w:t>Part B</w:t>
      </w:r>
      <w:r>
        <w:rPr>
          <w:rFonts w:eastAsia="Times New Roman" w:cs="Times New Roman" w:ascii="Times New Roman" w:hAnsi="Times New Roman"/>
          <w:sz w:val="22"/>
          <w:szCs w:val="22"/>
        </w:rPr>
        <w:t xml:space="preserve">: Targeted amplicon sequencing pipelines: </w:t>
      </w:r>
      <w:r>
        <w:rPr>
          <w:rFonts w:eastAsia="Times New Roman" w:cs="Times New Roman" w:ascii="Times New Roman" w:hAnsi="Times New Roman"/>
          <w:i w:val="false"/>
          <w:iCs w:val="false"/>
          <w:color w:val="000000"/>
          <w:sz w:val="22"/>
          <w:szCs w:val="22"/>
        </w:rPr>
        <w:t xml:space="preserve">MaRS </w:t>
      </w:r>
      <w:hyperlink r:id="rId11">
        <w:r>
          <w:rPr>
            <w:rFonts w:eastAsia="Times New Roman" w:cs="Times New Roman" w:ascii="Times New Roman" w:hAnsi="Times New Roman"/>
            <w:color w:val="000000"/>
            <w:sz w:val="22"/>
            <w:szCs w:val="22"/>
          </w:rPr>
          <w:t>(Talundzic et al., 2018)</w:t>
        </w:r>
      </w:hyperlink>
      <w:r>
        <w:rPr>
          <w:rFonts w:eastAsia="Times New Roman" w:cs="Times New Roman" w:ascii="Times New Roman" w:hAnsi="Times New Roman"/>
          <w:i w:val="false"/>
          <w:iCs w:val="false"/>
          <w:color w:val="000000"/>
          <w:sz w:val="22"/>
          <w:szCs w:val="22"/>
        </w:rPr>
        <w:t xml:space="preserve">, SpotMalaria </w:t>
      </w:r>
      <w:hyperlink r:id="rId12">
        <w:r>
          <w:rPr>
            <w:rFonts w:eastAsia="Times New Roman" w:cs="Times New Roman" w:ascii="Times New Roman" w:hAnsi="Times New Roman"/>
            <w:color w:val="000000"/>
            <w:sz w:val="22"/>
            <w:szCs w:val="22"/>
          </w:rPr>
          <w:t>(Aranda-Díaz et al., 2025)</w:t>
        </w:r>
      </w:hyperlink>
      <w:r>
        <w:rPr>
          <w:rFonts w:eastAsia="Times New Roman" w:cs="Times New Roman" w:ascii="Times New Roman" w:hAnsi="Times New Roman"/>
          <w:i w:val="false"/>
          <w:iCs w:val="false"/>
          <w:color w:val="000000"/>
          <w:sz w:val="22"/>
          <w:szCs w:val="22"/>
        </w:rPr>
        <w:t xml:space="preserve">, MAD4HatTeR </w:t>
      </w:r>
      <w:hyperlink r:id="rId13">
        <w:r>
          <w:rPr>
            <w:rFonts w:eastAsia="Times New Roman" w:cs="Times New Roman" w:ascii="Times New Roman" w:hAnsi="Times New Roman"/>
            <w:color w:val="000000"/>
            <w:sz w:val="22"/>
            <w:szCs w:val="22"/>
          </w:rPr>
          <w:t>(Aranda-Díaz et al., 2025)</w:t>
        </w:r>
      </w:hyperlink>
      <w:r>
        <w:rPr>
          <w:rFonts w:eastAsia="Times New Roman" w:cs="Times New Roman" w:ascii="Times New Roman" w:hAnsi="Times New Roman"/>
          <w:i w:val="false"/>
          <w:iCs w:val="false"/>
          <w:color w:val="000000"/>
          <w:sz w:val="22"/>
          <w:szCs w:val="22"/>
        </w:rPr>
        <w:t xml:space="preserve">, NOMADS8/16 </w:t>
      </w:r>
      <w:hyperlink r:id="rId14">
        <w:r>
          <w:rPr>
            <w:rFonts w:eastAsia="Times New Roman" w:cs="Times New Roman" w:ascii="Times New Roman" w:hAnsi="Times New Roman"/>
            <w:color w:val="000000"/>
            <w:sz w:val="22"/>
            <w:szCs w:val="22"/>
          </w:rPr>
          <w:t>(M et al., 2024)</w:t>
        </w:r>
      </w:hyperlink>
      <w:r>
        <w:rPr>
          <w:rFonts w:eastAsia="Times New Roman" w:cs="Times New Roman" w:ascii="Times New Roman" w:hAnsi="Times New Roman"/>
          <w:i w:val="false"/>
          <w:iCs w:val="false"/>
          <w:color w:val="000000"/>
          <w:sz w:val="22"/>
          <w:szCs w:val="22"/>
        </w:rPr>
        <w:t xml:space="preserve">, AMPLseq </w:t>
      </w:r>
      <w:hyperlink r:id="rId15">
        <w:r>
          <w:rPr>
            <w:rFonts w:eastAsia="Times New Roman" w:cs="Times New Roman" w:ascii="Times New Roman" w:hAnsi="Times New Roman"/>
            <w:color w:val="000000"/>
            <w:sz w:val="22"/>
            <w:szCs w:val="22"/>
          </w:rPr>
          <w:t>(LaVerriere et al., 2022)</w:t>
        </w:r>
      </w:hyperlink>
      <w:r>
        <w:rPr>
          <w:rFonts w:eastAsia="Times New Roman" w:cs="Times New Roman" w:ascii="Times New Roman" w:hAnsi="Times New Roman"/>
          <w:i w:val="false"/>
          <w:iCs w:val="false"/>
          <w:color w:val="000000"/>
          <w:sz w:val="22"/>
          <w:szCs w:val="22"/>
        </w:rPr>
        <w:t>.</w:t>
      </w:r>
      <w:r>
        <w:rPr>
          <w:rFonts w:eastAsia="Times New Roman" w:cs="Times New Roman" w:ascii="Times New Roman" w:hAnsi="Times New Roman"/>
          <w:color w:val="000000"/>
          <w:sz w:val="22"/>
          <w:szCs w:val="22"/>
        </w:rPr>
        <w:t xml:space="preserve"> </w:t>
      </w:r>
    </w:p>
    <w:tbl>
      <w:tblPr>
        <w:tblStyle w:val="Table3"/>
        <w:tblW w:w="14925" w:type="dxa"/>
        <w:jc w:val="left"/>
        <w:tblInd w:w="-918" w:type="dxa"/>
        <w:tblLayout w:type="fixed"/>
        <w:tblCellMar>
          <w:top w:w="0" w:type="dxa"/>
          <w:left w:w="108" w:type="dxa"/>
          <w:bottom w:w="0" w:type="dxa"/>
          <w:right w:w="108" w:type="dxa"/>
        </w:tblCellMar>
        <w:tblLook w:val="0000"/>
      </w:tblPr>
      <w:tblGrid>
        <w:gridCol w:w="2474"/>
        <w:gridCol w:w="1276"/>
        <w:gridCol w:w="1139"/>
        <w:gridCol w:w="1561"/>
        <w:gridCol w:w="2294"/>
        <w:gridCol w:w="1425"/>
        <w:gridCol w:w="4755"/>
      </w:tblGrid>
      <w:tr>
        <w:trPr>
          <w:tblHeader w:val="true"/>
          <w:trHeight w:val="645" w:hRule="atLeast"/>
        </w:trPr>
        <w:tc>
          <w:tcPr>
            <w:tcW w:w="24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Tool/Pipeline</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Panel</w:t>
            </w:r>
          </w:p>
        </w:tc>
        <w:tc>
          <w:tcPr>
            <w:tcW w:w="113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Platform</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Targets</w:t>
            </w:r>
          </w:p>
        </w:tc>
        <w:tc>
          <w:tcPr>
            <w:tcW w:w="229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Key Features</w:t>
            </w:r>
          </w:p>
        </w:tc>
        <w:tc>
          <w:tcPr>
            <w:tcW w:w="14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Deployment</w:t>
            </w:r>
          </w:p>
        </w:tc>
        <w:tc>
          <w:tcPr>
            <w:tcW w:w="475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Repository</w:t>
            </w:r>
          </w:p>
        </w:tc>
      </w:tr>
      <w:tr>
        <w:trPr>
          <w:trHeight w:val="1594" w:hRule="atLeast"/>
        </w:trPr>
        <w:tc>
          <w:tcPr>
            <w:tcW w:w="24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MaRS</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6 resistance genes</w:t>
            </w:r>
          </w:p>
        </w:tc>
        <w:tc>
          <w:tcPr>
            <w:tcW w:w="113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pfcrt, pfmdr1, pfk13, pfdhfr, pfdhps, pfcytb</w:t>
            </w:r>
          </w:p>
        </w:tc>
        <w:tc>
          <w:tcPr>
            <w:tcW w:w="229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Full-length coding regions; established reference panel for resistance surveillance</w:t>
            </w:r>
          </w:p>
        </w:tc>
        <w:tc>
          <w:tcPr>
            <w:tcW w:w="14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&gt;100 sites globally</w:t>
            </w:r>
          </w:p>
        </w:tc>
        <w:tc>
          <w:tcPr>
            <w:tcW w:w="475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16">
              <w:r>
                <w:rPr>
                  <w:rFonts w:eastAsia="Times New Roman" w:cs="Times New Roman" w:ascii="Times New Roman" w:hAnsi="Times New Roman"/>
                  <w:color w:val="1155CC"/>
                  <w:sz w:val="22"/>
                  <w:szCs w:val="22"/>
                  <w:u w:val="single"/>
                </w:rPr>
                <w:t>https://github.com/CDCgov/MaRS</w:t>
              </w:r>
            </w:hyperlink>
            <w:r>
              <w:rPr>
                <w:rFonts w:eastAsia="Times New Roman" w:cs="Times New Roman" w:ascii="Times New Roman" w:hAnsi="Times New Roman"/>
                <w:sz w:val="22"/>
                <w:szCs w:val="22"/>
              </w:rPr>
              <w:t xml:space="preserve"> </w:t>
            </w:r>
          </w:p>
        </w:tc>
      </w:tr>
      <w:tr>
        <w:trPr>
          <w:trHeight w:val="1579" w:hRule="atLeast"/>
        </w:trPr>
        <w:tc>
          <w:tcPr>
            <w:tcW w:w="24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SpotMalaria</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136 loci</w:t>
            </w:r>
          </w:p>
        </w:tc>
        <w:tc>
          <w:tcPr>
            <w:tcW w:w="113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Drug resistance and diversity loci</w:t>
            </w:r>
          </w:p>
        </w:tc>
        <w:tc>
          <w:tcPr>
            <w:tcW w:w="229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MalariaGEN standard targeted panel; suitable for population-level surveillance</w:t>
            </w:r>
          </w:p>
        </w:tc>
        <w:tc>
          <w:tcPr>
            <w:tcW w:w="14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Growing number of sites worldwide</w:t>
            </w:r>
          </w:p>
        </w:tc>
        <w:tc>
          <w:tcPr>
            <w:tcW w:w="475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17">
              <w:r>
                <w:rPr>
                  <w:rFonts w:eastAsia="Times New Roman" w:cs="Times New Roman" w:ascii="Times New Roman" w:hAnsi="Times New Roman"/>
                  <w:color w:val="1155CC"/>
                  <w:sz w:val="22"/>
                  <w:szCs w:val="22"/>
                  <w:u w:val="single"/>
                </w:rPr>
                <w:t>https://www.malariagen.net/project/spotmalaria/</w:t>
              </w:r>
            </w:hyperlink>
            <w:r>
              <w:rPr>
                <w:rFonts w:eastAsia="Times New Roman" w:cs="Times New Roman" w:ascii="Times New Roman" w:hAnsi="Times New Roman"/>
                <w:sz w:val="22"/>
                <w:szCs w:val="22"/>
              </w:rPr>
              <w:t xml:space="preserve"> </w:t>
            </w:r>
          </w:p>
        </w:tc>
      </w:tr>
      <w:tr>
        <w:trPr>
          <w:trHeight w:val="1489" w:hRule="atLeast"/>
        </w:trPr>
        <w:tc>
          <w:tcPr>
            <w:tcW w:w="24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MAD4HatTeR</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165 micro</w:t>
            </w:r>
          </w:p>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haplotypes</w:t>
            </w:r>
          </w:p>
        </w:tc>
        <w:tc>
          <w:tcPr>
            <w:tcW w:w="113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Drug resistance, diagnostics, and diversity markers</w:t>
            </w:r>
          </w:p>
        </w:tc>
        <w:tc>
          <w:tcPr>
            <w:tcW w:w="229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High information content; designed for low parasitemia sample</w:t>
            </w:r>
          </w:p>
        </w:tc>
        <w:tc>
          <w:tcPr>
            <w:tcW w:w="14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Validation / early deployment phase</w:t>
            </w:r>
          </w:p>
        </w:tc>
        <w:tc>
          <w:tcPr>
            <w:tcW w:w="475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18">
              <w:r>
                <w:rPr>
                  <w:rFonts w:eastAsia="Times New Roman" w:cs="Times New Roman" w:ascii="Times New Roman" w:hAnsi="Times New Roman"/>
                  <w:color w:val="1155CC"/>
                  <w:sz w:val="22"/>
                  <w:szCs w:val="22"/>
                  <w:u w:val="single"/>
                </w:rPr>
                <w:t>https://github.com/EPPIcenter/mad4hatter</w:t>
              </w:r>
            </w:hyperlink>
            <w:r>
              <w:rPr>
                <w:rFonts w:eastAsia="Times New Roman" w:cs="Times New Roman" w:ascii="Times New Roman" w:hAnsi="Times New Roman"/>
                <w:sz w:val="22"/>
                <w:szCs w:val="22"/>
              </w:rPr>
              <w:t xml:space="preserve"> </w:t>
            </w:r>
          </w:p>
        </w:tc>
      </w:tr>
      <w:tr>
        <w:trPr>
          <w:trHeight w:val="1650" w:hRule="atLeast"/>
        </w:trPr>
        <w:tc>
          <w:tcPr>
            <w:tcW w:w="24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NOMADS8/16</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8 or 16 genes</w:t>
            </w:r>
          </w:p>
        </w:tc>
        <w:tc>
          <w:tcPr>
            <w:tcW w:w="113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ONT</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Drug resistance and fitness-related genes</w:t>
            </w:r>
          </w:p>
        </w:tc>
        <w:tc>
          <w:tcPr>
            <w:tcW w:w="229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Field-deployable long-read panel; supports multiplexed, portable sequencing</w:t>
            </w:r>
          </w:p>
        </w:tc>
        <w:tc>
          <w:tcPr>
            <w:tcW w:w="14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Implemented in endemic settings (e.g. Ghana)</w:t>
            </w:r>
          </w:p>
        </w:tc>
        <w:tc>
          <w:tcPr>
            <w:tcW w:w="475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19">
              <w:r>
                <w:rPr>
                  <w:rFonts w:eastAsia="Times New Roman" w:cs="Times New Roman" w:ascii="Times New Roman" w:hAnsi="Times New Roman"/>
                  <w:color w:val="1155CC"/>
                  <w:sz w:val="22"/>
                  <w:szCs w:val="22"/>
                  <w:u w:val="single"/>
                </w:rPr>
                <w:t>https://github.com/nomads-community</w:t>
              </w:r>
            </w:hyperlink>
            <w:r>
              <w:rPr>
                <w:rFonts w:eastAsia="Times New Roman" w:cs="Times New Roman" w:ascii="Times New Roman" w:hAnsi="Times New Roman"/>
                <w:sz w:val="22"/>
                <w:szCs w:val="22"/>
              </w:rPr>
              <w:t xml:space="preserve"> </w:t>
            </w:r>
          </w:p>
        </w:tc>
      </w:tr>
      <w:tr>
        <w:trPr>
          <w:trHeight w:val="1275" w:hRule="atLeast"/>
        </w:trPr>
        <w:tc>
          <w:tcPr>
            <w:tcW w:w="247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AMPLseq</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129 loci</w:t>
            </w:r>
          </w:p>
        </w:tc>
        <w:tc>
          <w:tcPr>
            <w:tcW w:w="113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w:t>
            </w:r>
          </w:p>
        </w:tc>
        <w:tc>
          <w:tcPr>
            <w:tcW w:w="156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Surveillance markers (drug resistance and diversity)</w:t>
            </w:r>
          </w:p>
        </w:tc>
        <w:tc>
          <w:tcPr>
            <w:tcW w:w="229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Globally validated, multi-locus surveillance panel</w:t>
            </w:r>
          </w:p>
        </w:tc>
        <w:tc>
          <w:tcPr>
            <w:tcW w:w="14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Multiple sites across endemic regions</w:t>
            </w:r>
          </w:p>
        </w:tc>
        <w:tc>
          <w:tcPr>
            <w:tcW w:w="475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20">
              <w:r>
                <w:rPr>
                  <w:rFonts w:eastAsia="Times New Roman" w:cs="Times New Roman" w:ascii="Times New Roman" w:hAnsi="Times New Roman"/>
                  <w:color w:val="1155CC"/>
                  <w:sz w:val="22"/>
                  <w:szCs w:val="22"/>
                  <w:u w:val="single"/>
                </w:rPr>
                <w:t>https://github.com/Ekattenberg/</w:t>
              </w:r>
            </w:hyperlink>
            <w:hyperlink r:id="rId21">
              <w:r>
                <w:rPr>
                  <w:rFonts w:eastAsia="Times New Roman" w:cs="Times New Roman" w:ascii="Times New Roman" w:hAnsi="Times New Roman"/>
                  <w:i/>
                  <w:iCs/>
                  <w:color w:val="1155CC"/>
                  <w:sz w:val="22"/>
                  <w:szCs w:val="22"/>
                  <w:u w:val="single"/>
                </w:rPr>
                <w:t>Plasmodium</w:t>
              </w:r>
            </w:hyperlink>
            <w:hyperlink r:id="rId22">
              <w:r>
                <w:rPr>
                  <w:rFonts w:eastAsia="Times New Roman" w:cs="Times New Roman" w:ascii="Times New Roman" w:hAnsi="Times New Roman"/>
                  <w:color w:val="1155CC"/>
                  <w:sz w:val="22"/>
                  <w:szCs w:val="22"/>
                  <w:u w:val="single"/>
                </w:rPr>
                <w:t>-AmpliSeq-Pipeline</w:t>
              </w:r>
            </w:hyperlink>
            <w:r>
              <w:rPr>
                <w:rFonts w:eastAsia="Times New Roman" w:cs="Times New Roman" w:ascii="Times New Roman" w:hAnsi="Times New Roman"/>
                <w:sz w:val="22"/>
                <w:szCs w:val="22"/>
              </w:rPr>
              <w:t xml:space="preserve"> </w:t>
            </w:r>
          </w:p>
        </w:tc>
      </w:tr>
    </w:tbl>
    <w:p>
      <w:pPr>
        <w:pStyle w:val="Heading4"/>
        <w:spacing w:lineRule="auto" w:line="24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bookmarkStart w:id="2" w:name="_ek5codfwasam"/>
      <w:bookmarkStart w:id="3" w:name="_ek5codfwasam"/>
      <w:bookmarkEnd w:id="3"/>
    </w:p>
    <w:p>
      <w:pPr>
        <w:pStyle w:val="Normal1"/>
        <w:rPr/>
      </w:pPr>
      <w:r>
        <w:rPr/>
      </w:r>
    </w:p>
    <w:p>
      <w:pPr>
        <w:pStyle w:val="Normal1"/>
        <w:rPr/>
      </w:pPr>
      <w:r>
        <w:rPr/>
      </w:r>
      <w:r>
        <w:br w:type="page"/>
      </w:r>
    </w:p>
    <w:p>
      <w:pPr>
        <w:pStyle w:val="Normal1"/>
        <w:ind w:left="-900" w:hanging="0"/>
        <w:rPr>
          <w:rFonts w:ascii="Times New Roman" w:hAnsi="Times New Roman" w:eastAsia="Times New Roman" w:cs="Times New Roman"/>
          <w:i w:val="false"/>
          <w:i w:val="false"/>
          <w:iCs w:val="false"/>
          <w:color w:val="000000"/>
          <w:sz w:val="22"/>
          <w:szCs w:val="22"/>
        </w:rPr>
      </w:pPr>
      <w:r>
        <w:rPr>
          <w:rFonts w:eastAsia="Times New Roman" w:cs="Times New Roman" w:ascii="Times New Roman" w:hAnsi="Times New Roman"/>
          <w:b/>
          <w:bCs/>
          <w:i/>
          <w:iCs/>
          <w:color w:val="0F4761"/>
          <w:sz w:val="22"/>
          <w:szCs w:val="22"/>
        </w:rPr>
        <w:t>Part C:</w:t>
      </w:r>
      <w:r>
        <w:rPr>
          <w:rFonts w:eastAsia="Times New Roman" w:cs="Times New Roman" w:ascii="Times New Roman" w:hAnsi="Times New Roman"/>
          <w:i/>
          <w:iCs/>
          <w:color w:val="0F4761"/>
          <w:sz w:val="22"/>
          <w:szCs w:val="22"/>
        </w:rPr>
        <w:t xml:space="preserve"> Specialized analysis tools:</w:t>
      </w:r>
      <w:r>
        <w:rPr>
          <w:rFonts w:eastAsia="Times New Roman" w:cs="Times New Roman" w:ascii="Times New Roman" w:hAnsi="Times New Roman"/>
          <w:sz w:val="22"/>
          <w:szCs w:val="22"/>
        </w:rPr>
        <w:t xml:space="preserve"> THE REAL McCOIL </w:t>
      </w:r>
      <w:hyperlink r:id="rId23">
        <w:r>
          <w:rPr>
            <w:rFonts w:eastAsia="Times New Roman" w:cs="Times New Roman" w:ascii="Times New Roman" w:hAnsi="Times New Roman"/>
            <w:sz w:val="22"/>
            <w:szCs w:val="22"/>
          </w:rPr>
          <w:t>(Chang et al., 2017)</w:t>
        </w:r>
      </w:hyperlink>
      <w:r>
        <w:rPr>
          <w:rFonts w:eastAsia="Times New Roman" w:cs="Times New Roman" w:ascii="Times New Roman" w:hAnsi="Times New Roman"/>
          <w:sz w:val="22"/>
          <w:szCs w:val="22"/>
        </w:rPr>
        <w:t xml:space="preserve">, coiaf </w:t>
      </w:r>
      <w:hyperlink r:id="rId24">
        <w:r>
          <w:rPr>
            <w:rFonts w:eastAsia="Times New Roman" w:cs="Times New Roman" w:ascii="Times New Roman" w:hAnsi="Times New Roman"/>
            <w:sz w:val="22"/>
            <w:szCs w:val="22"/>
          </w:rPr>
          <w:t>(Paschalidis et al., 2023)</w:t>
        </w:r>
      </w:hyperlink>
      <w:r>
        <w:rPr>
          <w:rFonts w:eastAsia="Times New Roman" w:cs="Times New Roman" w:ascii="Times New Roman" w:hAnsi="Times New Roman"/>
          <w:sz w:val="22"/>
          <w:szCs w:val="22"/>
        </w:rPr>
        <w:t xml:space="preserve">, moire </w:t>
      </w:r>
      <w:hyperlink r:id="rId25">
        <w:r>
          <w:rPr>
            <w:rFonts w:eastAsia="Times New Roman" w:cs="Times New Roman" w:ascii="Times New Roman" w:hAnsi="Times New Roman"/>
            <w:sz w:val="22"/>
            <w:szCs w:val="22"/>
          </w:rPr>
          <w:t>(Murphy and Greenhouse, 2024)</w:t>
        </w:r>
      </w:hyperlink>
      <w:r>
        <w:rPr>
          <w:rFonts w:eastAsia="Times New Roman" w:cs="Times New Roman" w:ascii="Times New Roman" w:hAnsi="Times New Roman"/>
          <w:sz w:val="22"/>
          <w:szCs w:val="22"/>
        </w:rPr>
        <w:t xml:space="preserve">, hmmIBD </w:t>
      </w:r>
      <w:hyperlink r:id="rId26">
        <w:r>
          <w:rPr>
            <w:rFonts w:eastAsia="Times New Roman" w:cs="Times New Roman" w:ascii="Times New Roman" w:hAnsi="Times New Roman"/>
            <w:sz w:val="22"/>
            <w:szCs w:val="22"/>
          </w:rPr>
          <w:t>(Schaffner et al., 2018)</w:t>
        </w:r>
      </w:hyperlink>
      <w:r>
        <w:rPr>
          <w:rFonts w:eastAsia="Times New Roman" w:cs="Times New Roman" w:ascii="Times New Roman" w:hAnsi="Times New Roman"/>
          <w:sz w:val="22"/>
          <w:szCs w:val="22"/>
        </w:rPr>
        <w:t xml:space="preserve">, isoRelate (..), DEploid </w:t>
      </w:r>
      <w:hyperlink r:id="rId27">
        <w:r>
          <w:rPr>
            <w:rFonts w:eastAsia="Times New Roman" w:cs="Times New Roman" w:ascii="Times New Roman" w:hAnsi="Times New Roman"/>
            <w:sz w:val="22"/>
            <w:szCs w:val="22"/>
          </w:rPr>
          <w:t>(Zhu et al., 2017)</w:t>
        </w:r>
      </w:hyperlink>
      <w:r>
        <w:rPr>
          <w:rFonts w:eastAsia="Times New Roman" w:cs="Times New Roman" w:ascii="Times New Roman" w:hAnsi="Times New Roman"/>
          <w:sz w:val="22"/>
          <w:szCs w:val="22"/>
        </w:rPr>
        <w:t xml:space="preserve">, dcifer </w:t>
      </w:r>
      <w:hyperlink r:id="rId28">
        <w:r>
          <w:rPr>
            <w:rFonts w:eastAsia="Times New Roman" w:cs="Times New Roman" w:ascii="Times New Roman" w:hAnsi="Times New Roman"/>
            <w:sz w:val="22"/>
            <w:szCs w:val="22"/>
          </w:rPr>
          <w:t>(Gerlovina et al., 2022)</w:t>
        </w:r>
      </w:hyperlink>
      <w:r>
        <w:rPr>
          <w:rFonts w:eastAsia="Times New Roman" w:cs="Times New Roman" w:ascii="Times New Roman" w:hAnsi="Times New Roman"/>
          <w:sz w:val="22"/>
          <w:szCs w:val="22"/>
        </w:rPr>
        <w:t xml:space="preserve">, SeekDeep </w:t>
      </w:r>
      <w:hyperlink r:id="rId29">
        <w:r>
          <w:rPr>
            <w:rFonts w:eastAsia="Times New Roman" w:cs="Times New Roman" w:ascii="Times New Roman" w:hAnsi="Times New Roman"/>
            <w:sz w:val="22"/>
            <w:szCs w:val="22"/>
          </w:rPr>
          <w:t>(Hathaway et al., 2018)</w:t>
        </w:r>
      </w:hyperlink>
      <w:r>
        <w:rPr>
          <w:rFonts w:eastAsia="Times New Roman" w:cs="Times New Roman" w:ascii="Times New Roman" w:hAnsi="Times New Roman"/>
          <w:sz w:val="22"/>
          <w:szCs w:val="22"/>
        </w:rPr>
        <w:t>.</w:t>
      </w:r>
    </w:p>
    <w:tbl>
      <w:tblPr>
        <w:tblStyle w:val="Table4"/>
        <w:tblW w:w="14790" w:type="dxa"/>
        <w:jc w:val="left"/>
        <w:tblInd w:w="-903" w:type="dxa"/>
        <w:tblLayout w:type="fixed"/>
        <w:tblCellMar>
          <w:top w:w="0" w:type="dxa"/>
          <w:left w:w="108" w:type="dxa"/>
          <w:bottom w:w="0" w:type="dxa"/>
          <w:right w:w="108" w:type="dxa"/>
        </w:tblCellMar>
        <w:tblLook w:val="0000"/>
      </w:tblPr>
      <w:tblGrid>
        <w:gridCol w:w="2129"/>
        <w:gridCol w:w="1725"/>
        <w:gridCol w:w="1276"/>
        <w:gridCol w:w="2159"/>
        <w:gridCol w:w="3151"/>
        <w:gridCol w:w="4349"/>
      </w:tblGrid>
      <w:tr>
        <w:trPr>
          <w:tblHeader w:val="true"/>
          <w:trHeight w:val="645"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Tool</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Function</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Input</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Algorithm</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Installation</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Repository</w:t>
            </w:r>
          </w:p>
        </w:tc>
      </w:tr>
      <w:tr>
        <w:trPr>
          <w:trHeight w:val="885"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THE REAL McCOIL</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COI estimation</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SNP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Categorical / Bayesian mixture</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 package (CRAN, GitHub)</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0">
              <w:r>
                <w:rPr>
                  <w:rFonts w:eastAsia="Times New Roman" w:cs="Times New Roman" w:ascii="Times New Roman" w:hAnsi="Times New Roman"/>
                  <w:color w:val="1155CC"/>
                  <w:sz w:val="22"/>
                  <w:szCs w:val="22"/>
                  <w:u w:val="single"/>
                </w:rPr>
                <w:t>https://github.com/EPPIcenter/THEREALMcCOIL</w:t>
              </w:r>
            </w:hyperlink>
            <w:r>
              <w:rPr>
                <w:rFonts w:eastAsia="Times New Roman" w:cs="Times New Roman" w:ascii="Times New Roman" w:hAnsi="Times New Roman"/>
                <w:sz w:val="22"/>
                <w:szCs w:val="22"/>
              </w:rPr>
              <w:t xml:space="preserve"> </w:t>
            </w:r>
          </w:p>
        </w:tc>
      </w:tr>
      <w:tr>
        <w:trPr>
          <w:trHeight w:val="795"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coiaf</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COI estimation</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SNP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Allele-frequency likelihood</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 package (GitHub)</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1">
              <w:r>
                <w:rPr>
                  <w:rFonts w:eastAsia="Times New Roman" w:cs="Times New Roman" w:ascii="Times New Roman" w:hAnsi="Times New Roman"/>
                  <w:color w:val="1155CC"/>
                  <w:sz w:val="22"/>
                  <w:szCs w:val="22"/>
                  <w:u w:val="single"/>
                </w:rPr>
                <w:t>https://github.com/bailey-lab/coiaf</w:t>
              </w:r>
            </w:hyperlink>
            <w:r>
              <w:rPr>
                <w:rFonts w:eastAsia="Times New Roman" w:cs="Times New Roman" w:ascii="Times New Roman" w:hAnsi="Times New Roman"/>
                <w:sz w:val="22"/>
                <w:szCs w:val="22"/>
              </w:rPr>
              <w:t xml:space="preserve"> </w:t>
            </w:r>
          </w:p>
        </w:tc>
      </w:tr>
      <w:tr>
        <w:trPr>
          <w:trHeight w:val="810"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moire</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COI estimation</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SNP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Bayesian hierarchical modelling</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 package (GitHub)</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2">
              <w:r>
                <w:rPr>
                  <w:rFonts w:eastAsia="Times New Roman" w:cs="Times New Roman" w:ascii="Times New Roman" w:hAnsi="Times New Roman"/>
                  <w:color w:val="1155CC"/>
                  <w:sz w:val="22"/>
                  <w:szCs w:val="22"/>
                  <w:u w:val="single"/>
                </w:rPr>
                <w:t>https://github.com/EPPIcenter/moire</w:t>
              </w:r>
            </w:hyperlink>
            <w:r>
              <w:rPr>
                <w:rFonts w:eastAsia="Times New Roman" w:cs="Times New Roman" w:ascii="Times New Roman" w:hAnsi="Times New Roman"/>
                <w:sz w:val="22"/>
                <w:szCs w:val="22"/>
              </w:rPr>
              <w:t xml:space="preserve"> </w:t>
            </w:r>
          </w:p>
        </w:tc>
      </w:tr>
      <w:tr>
        <w:trPr>
          <w:trHeight w:val="855"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hmmIBD</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Identity-by-descent</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SNP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Hidden Markov model (HMM)</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 / command-line (GitHub)</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3">
              <w:r>
                <w:rPr>
                  <w:rFonts w:eastAsia="Times New Roman" w:cs="Times New Roman" w:ascii="Times New Roman" w:hAnsi="Times New Roman"/>
                  <w:color w:val="1155CC"/>
                  <w:sz w:val="22"/>
                  <w:szCs w:val="22"/>
                  <w:u w:val="single"/>
                </w:rPr>
                <w:t>https://github.com/glipsnort/hmmIBD</w:t>
              </w:r>
            </w:hyperlink>
            <w:r>
              <w:rPr>
                <w:rFonts w:eastAsia="Times New Roman" w:cs="Times New Roman" w:ascii="Times New Roman" w:hAnsi="Times New Roman"/>
                <w:sz w:val="22"/>
                <w:szCs w:val="22"/>
              </w:rPr>
              <w:t xml:space="preserve"> </w:t>
            </w:r>
          </w:p>
        </w:tc>
      </w:tr>
      <w:tr>
        <w:trPr>
          <w:trHeight w:val="870"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isoRelate</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Relatedness</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SNP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IBD segment-based relatedness</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R/Bioconductor package</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4">
              <w:r>
                <w:rPr>
                  <w:rFonts w:eastAsia="Times New Roman" w:cs="Times New Roman" w:ascii="Times New Roman" w:hAnsi="Times New Roman"/>
                  <w:color w:val="1155CC"/>
                  <w:sz w:val="22"/>
                  <w:szCs w:val="22"/>
                  <w:u w:val="single"/>
                </w:rPr>
                <w:t>https://github.com/bahlolab/isoRelate</w:t>
              </w:r>
            </w:hyperlink>
            <w:r>
              <w:rPr>
                <w:rFonts w:eastAsia="Times New Roman" w:cs="Times New Roman" w:ascii="Times New Roman" w:hAnsi="Times New Roman"/>
                <w:sz w:val="22"/>
                <w:szCs w:val="22"/>
              </w:rPr>
              <w:t xml:space="preserve"> </w:t>
            </w:r>
          </w:p>
        </w:tc>
      </w:tr>
      <w:tr>
        <w:trPr>
          <w:trHeight w:val="900"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DEploid</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Haplotype deconvolution</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SNP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MCMC-based haplotype inference</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 / R (GitHub)</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5">
              <w:r>
                <w:rPr>
                  <w:rFonts w:eastAsia="Times New Roman" w:cs="Times New Roman" w:ascii="Times New Roman" w:hAnsi="Times New Roman"/>
                  <w:color w:val="1155CC"/>
                  <w:sz w:val="22"/>
                  <w:szCs w:val="22"/>
                  <w:u w:val="single"/>
                </w:rPr>
                <w:t>https://github.com/DEploid-dev/DEploid</w:t>
              </w:r>
            </w:hyperlink>
            <w:r>
              <w:rPr>
                <w:rFonts w:eastAsia="Times New Roman" w:cs="Times New Roman" w:ascii="Times New Roman" w:hAnsi="Times New Roman"/>
                <w:sz w:val="22"/>
                <w:szCs w:val="22"/>
              </w:rPr>
              <w:t xml:space="preserve"> </w:t>
            </w:r>
          </w:p>
        </w:tc>
      </w:tr>
      <w:tr>
        <w:trPr>
          <w:trHeight w:val="825"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dcifer</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Relatedness</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SNP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Genetic distance and covariance</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 package (GitHub)</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6">
              <w:r>
                <w:rPr>
                  <w:rFonts w:eastAsia="Times New Roman" w:cs="Times New Roman" w:ascii="Times New Roman" w:hAnsi="Times New Roman"/>
                  <w:color w:val="1155CC"/>
                  <w:sz w:val="22"/>
                  <w:szCs w:val="22"/>
                  <w:u w:val="single"/>
                </w:rPr>
                <w:t>https://github.com/EPPIcenter/dcifer</w:t>
              </w:r>
            </w:hyperlink>
            <w:r>
              <w:rPr>
                <w:rFonts w:eastAsia="Times New Roman" w:cs="Times New Roman" w:ascii="Times New Roman" w:hAnsi="Times New Roman"/>
                <w:sz w:val="22"/>
                <w:szCs w:val="22"/>
              </w:rPr>
              <w:t xml:space="preserve"> </w:t>
            </w:r>
          </w:p>
        </w:tc>
      </w:tr>
      <w:tr>
        <w:trPr>
          <w:trHeight w:val="1043"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SeekDeep</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Amplicon haplotyping</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 amplicon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Clustering with error modelling</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 / command-line (GitHub)</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7">
              <w:r>
                <w:rPr>
                  <w:rFonts w:eastAsia="Times New Roman" w:cs="Times New Roman" w:ascii="Times New Roman" w:hAnsi="Times New Roman"/>
                  <w:color w:val="1155CC"/>
                  <w:sz w:val="22"/>
                  <w:szCs w:val="22"/>
                  <w:u w:val="single"/>
                </w:rPr>
                <w:t>https://github.com/bailey-lab/SeekDeep</w:t>
              </w:r>
            </w:hyperlink>
            <w:r>
              <w:rPr>
                <w:rFonts w:eastAsia="Times New Roman" w:cs="Times New Roman" w:ascii="Times New Roman" w:hAnsi="Times New Roman"/>
                <w:sz w:val="22"/>
                <w:szCs w:val="22"/>
              </w:rPr>
              <w:t xml:space="preserve"> </w:t>
            </w:r>
          </w:p>
        </w:tc>
      </w:tr>
      <w:tr>
        <w:trPr>
          <w:trHeight w:val="760" w:hRule="atLeast"/>
        </w:trPr>
        <w:tc>
          <w:tcPr>
            <w:tcW w:w="21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DRpower</w:t>
            </w:r>
          </w:p>
        </w:tc>
        <w:tc>
          <w:tcPr>
            <w:tcW w:w="172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Study design</w:t>
            </w:r>
          </w:p>
        </w:tc>
        <w:tc>
          <w:tcPr>
            <w:tcW w:w="1276"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Simulation data</w:t>
            </w:r>
          </w:p>
        </w:tc>
        <w:tc>
          <w:tcPr>
            <w:tcW w:w="215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Statistical power simulation</w:t>
            </w:r>
          </w:p>
        </w:tc>
        <w:tc>
          <w:tcPr>
            <w:tcW w:w="315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 package (GitHub)</w:t>
            </w:r>
          </w:p>
        </w:tc>
        <w:tc>
          <w:tcPr>
            <w:tcW w:w="434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38">
              <w:r>
                <w:rPr>
                  <w:rFonts w:eastAsia="Times New Roman" w:cs="Times New Roman" w:ascii="Times New Roman" w:hAnsi="Times New Roman"/>
                  <w:color w:val="1155CC"/>
                  <w:sz w:val="22"/>
                  <w:szCs w:val="22"/>
                  <w:u w:val="single"/>
                </w:rPr>
                <w:t>https://github.com/mrc-ide/DRpower</w:t>
              </w:r>
            </w:hyperlink>
            <w:r>
              <w:rPr>
                <w:rFonts w:eastAsia="Times New Roman" w:cs="Times New Roman" w:ascii="Times New Roman" w:hAnsi="Times New Roman"/>
                <w:sz w:val="22"/>
                <w:szCs w:val="22"/>
              </w:rPr>
              <w:t xml:space="preserve"> </w:t>
            </w:r>
          </w:p>
        </w:tc>
      </w:tr>
    </w:tbl>
    <w:p>
      <w:pPr>
        <w:pStyle w:val="Heading4"/>
        <w:spacing w:lineRule="auto" w:line="24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bookmarkStart w:id="4" w:name="_onqw2gsstlgs"/>
      <w:bookmarkStart w:id="5" w:name="_onqw2gsstlgs"/>
      <w:bookmarkEnd w:id="5"/>
    </w:p>
    <w:p>
      <w:pPr>
        <w:pStyle w:val="Heading4"/>
        <w:spacing w:lineRule="auto" w:line="240"/>
        <w:ind w:left="-900" w:hanging="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r>
      <w:bookmarkStart w:id="6" w:name="_11qj8dppcdza"/>
      <w:bookmarkStart w:id="7" w:name="_11qj8dppcdza"/>
      <w:bookmarkEnd w:id="7"/>
    </w:p>
    <w:p>
      <w:pPr>
        <w:pStyle w:val="Heading4"/>
        <w:spacing w:lineRule="auto" w:line="240"/>
        <w:ind w:left="-900" w:hanging="0"/>
        <w:jc w:val="both"/>
        <w:rPr>
          <w:rFonts w:ascii="Times New Roman" w:hAnsi="Times New Roman" w:eastAsia="Times New Roman" w:cs="Times New Roman"/>
          <w:color w:val="000000"/>
        </w:rPr>
      </w:pPr>
      <w:bookmarkStart w:id="8" w:name="_9h7otwfsp3wf"/>
      <w:bookmarkEnd w:id="8"/>
      <w:r>
        <w:rPr>
          <w:rFonts w:eastAsia="Times New Roman" w:cs="Times New Roman" w:ascii="Times New Roman" w:hAnsi="Times New Roman"/>
          <w:b/>
          <w:bCs/>
          <w:sz w:val="22"/>
          <w:szCs w:val="22"/>
        </w:rPr>
        <w:t>Part D</w:t>
      </w:r>
      <w:r>
        <w:rPr>
          <w:rFonts w:eastAsia="Times New Roman" w:cs="Times New Roman" w:ascii="Times New Roman" w:hAnsi="Times New Roman"/>
          <w:sz w:val="22"/>
          <w:szCs w:val="22"/>
        </w:rPr>
        <w:t xml:space="preserve">: Variant calling tools: </w:t>
      </w:r>
      <w:r>
        <w:rPr>
          <w:rFonts w:eastAsia="Times New Roman" w:cs="Times New Roman" w:ascii="Times New Roman" w:hAnsi="Times New Roman"/>
          <w:i w:val="false"/>
          <w:iCs w:val="false"/>
          <w:color w:val="000000"/>
          <w:sz w:val="22"/>
          <w:szCs w:val="22"/>
        </w:rPr>
        <w:t xml:space="preserve">GATK HaplotypeCaller </w:t>
      </w:r>
      <w:hyperlink r:id="rId39">
        <w:r>
          <w:rPr>
            <w:rFonts w:eastAsia="Times New Roman" w:cs="Times New Roman" w:ascii="Times New Roman" w:hAnsi="Times New Roman"/>
            <w:color w:val="000000"/>
            <w:sz w:val="22"/>
            <w:szCs w:val="22"/>
          </w:rPr>
          <w:t>(McKenna et al., 2010; Niaré et al., 2023)</w:t>
        </w:r>
      </w:hyperlink>
      <w:r>
        <w:rPr>
          <w:rFonts w:eastAsia="Times New Roman" w:cs="Times New Roman" w:ascii="Times New Roman" w:hAnsi="Times New Roman"/>
          <w:i w:val="false"/>
          <w:iCs w:val="false"/>
          <w:color w:val="000000"/>
          <w:sz w:val="22"/>
          <w:szCs w:val="22"/>
        </w:rPr>
        <w:t xml:space="preserve">, Clair3 </w:t>
      </w:r>
      <w:hyperlink r:id="rId40">
        <w:r>
          <w:rPr>
            <w:rFonts w:eastAsia="Times New Roman" w:cs="Times New Roman" w:ascii="Times New Roman" w:hAnsi="Times New Roman"/>
            <w:color w:val="000000"/>
            <w:sz w:val="22"/>
            <w:szCs w:val="22"/>
          </w:rPr>
          <w:t>(Su et al., 2022)</w:t>
        </w:r>
      </w:hyperlink>
      <w:r>
        <w:rPr>
          <w:rFonts w:eastAsia="Times New Roman" w:cs="Times New Roman" w:ascii="Times New Roman" w:hAnsi="Times New Roman"/>
          <w:i w:val="false"/>
          <w:iCs w:val="false"/>
          <w:color w:val="000000"/>
          <w:sz w:val="22"/>
          <w:szCs w:val="22"/>
        </w:rPr>
        <w:t xml:space="preserve">, DeepVariant </w:t>
      </w:r>
      <w:hyperlink r:id="rId41">
        <w:r>
          <w:rPr>
            <w:rFonts w:eastAsia="Times New Roman" w:cs="Times New Roman" w:ascii="Times New Roman" w:hAnsi="Times New Roman"/>
            <w:color w:val="000000"/>
            <w:sz w:val="22"/>
            <w:szCs w:val="22"/>
          </w:rPr>
          <w:t>(Poplin et al., 2018)</w:t>
        </w:r>
      </w:hyperlink>
      <w:r>
        <w:rPr>
          <w:rFonts w:eastAsia="Times New Roman" w:cs="Times New Roman" w:ascii="Times New Roman" w:hAnsi="Times New Roman"/>
          <w:i w:val="false"/>
          <w:iCs w:val="false"/>
          <w:color w:val="000000"/>
          <w:sz w:val="22"/>
          <w:szCs w:val="22"/>
        </w:rPr>
        <w:t xml:space="preserve">, Medaka </w:t>
      </w:r>
      <w:hyperlink r:id="rId42">
        <w:r>
          <w:rPr>
            <w:rFonts w:eastAsia="Times New Roman" w:cs="Times New Roman" w:ascii="Times New Roman" w:hAnsi="Times New Roman"/>
            <w:color w:val="000000"/>
            <w:sz w:val="22"/>
            <w:szCs w:val="22"/>
          </w:rPr>
          <w:t>(Luan et al., 2024)</w:t>
        </w:r>
      </w:hyperlink>
      <w:r>
        <w:rPr>
          <w:rFonts w:eastAsia="Times New Roman" w:cs="Times New Roman" w:ascii="Times New Roman" w:hAnsi="Times New Roman"/>
          <w:i w:val="false"/>
          <w:iCs w:val="false"/>
          <w:color w:val="000000"/>
          <w:sz w:val="22"/>
          <w:szCs w:val="22"/>
        </w:rPr>
        <w:t xml:space="preserve">, DADA2 </w:t>
      </w:r>
      <w:hyperlink r:id="rId43">
        <w:r>
          <w:rPr>
            <w:rFonts w:eastAsia="Times New Roman" w:cs="Times New Roman" w:ascii="Times New Roman" w:hAnsi="Times New Roman"/>
            <w:color w:val="000000"/>
            <w:sz w:val="22"/>
            <w:szCs w:val="22"/>
          </w:rPr>
          <w:t>(Callahan et al., 2016)</w:t>
        </w:r>
      </w:hyperlink>
      <w:r>
        <w:rPr>
          <w:rFonts w:eastAsia="Times New Roman" w:cs="Times New Roman" w:ascii="Times New Roman" w:hAnsi="Times New Roman"/>
          <w:color w:val="000000"/>
        </w:rPr>
        <w:t>.</w:t>
      </w:r>
    </w:p>
    <w:tbl>
      <w:tblPr>
        <w:tblStyle w:val="Table5"/>
        <w:tblW w:w="14805" w:type="dxa"/>
        <w:jc w:val="left"/>
        <w:tblInd w:w="-888" w:type="dxa"/>
        <w:tblLayout w:type="fixed"/>
        <w:tblCellMar>
          <w:top w:w="0" w:type="dxa"/>
          <w:left w:w="108" w:type="dxa"/>
          <w:bottom w:w="0" w:type="dxa"/>
          <w:right w:w="108" w:type="dxa"/>
        </w:tblCellMar>
        <w:tblLook w:val="0000"/>
      </w:tblPr>
      <w:tblGrid>
        <w:gridCol w:w="2610"/>
        <w:gridCol w:w="1230"/>
        <w:gridCol w:w="1395"/>
        <w:gridCol w:w="1514"/>
        <w:gridCol w:w="1485"/>
        <w:gridCol w:w="1935"/>
        <w:gridCol w:w="4635"/>
      </w:tblGrid>
      <w:tr>
        <w:trPr>
          <w:tblHeader w:val="true"/>
          <w:trHeight w:val="570" w:hRule="atLeast"/>
        </w:trPr>
        <w:tc>
          <w:tcPr>
            <w:tcW w:w="261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Tool</w:t>
            </w:r>
          </w:p>
        </w:tc>
        <w:tc>
          <w:tcPr>
            <w:tcW w:w="123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Platform</w:t>
            </w:r>
          </w:p>
        </w:tc>
        <w:tc>
          <w:tcPr>
            <w:tcW w:w="13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Algorithm</w:t>
            </w:r>
          </w:p>
        </w:tc>
        <w:tc>
          <w:tcPr>
            <w:tcW w:w="151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Ploidy</w:t>
            </w:r>
          </w:p>
        </w:tc>
        <w:tc>
          <w:tcPr>
            <w:tcW w:w="14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Polyclonal</w:t>
            </w:r>
          </w:p>
        </w:tc>
        <w:tc>
          <w:tcPr>
            <w:tcW w:w="19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Pf Validation</w:t>
            </w:r>
          </w:p>
        </w:tc>
        <w:tc>
          <w:tcPr>
            <w:tcW w:w="46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repository</w:t>
            </w:r>
          </w:p>
        </w:tc>
      </w:tr>
      <w:tr>
        <w:trPr>
          <w:trHeight w:val="614" w:hRule="atLeast"/>
        </w:trPr>
        <w:tc>
          <w:tcPr>
            <w:tcW w:w="261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GATK HaplotypeCaller</w:t>
            </w:r>
          </w:p>
        </w:tc>
        <w:tc>
          <w:tcPr>
            <w:tcW w:w="123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w:t>
            </w:r>
          </w:p>
        </w:tc>
        <w:tc>
          <w:tcPr>
            <w:tcW w:w="13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Local assembly + HMM</w:t>
            </w:r>
          </w:p>
        </w:tc>
        <w:tc>
          <w:tcPr>
            <w:tcW w:w="151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Haploid (configurable)</w:t>
            </w:r>
          </w:p>
        </w:tc>
        <w:tc>
          <w:tcPr>
            <w:tcW w:w="14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Limited (not designed for heavy within-host diversity)</w:t>
            </w:r>
          </w:p>
        </w:tc>
        <w:tc>
          <w:tcPr>
            <w:tcW w:w="19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Extensive use in Pf WGS pipelines</w:t>
            </w:r>
          </w:p>
        </w:tc>
        <w:tc>
          <w:tcPr>
            <w:tcW w:w="46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44">
              <w:r>
                <w:rPr>
                  <w:rFonts w:eastAsia="Times New Roman" w:cs="Times New Roman" w:ascii="Times New Roman" w:hAnsi="Times New Roman"/>
                  <w:color w:val="1155CC"/>
                  <w:sz w:val="22"/>
                  <w:szCs w:val="22"/>
                  <w:u w:val="single"/>
                </w:rPr>
                <w:t>https://github.com/broadinstitute/gatk/issues/8440</w:t>
              </w:r>
            </w:hyperlink>
            <w:r>
              <w:rPr>
                <w:rFonts w:eastAsia="Times New Roman" w:cs="Times New Roman" w:ascii="Times New Roman" w:hAnsi="Times New Roman"/>
                <w:sz w:val="22"/>
                <w:szCs w:val="22"/>
              </w:rPr>
              <w:t xml:space="preserve"> </w:t>
            </w:r>
          </w:p>
        </w:tc>
      </w:tr>
      <w:tr>
        <w:trPr>
          <w:trHeight w:val="302" w:hRule="atLeast"/>
        </w:trPr>
        <w:tc>
          <w:tcPr>
            <w:tcW w:w="261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Clair3</w:t>
            </w:r>
          </w:p>
        </w:tc>
        <w:tc>
          <w:tcPr>
            <w:tcW w:w="123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ONT</w:t>
            </w:r>
          </w:p>
        </w:tc>
        <w:tc>
          <w:tcPr>
            <w:tcW w:w="13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Deep neural network (pileup + full-alignment)</w:t>
            </w:r>
          </w:p>
        </w:tc>
        <w:tc>
          <w:tcPr>
            <w:tcW w:w="151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Haploid</w:t>
            </w:r>
          </w:p>
        </w:tc>
        <w:tc>
          <w:tcPr>
            <w:tcW w:w="14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Limited</w:t>
            </w:r>
          </w:p>
        </w:tc>
        <w:tc>
          <w:tcPr>
            <w:tcW w:w="19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Growing use in Pf ONT datasets</w:t>
            </w:r>
          </w:p>
        </w:tc>
        <w:tc>
          <w:tcPr>
            <w:tcW w:w="46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45">
              <w:r>
                <w:rPr>
                  <w:rFonts w:eastAsia="Times New Roman" w:cs="Times New Roman" w:ascii="Times New Roman" w:hAnsi="Times New Roman"/>
                  <w:color w:val="1155CC"/>
                  <w:sz w:val="22"/>
                  <w:szCs w:val="22"/>
                  <w:u w:val="single"/>
                </w:rPr>
                <w:t>https://github.com/HKU-BAL/Clair3</w:t>
              </w:r>
            </w:hyperlink>
            <w:r>
              <w:rPr>
                <w:rFonts w:eastAsia="Times New Roman" w:cs="Times New Roman" w:ascii="Times New Roman" w:hAnsi="Times New Roman"/>
                <w:sz w:val="22"/>
                <w:szCs w:val="22"/>
              </w:rPr>
              <w:t xml:space="preserve"> </w:t>
            </w:r>
          </w:p>
        </w:tc>
      </w:tr>
      <w:tr>
        <w:trPr>
          <w:trHeight w:val="1474" w:hRule="atLeast"/>
        </w:trPr>
        <w:tc>
          <w:tcPr>
            <w:tcW w:w="261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DeepVariant</w:t>
            </w:r>
          </w:p>
        </w:tc>
        <w:tc>
          <w:tcPr>
            <w:tcW w:w="123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w:t>
            </w:r>
          </w:p>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ONT</w:t>
            </w:r>
          </w:p>
        </w:tc>
        <w:tc>
          <w:tcPr>
            <w:tcW w:w="13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Deep learning (CNN)</w:t>
            </w:r>
          </w:p>
        </w:tc>
        <w:tc>
          <w:tcPr>
            <w:tcW w:w="151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Haploid / diploid models</w:t>
            </w:r>
          </w:p>
        </w:tc>
        <w:tc>
          <w:tcPr>
            <w:tcW w:w="14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No (single-consensus model; not COI-aware)</w:t>
            </w:r>
          </w:p>
        </w:tc>
        <w:tc>
          <w:tcPr>
            <w:tcW w:w="19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Moderate; some Pf applications</w:t>
            </w:r>
          </w:p>
        </w:tc>
        <w:tc>
          <w:tcPr>
            <w:tcW w:w="46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46">
              <w:r>
                <w:rPr>
                  <w:rFonts w:eastAsia="Times New Roman" w:cs="Times New Roman" w:ascii="Times New Roman" w:hAnsi="Times New Roman"/>
                  <w:color w:val="1155CC"/>
                  <w:sz w:val="22"/>
                  <w:szCs w:val="22"/>
                  <w:u w:val="single"/>
                </w:rPr>
                <w:t>https://github.com/google/deepvariant</w:t>
              </w:r>
            </w:hyperlink>
            <w:r>
              <w:rPr>
                <w:rFonts w:eastAsia="Times New Roman" w:cs="Times New Roman" w:ascii="Times New Roman" w:hAnsi="Times New Roman"/>
                <w:sz w:val="22"/>
                <w:szCs w:val="22"/>
              </w:rPr>
              <w:t xml:space="preserve"> </w:t>
            </w:r>
          </w:p>
        </w:tc>
      </w:tr>
      <w:tr>
        <w:trPr>
          <w:trHeight w:val="1131" w:hRule="atLeast"/>
        </w:trPr>
        <w:tc>
          <w:tcPr>
            <w:tcW w:w="261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Medaka</w:t>
            </w:r>
          </w:p>
        </w:tc>
        <w:tc>
          <w:tcPr>
            <w:tcW w:w="123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ONT</w:t>
            </w:r>
          </w:p>
        </w:tc>
        <w:tc>
          <w:tcPr>
            <w:tcW w:w="13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Neural network-based consensus polishing</w:t>
            </w:r>
          </w:p>
        </w:tc>
        <w:tc>
          <w:tcPr>
            <w:tcW w:w="151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Haploid</w:t>
            </w:r>
          </w:p>
        </w:tc>
        <w:tc>
          <w:tcPr>
            <w:tcW w:w="14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No (consensus-oriented)</w:t>
            </w:r>
          </w:p>
        </w:tc>
        <w:tc>
          <w:tcPr>
            <w:tcW w:w="19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Used for ONT malaria assemblies / consensus</w:t>
            </w:r>
          </w:p>
        </w:tc>
        <w:tc>
          <w:tcPr>
            <w:tcW w:w="46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47">
              <w:r>
                <w:rPr>
                  <w:rFonts w:eastAsia="Times New Roman" w:cs="Times New Roman" w:ascii="Times New Roman" w:hAnsi="Times New Roman"/>
                  <w:color w:val="1155CC"/>
                  <w:sz w:val="22"/>
                  <w:szCs w:val="22"/>
                  <w:u w:val="single"/>
                </w:rPr>
                <w:t>https://github.com/nanoporetech/medaka</w:t>
              </w:r>
            </w:hyperlink>
            <w:r>
              <w:rPr>
                <w:rFonts w:eastAsia="Times New Roman" w:cs="Times New Roman" w:ascii="Times New Roman" w:hAnsi="Times New Roman"/>
                <w:sz w:val="22"/>
                <w:szCs w:val="22"/>
              </w:rPr>
              <w:t xml:space="preserve"> </w:t>
            </w:r>
          </w:p>
        </w:tc>
      </w:tr>
      <w:tr>
        <w:trPr>
          <w:trHeight w:val="614" w:hRule="atLeast"/>
        </w:trPr>
        <w:tc>
          <w:tcPr>
            <w:tcW w:w="261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DADA2</w:t>
            </w:r>
          </w:p>
        </w:tc>
        <w:tc>
          <w:tcPr>
            <w:tcW w:w="1230"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Illumina amplicon</w:t>
            </w:r>
          </w:p>
        </w:tc>
        <w:tc>
          <w:tcPr>
            <w:tcW w:w="139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Error model + ASV inference</w:t>
            </w:r>
          </w:p>
        </w:tc>
        <w:tc>
          <w:tcPr>
            <w:tcW w:w="1514"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N/A</w:t>
            </w:r>
          </w:p>
        </w:tc>
        <w:tc>
          <w:tcPr>
            <w:tcW w:w="14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Yes (amplicon haplotypes within infections)</w:t>
            </w:r>
          </w:p>
        </w:tc>
        <w:tc>
          <w:tcPr>
            <w:tcW w:w="19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Amplicon-specific Pf pipelines</w:t>
            </w:r>
          </w:p>
        </w:tc>
        <w:tc>
          <w:tcPr>
            <w:tcW w:w="463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48">
              <w:r>
                <w:rPr>
                  <w:rFonts w:eastAsia="Times New Roman" w:cs="Times New Roman" w:ascii="Times New Roman" w:hAnsi="Times New Roman"/>
                  <w:color w:val="1155CC"/>
                  <w:sz w:val="22"/>
                  <w:szCs w:val="22"/>
                  <w:u w:val="single"/>
                </w:rPr>
                <w:t>https://github.com/broadinstitute/malaria-amplicon-pipeline</w:t>
              </w:r>
            </w:hyperlink>
            <w:r>
              <w:rPr>
                <w:rFonts w:eastAsia="Times New Roman" w:cs="Times New Roman" w:ascii="Times New Roman" w:hAnsi="Times New Roman"/>
                <w:sz w:val="22"/>
                <w:szCs w:val="22"/>
              </w:rPr>
              <w:t xml:space="preserve"> </w:t>
            </w:r>
          </w:p>
        </w:tc>
      </w:tr>
    </w:tbl>
    <w:p>
      <w:pPr>
        <w:pStyle w:val="Normal1"/>
        <w:spacing w:lineRule="auto" w:line="240" w:before="0" w:after="200"/>
        <w:jc w:val="both"/>
        <w:rPr>
          <w:rFonts w:ascii="Times New Roman" w:hAnsi="Times New Roman" w:eastAsia="Times New Roman" w:cs="Times New Roman"/>
        </w:rPr>
      </w:pPr>
      <w:r>
        <w:rPr>
          <w:rFonts w:eastAsia="Times New Roman" w:cs="Times New Roman" w:ascii="Times New Roman" w:hAnsi="Times New Roman"/>
        </w:rPr>
      </w:r>
    </w:p>
    <w:p>
      <w:pPr>
        <w:pStyle w:val="Heading4"/>
        <w:spacing w:lineRule="auto" w:line="24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bookmarkStart w:id="9" w:name="_2ay03lxsugm7"/>
      <w:bookmarkStart w:id="10" w:name="_2ay03lxsugm7"/>
      <w:bookmarkEnd w:id="10"/>
    </w:p>
    <w:p>
      <w:pPr>
        <w:pStyle w:val="Heading4"/>
        <w:spacing w:lineRule="auto" w:line="240"/>
        <w:ind w:left="-900" w:hanging="0"/>
        <w:jc w:val="both"/>
        <w:rPr>
          <w:rFonts w:ascii="Times New Roman" w:hAnsi="Times New Roman" w:eastAsia="Times New Roman" w:cs="Times New Roman"/>
          <w:i w:val="false"/>
          <w:i w:val="false"/>
          <w:iCs w:val="false"/>
          <w:color w:val="000000"/>
          <w:sz w:val="22"/>
          <w:szCs w:val="22"/>
        </w:rPr>
      </w:pPr>
      <w:bookmarkStart w:id="11" w:name="_cf681v6ocjuh"/>
      <w:bookmarkEnd w:id="11"/>
      <w:r>
        <w:rPr>
          <w:rFonts w:eastAsia="Times New Roman" w:cs="Times New Roman" w:ascii="Times New Roman" w:hAnsi="Times New Roman"/>
          <w:b/>
          <w:bCs/>
          <w:sz w:val="22"/>
          <w:szCs w:val="22"/>
        </w:rPr>
        <w:t>Part E:</w:t>
      </w:r>
      <w:r>
        <w:rPr>
          <w:rFonts w:eastAsia="Times New Roman" w:cs="Times New Roman" w:ascii="Times New Roman" w:hAnsi="Times New Roman"/>
          <w:sz w:val="22"/>
          <w:szCs w:val="22"/>
        </w:rPr>
        <w:t xml:space="preserve"> Population genomics and visualization: </w:t>
      </w:r>
      <w:r>
        <w:rPr>
          <w:rFonts w:eastAsia="Times New Roman" w:cs="Times New Roman" w:ascii="Times New Roman" w:hAnsi="Times New Roman"/>
          <w:i w:val="false"/>
          <w:iCs w:val="false"/>
          <w:color w:val="000000"/>
          <w:sz w:val="22"/>
          <w:szCs w:val="22"/>
        </w:rPr>
        <w:t xml:space="preserve">Pf-HaploAtlas </w:t>
      </w:r>
      <w:hyperlink r:id="rId49">
        <w:r>
          <w:rPr>
            <w:rFonts w:eastAsia="Times New Roman" w:cs="Times New Roman" w:ascii="Times New Roman" w:hAnsi="Times New Roman"/>
            <w:color w:val="000000"/>
            <w:sz w:val="22"/>
            <w:szCs w:val="22"/>
          </w:rPr>
          <w:t>(Lee et al., 2024)</w:t>
        </w:r>
      </w:hyperlink>
      <w:r>
        <w:rPr>
          <w:rFonts w:eastAsia="Times New Roman" w:cs="Times New Roman" w:ascii="Times New Roman" w:hAnsi="Times New Roman"/>
          <w:i w:val="false"/>
          <w:iCs w:val="false"/>
          <w:color w:val="000000"/>
          <w:sz w:val="22"/>
          <w:szCs w:val="22"/>
        </w:rPr>
        <w:t xml:space="preserve">, MapVEu </w:t>
      </w:r>
      <w:hyperlink r:id="rId50">
        <w:r>
          <w:rPr>
            <w:rFonts w:eastAsia="Times New Roman" w:cs="Times New Roman" w:ascii="Times New Roman" w:hAnsi="Times New Roman"/>
            <w:color w:val="000000"/>
            <w:sz w:val="22"/>
            <w:szCs w:val="22"/>
          </w:rPr>
          <w:t>(Alvarez-Jarreta et al., 2024; Pierre-Louis et al., 2024)</w:t>
        </w:r>
      </w:hyperlink>
      <w:r>
        <w:rPr>
          <w:rFonts w:eastAsia="Times New Roman" w:cs="Times New Roman" w:ascii="Times New Roman" w:hAnsi="Times New Roman"/>
          <w:i w:val="false"/>
          <w:iCs w:val="false"/>
          <w:color w:val="000000"/>
          <w:sz w:val="22"/>
          <w:szCs w:val="22"/>
        </w:rPr>
        <w:t xml:space="preserve">, malaria-profiler </w:t>
      </w:r>
      <w:hyperlink r:id="rId51">
        <w:r>
          <w:rPr>
            <w:rFonts w:eastAsia="Times New Roman" w:cs="Times New Roman" w:ascii="Times New Roman" w:hAnsi="Times New Roman"/>
            <w:color w:val="000000"/>
            <w:sz w:val="22"/>
            <w:szCs w:val="22"/>
          </w:rPr>
          <w:t>(Phelan et al., 2023)</w:t>
        </w:r>
      </w:hyperlink>
      <w:r>
        <w:rPr>
          <w:rFonts w:eastAsia="Times New Roman" w:cs="Times New Roman" w:ascii="Times New Roman" w:hAnsi="Times New Roman"/>
          <w:i w:val="false"/>
          <w:iCs w:val="false"/>
          <w:color w:val="000000"/>
          <w:sz w:val="22"/>
          <w:szCs w:val="22"/>
        </w:rPr>
        <w:t xml:space="preserve">, SV-Pop </w:t>
      </w:r>
      <w:hyperlink r:id="rId52">
        <w:r>
          <w:rPr>
            <w:rFonts w:eastAsia="Times New Roman" w:cs="Times New Roman" w:ascii="Times New Roman" w:hAnsi="Times New Roman"/>
            <w:color w:val="000000"/>
            <w:sz w:val="22"/>
            <w:szCs w:val="22"/>
          </w:rPr>
          <w:t>(Ravenhall et al., 2019)</w:t>
        </w:r>
      </w:hyperlink>
      <w:r>
        <w:rPr>
          <w:rFonts w:eastAsia="Times New Roman" w:cs="Times New Roman" w:ascii="Times New Roman" w:hAnsi="Times New Roman"/>
          <w:i w:val="false"/>
          <w:iCs w:val="false"/>
          <w:color w:val="000000"/>
          <w:sz w:val="22"/>
          <w:szCs w:val="22"/>
        </w:rPr>
        <w:t xml:space="preserve">. </w:t>
      </w:r>
    </w:p>
    <w:tbl>
      <w:tblPr>
        <w:tblStyle w:val="Table6"/>
        <w:tblW w:w="14835" w:type="dxa"/>
        <w:jc w:val="left"/>
        <w:tblInd w:w="-903" w:type="dxa"/>
        <w:tblLayout w:type="fixed"/>
        <w:tblCellMar>
          <w:top w:w="0" w:type="dxa"/>
          <w:left w:w="108" w:type="dxa"/>
          <w:bottom w:w="0" w:type="dxa"/>
          <w:right w:w="108" w:type="dxa"/>
        </w:tblCellMar>
        <w:tblLook w:val="0000"/>
      </w:tblPr>
      <w:tblGrid>
        <w:gridCol w:w="2415"/>
        <w:gridCol w:w="1829"/>
        <w:gridCol w:w="2385"/>
        <w:gridCol w:w="3675"/>
        <w:gridCol w:w="4531"/>
      </w:tblGrid>
      <w:tr>
        <w:trPr>
          <w:tblHeader w:val="true"/>
          <w:trHeight w:val="605" w:hRule="atLeast"/>
        </w:trPr>
        <w:tc>
          <w:tcPr>
            <w:tcW w:w="241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Tool</w:t>
            </w:r>
          </w:p>
        </w:tc>
        <w:tc>
          <w:tcPr>
            <w:tcW w:w="18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Function</w:t>
            </w:r>
          </w:p>
        </w:tc>
        <w:tc>
          <w:tcPr>
            <w:tcW w:w="23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Key Features</w:t>
            </w:r>
          </w:p>
        </w:tc>
        <w:tc>
          <w:tcPr>
            <w:tcW w:w="36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Applications</w:t>
            </w:r>
          </w:p>
        </w:tc>
        <w:tc>
          <w:tcPr>
            <w:tcW w:w="453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b/>
                <w:b/>
                <w:bCs/>
                <w:sz w:val="22"/>
                <w:szCs w:val="22"/>
              </w:rPr>
            </w:pPr>
            <w:r>
              <w:rPr>
                <w:rFonts w:eastAsia="Times New Roman" w:cs="Times New Roman" w:ascii="Times New Roman" w:hAnsi="Times New Roman"/>
                <w:b/>
                <w:bCs/>
                <w:sz w:val="22"/>
                <w:szCs w:val="22"/>
              </w:rPr>
              <w:t>Repository</w:t>
            </w:r>
          </w:p>
        </w:tc>
      </w:tr>
      <w:tr>
        <w:trPr>
          <w:trHeight w:val="1215" w:hRule="atLeast"/>
        </w:trPr>
        <w:tc>
          <w:tcPr>
            <w:tcW w:w="241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Pf-HaploAtlas</w:t>
            </w:r>
          </w:p>
        </w:tc>
        <w:tc>
          <w:tcPr>
            <w:tcW w:w="18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Interactive haplotype exploration</w:t>
            </w:r>
          </w:p>
        </w:tc>
        <w:tc>
          <w:tcPr>
            <w:tcW w:w="23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4,952 genes; spatiotemporal filters; lineage and allele views</w:t>
            </w:r>
          </w:p>
        </w:tc>
        <w:tc>
          <w:tcPr>
            <w:tcW w:w="36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Tracking resistance haplotypes across space and time</w:t>
            </w:r>
          </w:p>
        </w:tc>
        <w:tc>
          <w:tcPr>
            <w:tcW w:w="453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53">
              <w:r>
                <w:rPr>
                  <w:rFonts w:eastAsia="Times New Roman" w:cs="Times New Roman" w:ascii="Times New Roman" w:hAnsi="Times New Roman"/>
                  <w:color w:val="1155CC"/>
                  <w:sz w:val="22"/>
                  <w:szCs w:val="22"/>
                  <w:u w:val="single"/>
                </w:rPr>
                <w:t>https://github.com/malariagen/pf-haploatlas</w:t>
              </w:r>
            </w:hyperlink>
            <w:r>
              <w:rPr>
                <w:rFonts w:eastAsia="Times New Roman" w:cs="Times New Roman" w:ascii="Times New Roman" w:hAnsi="Times New Roman"/>
                <w:sz w:val="22"/>
                <w:szCs w:val="22"/>
              </w:rPr>
              <w:t xml:space="preserve">  </w:t>
            </w:r>
          </w:p>
        </w:tc>
      </w:tr>
      <w:tr>
        <w:trPr>
          <w:trHeight w:val="1058" w:hRule="atLeast"/>
        </w:trPr>
        <w:tc>
          <w:tcPr>
            <w:tcW w:w="241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MapVEu</w:t>
            </w:r>
          </w:p>
        </w:tc>
        <w:tc>
          <w:tcPr>
            <w:tcW w:w="18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Geospatial visualization</w:t>
            </w:r>
          </w:p>
        </w:tc>
        <w:tc>
          <w:tcPr>
            <w:tcW w:w="23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Web-based maps; parasite, vector and intervention layers</w:t>
            </w:r>
          </w:p>
        </w:tc>
        <w:tc>
          <w:tcPr>
            <w:tcW w:w="36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Real-time malaria surveillance and decision support</w:t>
            </w:r>
          </w:p>
        </w:tc>
        <w:tc>
          <w:tcPr>
            <w:tcW w:w="453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54">
              <w:r>
                <w:rPr>
                  <w:rFonts w:eastAsia="Times New Roman" w:cs="Times New Roman" w:ascii="Times New Roman" w:hAnsi="Times New Roman"/>
                  <w:color w:val="1155CC"/>
                  <w:sz w:val="22"/>
                  <w:szCs w:val="22"/>
                  <w:u w:val="single"/>
                </w:rPr>
                <w:t>https://github.com/VeuPathDB/mapveu</w:t>
              </w:r>
            </w:hyperlink>
            <w:r>
              <w:rPr>
                <w:rFonts w:eastAsia="Times New Roman" w:cs="Times New Roman" w:ascii="Times New Roman" w:hAnsi="Times New Roman"/>
                <w:sz w:val="22"/>
                <w:szCs w:val="22"/>
              </w:rPr>
              <w:t xml:space="preserve">  </w:t>
            </w:r>
          </w:p>
        </w:tc>
      </w:tr>
      <w:tr>
        <w:trPr>
          <w:trHeight w:val="1073" w:hRule="atLeast"/>
        </w:trPr>
        <w:tc>
          <w:tcPr>
            <w:tcW w:w="241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malaria-profiler</w:t>
            </w:r>
          </w:p>
        </w:tc>
        <w:tc>
          <w:tcPr>
            <w:tcW w:w="18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Resistance profiling</w:t>
            </w:r>
          </w:p>
        </w:tc>
        <w:tc>
          <w:tcPr>
            <w:tcW w:w="23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Command-line and web interface; curated resistance catalogue</w:t>
            </w:r>
          </w:p>
        </w:tc>
        <w:tc>
          <w:tcPr>
            <w:tcW w:w="36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Clinical decision support; programme-level profiling</w:t>
            </w:r>
          </w:p>
        </w:tc>
        <w:tc>
          <w:tcPr>
            <w:tcW w:w="453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55">
              <w:r>
                <w:rPr>
                  <w:rFonts w:eastAsia="Times New Roman" w:cs="Times New Roman" w:ascii="Times New Roman" w:hAnsi="Times New Roman"/>
                  <w:color w:val="1155CC"/>
                  <w:sz w:val="22"/>
                  <w:szCs w:val="22"/>
                  <w:u w:val="single"/>
                </w:rPr>
                <w:t>https://github.com/jodyphelan/malaria-profiler</w:t>
              </w:r>
            </w:hyperlink>
            <w:r>
              <w:rPr>
                <w:rFonts w:eastAsia="Times New Roman" w:cs="Times New Roman" w:ascii="Times New Roman" w:hAnsi="Times New Roman"/>
                <w:sz w:val="22"/>
                <w:szCs w:val="22"/>
              </w:rPr>
              <w:t xml:space="preserve">  </w:t>
            </w:r>
          </w:p>
        </w:tc>
      </w:tr>
      <w:tr>
        <w:trPr>
          <w:trHeight w:val="1118" w:hRule="atLeast"/>
        </w:trPr>
        <w:tc>
          <w:tcPr>
            <w:tcW w:w="241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SV-Pop</w:t>
            </w:r>
          </w:p>
        </w:tc>
        <w:tc>
          <w:tcPr>
            <w:tcW w:w="1829"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Structural variant analysis</w:t>
            </w:r>
          </w:p>
        </w:tc>
        <w:tc>
          <w:tcPr>
            <w:tcW w:w="238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Population-scale CNV/SV calling and visualization</w:t>
            </w:r>
          </w:p>
        </w:tc>
        <w:tc>
          <w:tcPr>
            <w:tcW w:w="3675"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Analysis of CNVs and other SVs in malaria populations</w:t>
            </w:r>
          </w:p>
        </w:tc>
        <w:tc>
          <w:tcPr>
            <w:tcW w:w="4531" w:type="dxa"/>
            <w:tcBorders>
              <w:top w:val="single" w:sz="4" w:space="0" w:color="000000"/>
              <w:bottom w:val="single" w:sz="4" w:space="0" w:color="000000"/>
            </w:tcBorders>
            <w:vAlign w:val="center"/>
          </w:tcPr>
          <w:p>
            <w:pPr>
              <w:pStyle w:val="Normal1"/>
              <w:widowControl w:val="false"/>
              <w:spacing w:lineRule="auto" w:line="240" w:before="0" w:after="0"/>
              <w:jc w:val="both"/>
              <w:rPr>
                <w:rFonts w:ascii="Times New Roman" w:hAnsi="Times New Roman" w:eastAsia="Times New Roman" w:cs="Times New Roman"/>
                <w:sz w:val="22"/>
                <w:szCs w:val="22"/>
              </w:rPr>
            </w:pPr>
            <w:hyperlink r:id="rId56">
              <w:r>
                <w:rPr>
                  <w:rFonts w:eastAsia="Times New Roman" w:cs="Times New Roman" w:ascii="Times New Roman" w:hAnsi="Times New Roman"/>
                  <w:color w:val="1155CC"/>
                  <w:sz w:val="22"/>
                  <w:szCs w:val="22"/>
                  <w:u w:val="single"/>
                </w:rPr>
                <w:t>https://github.com/mattravenhall/SV-Pop</w:t>
              </w:r>
            </w:hyperlink>
            <w:r>
              <w:rPr>
                <w:rFonts w:eastAsia="Times New Roman" w:cs="Times New Roman" w:ascii="Times New Roman" w:hAnsi="Times New Roman"/>
                <w:sz w:val="22"/>
                <w:szCs w:val="22"/>
              </w:rPr>
              <w:t xml:space="preserve"> </w:t>
            </w:r>
          </w:p>
        </w:tc>
      </w:tr>
    </w:tbl>
    <w:p>
      <w:pPr>
        <w:pStyle w:val="Normal1"/>
        <w:spacing w:lineRule="auto" w:line="240" w:before="0" w:after="200"/>
        <w:ind w:left="-900" w:hanging="0"/>
        <w:jc w:val="both"/>
        <w:rPr>
          <w:rFonts w:ascii="Times New Roman" w:hAnsi="Times New Roman" w:eastAsia="Times New Roman" w:cs="Times New Roman"/>
          <w:sz w:val="22"/>
          <w:szCs w:val="22"/>
        </w:rPr>
      </w:pPr>
      <w:r>
        <w:rPr>
          <w:rFonts w:eastAsia="Times New Roman" w:cs="Times New Roman" w:ascii="Times New Roman" w:hAnsi="Times New Roman"/>
          <w:sz w:val="20"/>
          <w:szCs w:val="20"/>
        </w:rPr>
        <w:t>Abbreviations: IBD = Identity-by-Descent; HMM = Hidden Markov Model; CNN = Convolutional Neural Network; CNV = Copy Number Variation. Quality ratings are based on documentation completeness, availability of tutorials, and community support. Citation counts are approximate as of 2024</w:t>
      </w:r>
    </w:p>
    <w:p>
      <w:pPr>
        <w:pStyle w:val="Normal1"/>
        <w:spacing w:lineRule="auto" w:line="240" w:before="0" w:after="200"/>
        <w:ind w:hanging="90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References</w:t>
      </w:r>
    </w:p>
    <w:p>
      <w:pPr>
        <w:pStyle w:val="Normal1"/>
        <w:spacing w:lineRule="auto" w:line="240" w:before="0" w:after="200"/>
        <w:ind w:left="-900" w:hanging="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w:t>
      </w:r>
      <w:r>
        <w:rPr>
          <w:rFonts w:eastAsia="Times New Roman" w:cs="Times New Roman" w:ascii="Times New Roman" w:hAnsi="Times New Roman"/>
          <w:sz w:val="20"/>
          <w:szCs w:val="20"/>
        </w:rPr>
        <w:t>.</w:t>
      </w:r>
    </w:p>
    <w:p>
      <w:pPr>
        <w:pStyle w:val="Normal1"/>
        <w:spacing w:lineRule="auto" w:line="240" w:before="0" w:after="0"/>
        <w:ind w:left="0" w:hanging="900"/>
        <w:jc w:val="both"/>
        <w:rPr>
          <w:rFonts w:ascii="Times New Roman" w:hAnsi="Times New Roman" w:eastAsia="Times New Roman" w:cs="Times New Roman"/>
          <w:sz w:val="20"/>
          <w:szCs w:val="20"/>
        </w:rPr>
      </w:pPr>
      <w:hyperlink r:id="rId57">
        <w:r>
          <w:rPr>
            <w:rFonts w:eastAsia="Times New Roman" w:cs="Times New Roman" w:ascii="Times New Roman" w:hAnsi="Times New Roman"/>
            <w:sz w:val="20"/>
            <w:szCs w:val="20"/>
          </w:rPr>
          <w:t xml:space="preserve">Alvarez-Jarreta J, Amos B, Aurrecoechea C, Bah S, Barba M, Barreto A. VEuPathDB: the eukaryotic pathogen, vector and host bioinformatics resource center in 2023. Nucleic Acids Res 2024;52(D1):D808–16. https://doi.org/10.1093/nar/gkad1003.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58">
        <w:r>
          <w:rPr>
            <w:rFonts w:eastAsia="Times New Roman" w:cs="Times New Roman" w:ascii="Times New Roman" w:hAnsi="Times New Roman"/>
            <w:sz w:val="20"/>
            <w:szCs w:val="20"/>
          </w:rPr>
          <w:t xml:space="preserve">Aranda-Díaz A, Neubauer Vickers E, Murie K, Palmer B, Hathaway N, Gerlovina I. Sensitive and modular amplicon sequencing of Plasmodium falciparum diversity and resistance for research and public health. Sci Rep 2025;15(1):10737.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59">
        <w:r>
          <w:rPr>
            <w:rFonts w:eastAsia="Times New Roman" w:cs="Times New Roman" w:ascii="Times New Roman" w:hAnsi="Times New Roman"/>
            <w:sz w:val="20"/>
            <w:szCs w:val="20"/>
          </w:rPr>
          <w:t xml:space="preserve">Callahan BJ, McMurdie PJ, Rosen MJ, Han AW, Johnson AJA, Holmes SP. DADA2: High-resolution sample inference from Illumina amplicon data. Nat Methods 2016;13(7):581–3.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0">
        <w:r>
          <w:rPr>
            <w:rFonts w:eastAsia="Times New Roman" w:cs="Times New Roman" w:ascii="Times New Roman" w:hAnsi="Times New Roman"/>
            <w:sz w:val="20"/>
            <w:szCs w:val="20"/>
          </w:rPr>
          <w:t xml:space="preserve">Chang HH, Worby CJ, Yeka A, Nankabirwa J, Kamya MR, Staedke SG. THE REAL McCOIL: A method for the concurrent estimation of the complexity of infection and SNP allele frequency for malaria parasites. PLoS Comput Biol 2017;13.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1">
        <w:r>
          <w:rPr>
            <w:rFonts w:eastAsia="Times New Roman" w:cs="Times New Roman" w:ascii="Times New Roman" w:hAnsi="Times New Roman"/>
            <w:sz w:val="20"/>
            <w:szCs w:val="20"/>
          </w:rPr>
          <w:t xml:space="preserve">Gerlovina I, Gerlovin B, Rodríguez-Barraquer I, Greenhouse B. Dcifer: an IBD-based method to calculate genetic distance between polyclonal infections. Genetics 2022;222. https://doi.org/10.1093/genetics/iyac126.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2">
        <w:r>
          <w:rPr>
            <w:rFonts w:eastAsia="Times New Roman" w:cs="Times New Roman" w:ascii="Times New Roman" w:hAnsi="Times New Roman"/>
            <w:sz w:val="20"/>
            <w:szCs w:val="20"/>
          </w:rPr>
          <w:t xml:space="preserve">Hathaway NJ, Parobek CM, Juliano JJ, Bailey JA. SeekDeep: single-base resolution de novo clustering for amplicon deep sequencing. Nucleic Acids Res 2018;46(4):e21. https://doi.org/10.1093/nar/gkx1201.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3">
        <w:r>
          <w:rPr>
            <w:rFonts w:eastAsia="Times New Roman" w:cs="Times New Roman" w:ascii="Times New Roman" w:hAnsi="Times New Roman"/>
            <w:sz w:val="20"/>
            <w:szCs w:val="20"/>
          </w:rPr>
          <w:t xml:space="preserve">Hosch S, Wagner P, Giger JN, Dubach N, Saavedra E, Perno CF. PHARE: a bioinformatics pipeline for compositional profiling of multiclonal Plasmodium falciparum infections from long-read Nanopore sequencing data. J Antimicrob Chemother 2024;79(5):987–96.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4">
        <w:r>
          <w:rPr>
            <w:rFonts w:eastAsia="Times New Roman" w:cs="Times New Roman" w:ascii="Times New Roman" w:hAnsi="Times New Roman"/>
            <w:sz w:val="20"/>
            <w:szCs w:val="20"/>
          </w:rPr>
          <w:t xml:space="preserve">LaVerriere E, Schwabl P, Carrasquilla M, Taylor AR, Johnson ZM, Shieh M. Design and implementation of multiplexed amplicon sequencing panels to serve genomic epidemiology of infectious disease: A malaria case study. Mol Ecol Resour 2022;22:2285–303.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5">
        <w:r>
          <w:rPr>
            <w:rFonts w:eastAsia="Times New Roman" w:cs="Times New Roman" w:ascii="Times New Roman" w:hAnsi="Times New Roman"/>
            <w:sz w:val="20"/>
            <w:szCs w:val="20"/>
          </w:rPr>
          <w:t xml:space="preserve">Lee C, Ünlü ES, White NFD, Almagro-Garcia J, Ariani CV, Pearson RD. Pf-HaploAtlas: an interactive web app for spatiotemporal analysis of Plasmodium falciparum genes. Schwartz R, editor Bioinformatics 2024.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6">
        <w:r>
          <w:rPr>
            <w:rFonts w:eastAsia="Times New Roman" w:cs="Times New Roman" w:ascii="Times New Roman" w:hAnsi="Times New Roman"/>
            <w:sz w:val="20"/>
            <w:szCs w:val="20"/>
          </w:rPr>
          <w:t xml:space="preserve">Luan T, Commichaux S, Hoffmann M, Jayeola V, Jang JH, Pop M. Benchmarking short and long read polishing tools for nanopore assemblies: achieving near-perfect genomes for outbreak isolates. BMC Genomics 2024;25(1):679. https://doi.org/10.1186/s12864-024-10582-x.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7">
        <w:r>
          <w:rPr>
            <w:rFonts w:eastAsia="Times New Roman" w:cs="Times New Roman" w:ascii="Times New Roman" w:hAnsi="Times New Roman"/>
            <w:sz w:val="20"/>
            <w:szCs w:val="20"/>
          </w:rPr>
          <w:t xml:space="preserve">M C, M M, AE J, J C, C D, K S. Flexible and cost-effective genomic surveillance of P. falciparum malaria with targeted nanopore sequencing. Nat Commun 2024;15(1):1413.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8">
        <w:r>
          <w:rPr>
            <w:rFonts w:eastAsia="Times New Roman" w:cs="Times New Roman" w:ascii="Times New Roman" w:hAnsi="Times New Roman"/>
            <w:sz w:val="20"/>
            <w:szCs w:val="20"/>
          </w:rPr>
          <w:t xml:space="preserve">MalariaGEN AHMM, MH A, DO A, A A, M A. Pf7: an open dataset of Plasmodium falciparum genome variation in 20,000 worldwide samples. Wellcome Open Res 2023;8.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69">
        <w:r>
          <w:rPr>
            <w:rFonts w:eastAsia="Times New Roman" w:cs="Times New Roman" w:ascii="Times New Roman" w:hAnsi="Times New Roman"/>
            <w:sz w:val="20"/>
            <w:szCs w:val="20"/>
          </w:rPr>
          <w:t xml:space="preserve">McKenna A, Hanna M, Banks E, Sivachenko A, Cibulskis K, Kernytsky A. The Genome Analysis Toolkit: A MapReduce framework for analyzing next-generation DNA sequencing data. Genome Res 2010;20(9):1297–303.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0">
        <w:r>
          <w:rPr>
            <w:rFonts w:eastAsia="Times New Roman" w:cs="Times New Roman" w:ascii="Times New Roman" w:hAnsi="Times New Roman"/>
            <w:sz w:val="20"/>
            <w:szCs w:val="20"/>
          </w:rPr>
          <w:t xml:space="preserve">Murphy M, Greenhouse B. MOIRE: a software package for the estimation of allele frequencies and effective multiplicity of infection from polyallelic data. In: Schwartz R, editor. Bioinformatics, 2024.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1">
        <w:r>
          <w:rPr>
            <w:rFonts w:eastAsia="Times New Roman" w:cs="Times New Roman" w:ascii="Times New Roman" w:hAnsi="Times New Roman"/>
            <w:sz w:val="20"/>
            <w:szCs w:val="20"/>
          </w:rPr>
          <w:t xml:space="preserve">Network MGE, MM AH, MH A, DO A, I A, P A. Pf8: an open dataset of Plasmodium falciparum genome variation in 33,325 worldwide samples. Wellcome Open Res 2025;10.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2">
        <w:r>
          <w:rPr>
            <w:rFonts w:eastAsia="Times New Roman" w:cs="Times New Roman" w:ascii="Times New Roman" w:hAnsi="Times New Roman"/>
            <w:sz w:val="20"/>
            <w:szCs w:val="20"/>
          </w:rPr>
          <w:t xml:space="preserve">Niaré K, Greenhouse B, Bailey JA. An optimized GATK4 pipeline for Plasmodium falciparum whole genome sequencing variant calling and analysis. Malar J 2023.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3">
        <w:r>
          <w:rPr>
            <w:rFonts w:eastAsia="Times New Roman" w:cs="Times New Roman" w:ascii="Times New Roman" w:hAnsi="Times New Roman"/>
            <w:sz w:val="20"/>
            <w:szCs w:val="20"/>
          </w:rPr>
          <w:t xml:space="preserve">Paschalidis A, Watson OJ, Aydemir O, Verity R, Bailey JA. coiaf: Directly estimating complexity of infection with allele frequencies. In: editor., editor. Larremore DB, 2023.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4">
        <w:r>
          <w:rPr>
            <w:rFonts w:eastAsia="Times New Roman" w:cs="Times New Roman" w:ascii="Times New Roman" w:hAnsi="Times New Roman"/>
            <w:sz w:val="20"/>
            <w:szCs w:val="20"/>
          </w:rPr>
          <w:t xml:space="preserve">Phelan JE, Turkiewicz A, Manko E, Thorpe J, Vanheer LN, Vegte-Bolmer M. Rapid profiling of Plasmodium parasites from genome sequences to assist malaria control. Genome Med [Internet 2023;1];15(1):96.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5">
        <w:r>
          <w:rPr>
            <w:rFonts w:eastAsia="Times New Roman" w:cs="Times New Roman" w:ascii="Times New Roman" w:hAnsi="Times New Roman"/>
            <w:sz w:val="20"/>
            <w:szCs w:val="20"/>
          </w:rPr>
          <w:t xml:space="preserve">Pierre-Louis E, Kelley J, Patel D, Carlson C, Talundzic E, Jacobson D. Geo-classification of drug-resistant travel-associated Plasmodium falciparum using Pfs47 and Pfcpmp gene sequences 2024.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6">
        <w:r>
          <w:rPr>
            <w:rFonts w:eastAsia="Times New Roman" w:cs="Times New Roman" w:ascii="Times New Roman" w:hAnsi="Times New Roman"/>
            <w:sz w:val="20"/>
            <w:szCs w:val="20"/>
          </w:rPr>
          <w:t xml:space="preserve">Poplin R, Chang PC, Alexander D, Schwartz S, Colthurst T, Ku A. A universal SNP and small-indel variant caller using deep neural networks. Nat Biotechnol 2018;36(10):983–7.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7">
        <w:r>
          <w:rPr>
            <w:rFonts w:eastAsia="Times New Roman" w:cs="Times New Roman" w:ascii="Times New Roman" w:hAnsi="Times New Roman"/>
            <w:sz w:val="20"/>
            <w:szCs w:val="20"/>
          </w:rPr>
          <w:t xml:space="preserve">Ravenhall M, Campino S, Clark TG. SV-Pop: population-based structural variant analysis and visualization. BMC Bioinformatics [Internet 2019;2];20(1):136.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8">
        <w:r>
          <w:rPr>
            <w:rFonts w:eastAsia="Times New Roman" w:cs="Times New Roman" w:ascii="Times New Roman" w:hAnsi="Times New Roman"/>
            <w:sz w:val="20"/>
            <w:szCs w:val="20"/>
          </w:rPr>
          <w:t xml:space="preserve">Schaffner SF, Taylor AR, Wong W, Wirth DF, Neafsey DE. hmmIBD: software to infer pairwise identity by descent between haploid genotypes. Malar J 2018;17.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79">
        <w:r>
          <w:rPr>
            <w:rFonts w:eastAsia="Times New Roman" w:cs="Times New Roman" w:ascii="Times New Roman" w:hAnsi="Times New Roman"/>
            <w:sz w:val="20"/>
            <w:szCs w:val="20"/>
          </w:rPr>
          <w:t xml:space="preserve">Su J, Zheng Z, Ahmed SS, Lam TW, Luo R. Clair3-trio: high-performance Nanopore long-read variant calling in family trios with trio-to-trio deep neural networks. Brief Bioinform 2022. https://doi.org/10.1093/bib/bbac301.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80">
        <w:r>
          <w:rPr>
            <w:rFonts w:eastAsia="Times New Roman" w:cs="Times New Roman" w:ascii="Times New Roman" w:hAnsi="Times New Roman"/>
            <w:sz w:val="20"/>
            <w:szCs w:val="20"/>
          </w:rPr>
          <w:t xml:space="preserve">Talundzic E, Ravishankar S, Kelley J, Patel D, Plucinski M, Schmedes S. Next-Generation Sequencing and Bioinformatics Protocol for Malaria Drug Resistance Marker Surveillance. Antimicrob Agents Chemother; 2018. https://doi.org/10.1128/AAC.02474-17. </w:t>
        </w:r>
      </w:hyperlink>
    </w:p>
    <w:p>
      <w:pPr>
        <w:pStyle w:val="Normal1"/>
        <w:spacing w:lineRule="auto" w:line="240" w:before="0" w:after="0"/>
        <w:ind w:left="0" w:hanging="900"/>
        <w:jc w:val="both"/>
        <w:rPr>
          <w:rFonts w:ascii="Times New Roman" w:hAnsi="Times New Roman" w:eastAsia="Times New Roman" w:cs="Times New Roman"/>
          <w:sz w:val="20"/>
          <w:szCs w:val="20"/>
        </w:rPr>
      </w:pPr>
      <w:hyperlink r:id="rId81">
        <w:r>
          <w:rPr>
            <w:rFonts w:eastAsia="Times New Roman" w:cs="Times New Roman" w:ascii="Times New Roman" w:hAnsi="Times New Roman"/>
            <w:sz w:val="20"/>
            <w:szCs w:val="20"/>
          </w:rPr>
          <w:t xml:space="preserve">Zhu SJ, Almagro-Garcia J, McVean G. Deconvolution of multiple infections in Plasmodium falciparum from high throughput sequencing data. In: Birol I, editor. Bioinformatics 2018, vol. 34(1):9–15, 2017. </w:t>
        </w:r>
      </w:hyperlink>
    </w:p>
    <w:p>
      <w:pPr>
        <w:pStyle w:val="Normal1"/>
        <w:spacing w:lineRule="auto" w:line="240" w:before="0" w:after="200"/>
        <w:ind w:left="-900" w:hanging="0"/>
        <w:jc w:val="both"/>
        <w:rPr>
          <w:rFonts w:ascii="Times New Roman" w:hAnsi="Times New Roman" w:eastAsia="Times New Roman" w:cs="Times New Roman"/>
          <w:b/>
          <w:b/>
          <w:bCs/>
          <w:sz w:val="28"/>
          <w:szCs w:val="28"/>
        </w:rPr>
      </w:pPr>
      <w:r>
        <w:rPr>
          <w:rFonts w:eastAsia="Times New Roman" w:cs="Times New Roman" w:ascii="Times New Roman" w:hAnsi="Times New Roman"/>
          <w:sz w:val="20"/>
          <w:szCs w:val="20"/>
        </w:rPr>
        <w:t xml:space="preserve"> …</w:t>
      </w:r>
    </w:p>
    <w:p>
      <w:pPr>
        <w:pStyle w:val="Normal1"/>
        <w:spacing w:lineRule="auto" w:line="240" w:before="0" w:after="200"/>
        <w:jc w:val="both"/>
        <w:rPr>
          <w:rFonts w:ascii="Times New Roman" w:hAnsi="Times New Roman" w:eastAsia="Times New Roman" w:cs="Times New Roman"/>
          <w:b/>
          <w:b/>
          <w:bCs/>
          <w:sz w:val="28"/>
          <w:szCs w:val="28"/>
        </w:rPr>
      </w:pPr>
      <w:r>
        <w:rPr/>
      </w:r>
    </w:p>
    <w:sectPr>
      <w:type w:val="nextPage"/>
      <w:pgSz w:orient="landscape" w:w="16838" w:h="11906"/>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ptos">
    <w:charset w:val="01"/>
    <w:family w:val="roman"/>
    <w:pitch w:val="variable"/>
  </w:font>
  <w:font w:name="Play">
    <w:charset w:val="01"/>
    <w:family w:val="roman"/>
    <w:pitch w:val="variable"/>
    <w:embedRegular r:id="rId5" w:fontKey="{05014A78-CABC-4EF0-12AC-5CD89AEFDE05}"/>
    <w:embedBold r:id="rId6" w:fontKey="{06014A78-CABC-4EF0-12AC-5CD89AEFDE06}"/>
  </w:font>
  <w:font w:name="Liberation Sans">
    <w:altName w:val="Arial"/>
    <w:charset w:val="01"/>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Times New Roman">
    <w:charset w:val="01"/>
    <w:family w:val="roman"/>
    <w:pitch w:val="variable"/>
  </w:font>
  <w:font w:name="Arial Unicode MS">
    <w:charset w:val="01"/>
    <w:family w:val="roman"/>
    <w:pitch w:val="variable"/>
  </w:font>
</w:fonts>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160"/>
      <w:jc w:val="left"/>
    </w:pPr>
    <w:rPr>
      <w:rFonts w:ascii="Aptos" w:hAnsi="Aptos" w:eastAsia="Aptos" w:cs="Aptos"/>
      <w:color w:val="auto"/>
      <w:kern w:val="0"/>
      <w:sz w:val="24"/>
      <w:szCs w:val="24"/>
      <w:lang w:val="en-US" w:eastAsia="zh-CN" w:bidi="hi-IN"/>
    </w:rPr>
  </w:style>
  <w:style w:type="paragraph" w:styleId="Heading1">
    <w:name w:val="Heading 1"/>
    <w:basedOn w:val="Normal1"/>
    <w:next w:val="Normal1"/>
    <w:qFormat/>
    <w:pPr>
      <w:keepNext w:val="true"/>
      <w:keepLines/>
      <w:spacing w:lineRule="auto" w:line="240" w:before="360" w:after="80"/>
    </w:pPr>
    <w:rPr>
      <w:rFonts w:ascii="Play" w:hAnsi="Play" w:eastAsia="Play" w:cs="Play"/>
      <w:color w:val="0F4761"/>
      <w:sz w:val="40"/>
      <w:szCs w:val="40"/>
    </w:rPr>
  </w:style>
  <w:style w:type="paragraph" w:styleId="Heading2">
    <w:name w:val="Heading 2"/>
    <w:basedOn w:val="Normal1"/>
    <w:next w:val="Normal1"/>
    <w:qFormat/>
    <w:pPr>
      <w:keepNext w:val="true"/>
      <w:keepLines/>
      <w:spacing w:lineRule="auto" w:line="240" w:before="160" w:after="80"/>
    </w:pPr>
    <w:rPr>
      <w:rFonts w:ascii="Play" w:hAnsi="Play" w:eastAsia="Play" w:cs="Play"/>
      <w:color w:val="0F4761"/>
      <w:sz w:val="32"/>
      <w:szCs w:val="32"/>
    </w:rPr>
  </w:style>
  <w:style w:type="paragraph" w:styleId="Heading3">
    <w:name w:val="Heading 3"/>
    <w:basedOn w:val="Normal1"/>
    <w:next w:val="Normal1"/>
    <w:qFormat/>
    <w:pPr>
      <w:keepNext w:val="true"/>
      <w:keepLines/>
      <w:spacing w:lineRule="auto" w:line="240" w:before="160" w:after="80"/>
    </w:pPr>
    <w:rPr>
      <w:color w:val="0F4761"/>
      <w:sz w:val="28"/>
      <w:szCs w:val="28"/>
    </w:rPr>
  </w:style>
  <w:style w:type="paragraph" w:styleId="Heading4">
    <w:name w:val="Heading 4"/>
    <w:basedOn w:val="Normal1"/>
    <w:next w:val="Normal1"/>
    <w:qFormat/>
    <w:pPr>
      <w:keepNext w:val="true"/>
      <w:keepLines/>
      <w:spacing w:lineRule="auto" w:line="240" w:before="80" w:after="40"/>
    </w:pPr>
    <w:rPr>
      <w:i/>
      <w:iCs/>
      <w:color w:val="0F4761"/>
    </w:rPr>
  </w:style>
  <w:style w:type="paragraph" w:styleId="Heading5">
    <w:name w:val="Heading 5"/>
    <w:basedOn w:val="Normal1"/>
    <w:next w:val="Normal1"/>
    <w:qFormat/>
    <w:pPr>
      <w:keepNext w:val="true"/>
      <w:keepLines/>
      <w:spacing w:lineRule="auto" w:line="240" w:before="80" w:after="40"/>
    </w:pPr>
    <w:rPr>
      <w:color w:val="0F4761"/>
    </w:rPr>
  </w:style>
  <w:style w:type="paragraph" w:styleId="Heading6">
    <w:name w:val="Heading 6"/>
    <w:basedOn w:val="Normal1"/>
    <w:next w:val="Normal1"/>
    <w:qFormat/>
    <w:pPr>
      <w:keepNext w:val="true"/>
      <w:keepLines/>
      <w:spacing w:lineRule="auto" w:line="240" w:before="40" w:after="0"/>
    </w:pPr>
    <w:rPr>
      <w:i/>
      <w:iCs/>
      <w:color w:val="595959"/>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spacing w:lineRule="auto" w:line="276" w:before="0" w:after="160"/>
      <w:jc w:val="left"/>
    </w:pPr>
    <w:rPr>
      <w:rFonts w:ascii="Aptos" w:hAnsi="Aptos" w:eastAsia="Aptos" w:cs="Aptos"/>
      <w:color w:val="auto"/>
      <w:kern w:val="0"/>
      <w:sz w:val="24"/>
      <w:szCs w:val="24"/>
      <w:lang w:val="en-US" w:eastAsia="zh-CN" w:bidi="hi-IN"/>
    </w:rPr>
  </w:style>
  <w:style w:type="paragraph" w:styleId="Title">
    <w:name w:val="Title"/>
    <w:basedOn w:val="Normal1"/>
    <w:next w:val="Normal1"/>
    <w:qFormat/>
    <w:pPr>
      <w:spacing w:lineRule="auto" w:line="240" w:before="0" w:after="80"/>
    </w:pPr>
    <w:rPr>
      <w:rFonts w:ascii="Play" w:hAnsi="Play" w:eastAsia="Play" w:cs="Play"/>
      <w:sz w:val="56"/>
      <w:szCs w:val="56"/>
    </w:rPr>
  </w:style>
  <w:style w:type="paragraph" w:styleId="Subtitle">
    <w:name w:val="Subtitle"/>
    <w:basedOn w:val="Normal1"/>
    <w:next w:val="Normal1"/>
    <w:qFormat/>
    <w:pPr/>
    <w:rPr>
      <w:color w:val="595959"/>
      <w:sz w:val="28"/>
      <w:szCs w:val="28"/>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linkedin.com/company/seqera/" TargetMode="External"/><Relationship Id="rId3" Type="http://schemas.openxmlformats.org/officeDocument/2006/relationships/hyperlink" Target="mailto:dmenard@unistra.fr" TargetMode="External"/><Relationship Id="rId4" Type="http://schemas.openxmlformats.org/officeDocument/2006/relationships/hyperlink" Target="mailto:igiraclement@gmail.com" TargetMode="External"/><Relationship Id="rId5" Type="http://schemas.openxmlformats.org/officeDocument/2006/relationships/hyperlink" Target="https://www.zotero.org/google-docs/?Y4PKiM" TargetMode="External"/><Relationship Id="rId6" Type="http://schemas.openxmlformats.org/officeDocument/2006/relationships/hyperlink" Target="https://www.zotero.org/google-docs/?DdOS1j" TargetMode="External"/><Relationship Id="rId7" Type="http://schemas.openxmlformats.org/officeDocument/2006/relationships/hyperlink" Target="https://www.zotero.org/google-docs/?U62d84" TargetMode="External"/><Relationship Id="rId8" Type="http://schemas.openxmlformats.org/officeDocument/2006/relationships/hyperlink" Target="https://www.malariagen.net/" TargetMode="External"/><Relationship Id="rId9" Type="http://schemas.openxmlformats.org/officeDocument/2006/relationships/hyperlink" Target="https://github.com/Karaniare/Optimized_GATK4_pipeline" TargetMode="External"/><Relationship Id="rId10" Type="http://schemas.openxmlformats.org/officeDocument/2006/relationships/hyperlink" Target="https://github.com/Fippu/PHARE" TargetMode="External"/><Relationship Id="rId11" Type="http://schemas.openxmlformats.org/officeDocument/2006/relationships/hyperlink" Target="https://www.zotero.org/google-docs/?2Nk3Ak" TargetMode="External"/><Relationship Id="rId12" Type="http://schemas.openxmlformats.org/officeDocument/2006/relationships/hyperlink" Target="https://www.zotero.org/google-docs/?fBl8PV" TargetMode="External"/><Relationship Id="rId13" Type="http://schemas.openxmlformats.org/officeDocument/2006/relationships/hyperlink" Target="https://www.zotero.org/google-docs/?E71XBG" TargetMode="External"/><Relationship Id="rId14" Type="http://schemas.openxmlformats.org/officeDocument/2006/relationships/hyperlink" Target="https://www.zotero.org/google-docs/?0o8GdZ" TargetMode="External"/><Relationship Id="rId15" Type="http://schemas.openxmlformats.org/officeDocument/2006/relationships/hyperlink" Target="https://www.zotero.org/google-docs/?tH8OxU" TargetMode="External"/><Relationship Id="rId16" Type="http://schemas.openxmlformats.org/officeDocument/2006/relationships/hyperlink" Target="https://github.com/CDCgov/MaRS" TargetMode="External"/><Relationship Id="rId17" Type="http://schemas.openxmlformats.org/officeDocument/2006/relationships/hyperlink" Target="https://www.malariagen.net/project/spotmalaria/" TargetMode="External"/><Relationship Id="rId18" Type="http://schemas.openxmlformats.org/officeDocument/2006/relationships/hyperlink" Target="https://github.com/EPPIcenter/mad4hatter" TargetMode="External"/><Relationship Id="rId19" Type="http://schemas.openxmlformats.org/officeDocument/2006/relationships/hyperlink" Target="https://github.com/nomads-community" TargetMode="External"/><Relationship Id="rId20" Type="http://schemas.openxmlformats.org/officeDocument/2006/relationships/hyperlink" Target="https://github.com/Ekattenberg/Plasmodium-AmpliSeq-Pipeline" TargetMode="External"/><Relationship Id="rId21" Type="http://schemas.openxmlformats.org/officeDocument/2006/relationships/hyperlink" Target="https://github.com/Ekattenberg/Plasmodium-AmpliSeq-Pipeline" TargetMode="External"/><Relationship Id="rId22" Type="http://schemas.openxmlformats.org/officeDocument/2006/relationships/hyperlink" Target="https://github.com/Ekattenberg/Plasmodium-AmpliSeq-Pipeline" TargetMode="External"/><Relationship Id="rId23" Type="http://schemas.openxmlformats.org/officeDocument/2006/relationships/hyperlink" Target="https://www.zotero.org/google-docs/?f6ICZj" TargetMode="External"/><Relationship Id="rId24" Type="http://schemas.openxmlformats.org/officeDocument/2006/relationships/hyperlink" Target="https://www.zotero.org/google-docs/?voylOF" TargetMode="External"/><Relationship Id="rId25" Type="http://schemas.openxmlformats.org/officeDocument/2006/relationships/hyperlink" Target="https://www.zotero.org/google-docs/?2Bs1pz" TargetMode="External"/><Relationship Id="rId26" Type="http://schemas.openxmlformats.org/officeDocument/2006/relationships/hyperlink" Target="https://www.zotero.org/google-docs/?lbuSC4" TargetMode="External"/><Relationship Id="rId27" Type="http://schemas.openxmlformats.org/officeDocument/2006/relationships/hyperlink" Target="https://www.zotero.org/google-docs/?swrFnc" TargetMode="External"/><Relationship Id="rId28" Type="http://schemas.openxmlformats.org/officeDocument/2006/relationships/hyperlink" Target="https://www.zotero.org/google-docs/?9RnMIg" TargetMode="External"/><Relationship Id="rId29" Type="http://schemas.openxmlformats.org/officeDocument/2006/relationships/hyperlink" Target="https://www.zotero.org/google-docs/?7LWOPd" TargetMode="External"/><Relationship Id="rId30" Type="http://schemas.openxmlformats.org/officeDocument/2006/relationships/hyperlink" Target="https://github.com/EPPIcenter/THEREALMcCOIL" TargetMode="External"/><Relationship Id="rId31" Type="http://schemas.openxmlformats.org/officeDocument/2006/relationships/hyperlink" Target="https://github.com/bailey-lab/coiaf" TargetMode="External"/><Relationship Id="rId32" Type="http://schemas.openxmlformats.org/officeDocument/2006/relationships/hyperlink" Target="https://github.com/EPPIcenter/moire" TargetMode="External"/><Relationship Id="rId33" Type="http://schemas.openxmlformats.org/officeDocument/2006/relationships/hyperlink" Target="https://github.com/glipsnort/hmmIBD" TargetMode="External"/><Relationship Id="rId34" Type="http://schemas.openxmlformats.org/officeDocument/2006/relationships/hyperlink" Target="https://github.com/bahlolab/isoRelate" TargetMode="External"/><Relationship Id="rId35" Type="http://schemas.openxmlformats.org/officeDocument/2006/relationships/hyperlink" Target="https://github.com/DEploid-dev/DEploid" TargetMode="External"/><Relationship Id="rId36" Type="http://schemas.openxmlformats.org/officeDocument/2006/relationships/hyperlink" Target="https://github.com/EPPIcenter/dcifer" TargetMode="External"/><Relationship Id="rId37" Type="http://schemas.openxmlformats.org/officeDocument/2006/relationships/hyperlink" Target="https://github.com/bailey-lab/SeekDeep" TargetMode="External"/><Relationship Id="rId38" Type="http://schemas.openxmlformats.org/officeDocument/2006/relationships/hyperlink" Target="https://github.com/mrc-ide/DRpower" TargetMode="External"/><Relationship Id="rId39" Type="http://schemas.openxmlformats.org/officeDocument/2006/relationships/hyperlink" Target="https://www.zotero.org/google-docs/?k3pQ0l" TargetMode="External"/><Relationship Id="rId40" Type="http://schemas.openxmlformats.org/officeDocument/2006/relationships/hyperlink" Target="https://www.zotero.org/google-docs/?ImO8CN" TargetMode="External"/><Relationship Id="rId41" Type="http://schemas.openxmlformats.org/officeDocument/2006/relationships/hyperlink" Target="https://www.zotero.org/google-docs/?i3lqvo" TargetMode="External"/><Relationship Id="rId42" Type="http://schemas.openxmlformats.org/officeDocument/2006/relationships/hyperlink" Target="https://www.zotero.org/google-docs/?04B8XQ" TargetMode="External"/><Relationship Id="rId43" Type="http://schemas.openxmlformats.org/officeDocument/2006/relationships/hyperlink" Target="https://www.zotero.org/google-docs/?MVMLS9" TargetMode="External"/><Relationship Id="rId44" Type="http://schemas.openxmlformats.org/officeDocument/2006/relationships/hyperlink" Target="https://github.com/broadinstitute/gatk/issues/8440" TargetMode="External"/><Relationship Id="rId45" Type="http://schemas.openxmlformats.org/officeDocument/2006/relationships/hyperlink" Target="https://github.com/HKU-BAL/Clair3" TargetMode="External"/><Relationship Id="rId46" Type="http://schemas.openxmlformats.org/officeDocument/2006/relationships/hyperlink" Target="https://github.com/google/deepvariant" TargetMode="External"/><Relationship Id="rId47" Type="http://schemas.openxmlformats.org/officeDocument/2006/relationships/hyperlink" Target="https://github.com/nanoporetech/medaka" TargetMode="External"/><Relationship Id="rId48" Type="http://schemas.openxmlformats.org/officeDocument/2006/relationships/hyperlink" Target="https://github.com/broadinstitute/malaria-amplicon-pipeline" TargetMode="External"/><Relationship Id="rId49" Type="http://schemas.openxmlformats.org/officeDocument/2006/relationships/hyperlink" Target="https://www.zotero.org/google-docs/?4RH8Xa" TargetMode="External"/><Relationship Id="rId50" Type="http://schemas.openxmlformats.org/officeDocument/2006/relationships/hyperlink" Target="https://www.zotero.org/google-docs/?8nReo1" TargetMode="External"/><Relationship Id="rId51" Type="http://schemas.openxmlformats.org/officeDocument/2006/relationships/hyperlink" Target="https://www.zotero.org/google-docs/?jMMMXu" TargetMode="External"/><Relationship Id="rId52" Type="http://schemas.openxmlformats.org/officeDocument/2006/relationships/hyperlink" Target="https://www.zotero.org/google-docs/?l72Pdm" TargetMode="External"/><Relationship Id="rId53" Type="http://schemas.openxmlformats.org/officeDocument/2006/relationships/hyperlink" Target="https://github.com/malariagen/pf-haploatlas" TargetMode="External"/><Relationship Id="rId54" Type="http://schemas.openxmlformats.org/officeDocument/2006/relationships/hyperlink" Target="https://github.com/VeuPathDB/mapveu" TargetMode="External"/><Relationship Id="rId55" Type="http://schemas.openxmlformats.org/officeDocument/2006/relationships/hyperlink" Target="https://github.com/jodyphelan/malaria-profiler" TargetMode="External"/><Relationship Id="rId56" Type="http://schemas.openxmlformats.org/officeDocument/2006/relationships/hyperlink" Target="https://github.com/mattravenhall/SV-Pop" TargetMode="External"/><Relationship Id="rId57" Type="http://schemas.openxmlformats.org/officeDocument/2006/relationships/hyperlink" Target="https://www.zotero.org/google-docs/?Flzfsr" TargetMode="External"/><Relationship Id="rId58" Type="http://schemas.openxmlformats.org/officeDocument/2006/relationships/hyperlink" Target="https://www.zotero.org/google-docs/?Flzfsr" TargetMode="External"/><Relationship Id="rId59" Type="http://schemas.openxmlformats.org/officeDocument/2006/relationships/hyperlink" Target="https://www.zotero.org/google-docs/?Flzfsr" TargetMode="External"/><Relationship Id="rId60" Type="http://schemas.openxmlformats.org/officeDocument/2006/relationships/hyperlink" Target="https://www.zotero.org/google-docs/?Flzfsr" TargetMode="External"/><Relationship Id="rId61" Type="http://schemas.openxmlformats.org/officeDocument/2006/relationships/hyperlink" Target="https://www.zotero.org/google-docs/?Flzfsr" TargetMode="External"/><Relationship Id="rId62" Type="http://schemas.openxmlformats.org/officeDocument/2006/relationships/hyperlink" Target="https://www.zotero.org/google-docs/?Flzfsr" TargetMode="External"/><Relationship Id="rId63" Type="http://schemas.openxmlformats.org/officeDocument/2006/relationships/hyperlink" Target="https://www.zotero.org/google-docs/?Flzfsr" TargetMode="External"/><Relationship Id="rId64" Type="http://schemas.openxmlformats.org/officeDocument/2006/relationships/hyperlink" Target="https://www.zotero.org/google-docs/?Flzfsr" TargetMode="External"/><Relationship Id="rId65" Type="http://schemas.openxmlformats.org/officeDocument/2006/relationships/hyperlink" Target="https://www.zotero.org/google-docs/?Flzfsr" TargetMode="External"/><Relationship Id="rId66" Type="http://schemas.openxmlformats.org/officeDocument/2006/relationships/hyperlink" Target="https://www.zotero.org/google-docs/?Flzfsr" TargetMode="External"/><Relationship Id="rId67" Type="http://schemas.openxmlformats.org/officeDocument/2006/relationships/hyperlink" Target="https://www.zotero.org/google-docs/?Flzfsr" TargetMode="External"/><Relationship Id="rId68" Type="http://schemas.openxmlformats.org/officeDocument/2006/relationships/hyperlink" Target="https://www.zotero.org/google-docs/?Flzfsr" TargetMode="External"/><Relationship Id="rId69" Type="http://schemas.openxmlformats.org/officeDocument/2006/relationships/hyperlink" Target="https://www.zotero.org/google-docs/?Flzfsr" TargetMode="External"/><Relationship Id="rId70" Type="http://schemas.openxmlformats.org/officeDocument/2006/relationships/hyperlink" Target="https://www.zotero.org/google-docs/?Flzfsr" TargetMode="External"/><Relationship Id="rId71" Type="http://schemas.openxmlformats.org/officeDocument/2006/relationships/hyperlink" Target="https://www.zotero.org/google-docs/?Flzfsr" TargetMode="External"/><Relationship Id="rId72" Type="http://schemas.openxmlformats.org/officeDocument/2006/relationships/hyperlink" Target="https://www.zotero.org/google-docs/?Flzfsr" TargetMode="External"/><Relationship Id="rId73" Type="http://schemas.openxmlformats.org/officeDocument/2006/relationships/hyperlink" Target="https://www.zotero.org/google-docs/?Flzfsr" TargetMode="External"/><Relationship Id="rId74" Type="http://schemas.openxmlformats.org/officeDocument/2006/relationships/hyperlink" Target="https://www.zotero.org/google-docs/?Flzfsr" TargetMode="External"/><Relationship Id="rId75" Type="http://schemas.openxmlformats.org/officeDocument/2006/relationships/hyperlink" Target="https://www.zotero.org/google-docs/?Flzfsr" TargetMode="External"/><Relationship Id="rId76" Type="http://schemas.openxmlformats.org/officeDocument/2006/relationships/hyperlink" Target="https://www.zotero.org/google-docs/?Flzfsr" TargetMode="External"/><Relationship Id="rId77" Type="http://schemas.openxmlformats.org/officeDocument/2006/relationships/hyperlink" Target="https://www.zotero.org/google-docs/?Flzfsr" TargetMode="External"/><Relationship Id="rId78" Type="http://schemas.openxmlformats.org/officeDocument/2006/relationships/hyperlink" Target="https://www.zotero.org/google-docs/?Flzfsr" TargetMode="External"/><Relationship Id="rId79" Type="http://schemas.openxmlformats.org/officeDocument/2006/relationships/hyperlink" Target="https://www.zotero.org/google-docs/?Flzfsr" TargetMode="External"/><Relationship Id="rId80" Type="http://schemas.openxmlformats.org/officeDocument/2006/relationships/hyperlink" Target="https://www.zotero.org/google-docs/?Flzfsr" TargetMode="External"/><Relationship Id="rId81" Type="http://schemas.openxmlformats.org/officeDocument/2006/relationships/hyperlink" Target="https://www.zotero.org/google-docs/?Flzfsr" TargetMode="Externa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6</Pages>
  <Words>2091</Words>
  <Characters>14663</Characters>
  <CharactersWithSpaces>16377</CharactersWithSpaces>
  <Paragraphs>432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