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97A" w:rsidRPr="00C526C6" w:rsidRDefault="0074197A" w:rsidP="0074197A">
      <w:pPr>
        <w:spacing w:line="360" w:lineRule="auto"/>
        <w:jc w:val="center"/>
        <w:rPr>
          <w:b/>
          <w:sz w:val="32"/>
          <w:szCs w:val="32"/>
        </w:rPr>
      </w:pPr>
      <w:r w:rsidRPr="00C526C6">
        <w:rPr>
          <w:b/>
          <w:sz w:val="32"/>
          <w:szCs w:val="32"/>
        </w:rPr>
        <w:t>Prenatal high-dose vitamin D</w:t>
      </w:r>
      <w:r w:rsidRPr="00C526C6">
        <w:rPr>
          <w:b/>
          <w:sz w:val="32"/>
          <w:szCs w:val="32"/>
          <w:vertAlign w:val="subscript"/>
        </w:rPr>
        <w:t>3</w:t>
      </w:r>
      <w:r w:rsidRPr="00C526C6">
        <w:rPr>
          <w:b/>
          <w:sz w:val="32"/>
          <w:szCs w:val="32"/>
        </w:rPr>
        <w:t xml:space="preserve"> supplementation </w:t>
      </w:r>
      <w:r w:rsidRPr="004C6C89">
        <w:rPr>
          <w:b/>
          <w:sz w:val="32"/>
          <w:szCs w:val="32"/>
        </w:rPr>
        <w:t>has balanced effects</w:t>
      </w:r>
      <w:r w:rsidRPr="00C526C6">
        <w:rPr>
          <w:b/>
          <w:sz w:val="32"/>
          <w:szCs w:val="32"/>
        </w:rPr>
        <w:t xml:space="preserve"> on cord blood Th1 and Th2 responses </w:t>
      </w:r>
    </w:p>
    <w:p w:rsidR="0074197A" w:rsidRPr="00C526C6" w:rsidRDefault="0074197A" w:rsidP="0074197A">
      <w:pPr>
        <w:spacing w:line="360" w:lineRule="auto"/>
        <w:jc w:val="both"/>
        <w:rPr>
          <w:b/>
        </w:rPr>
      </w:pPr>
    </w:p>
    <w:p w:rsidR="0074197A" w:rsidRPr="00C526C6" w:rsidRDefault="0074197A" w:rsidP="0074197A">
      <w:pPr>
        <w:spacing w:line="360" w:lineRule="auto"/>
        <w:jc w:val="both"/>
      </w:pPr>
      <w:r w:rsidRPr="00C526C6">
        <w:t>Evana Akhtar</w:t>
      </w:r>
      <w:r w:rsidRPr="00245A52">
        <w:rPr>
          <w:vertAlign w:val="superscript"/>
        </w:rPr>
        <w:t>1</w:t>
      </w:r>
      <w:r w:rsidRPr="00C526C6">
        <w:t>, Akhirunnesa Mily</w:t>
      </w:r>
      <w:r w:rsidRPr="00245A52">
        <w:rPr>
          <w:vertAlign w:val="superscript"/>
        </w:rPr>
        <w:t>1</w:t>
      </w:r>
      <w:r w:rsidRPr="00C526C6">
        <w:t>, Md.</w:t>
      </w:r>
      <w:r>
        <w:t xml:space="preserve"> </w:t>
      </w:r>
      <w:r w:rsidRPr="00C526C6">
        <w:t>Ahsanul Haq</w:t>
      </w:r>
      <w:r w:rsidRPr="00245A52">
        <w:rPr>
          <w:vertAlign w:val="superscript"/>
        </w:rPr>
        <w:t>1</w:t>
      </w:r>
      <w:r w:rsidRPr="00C526C6">
        <w:t>, Abdullah Al-Mahmud</w:t>
      </w:r>
      <w:r>
        <w:rPr>
          <w:vertAlign w:val="superscript"/>
        </w:rPr>
        <w:t>2</w:t>
      </w:r>
      <w:r w:rsidRPr="00C526C6">
        <w:t>, Shams El-Arifeen</w:t>
      </w:r>
      <w:r>
        <w:rPr>
          <w:vertAlign w:val="superscript"/>
        </w:rPr>
        <w:t>2</w:t>
      </w:r>
      <w:r w:rsidRPr="00C526C6">
        <w:t>, Abdullah Hel-Baqui</w:t>
      </w:r>
      <w:r>
        <w:rPr>
          <w:vertAlign w:val="superscript"/>
        </w:rPr>
        <w:t>3</w:t>
      </w:r>
      <w:r w:rsidRPr="00C526C6">
        <w:t>, Daniel E. Roth</w:t>
      </w:r>
      <w:r>
        <w:rPr>
          <w:vertAlign w:val="superscript"/>
        </w:rPr>
        <w:t>4</w:t>
      </w:r>
      <w:r w:rsidRPr="00C526C6">
        <w:t>, Rubhana Raqib</w:t>
      </w:r>
      <w:r>
        <w:rPr>
          <w:vertAlign w:val="superscript"/>
        </w:rPr>
        <w:t>1</w:t>
      </w:r>
      <w:r w:rsidRPr="00C526C6">
        <w:t>*</w:t>
      </w:r>
    </w:p>
    <w:p w:rsidR="0074197A" w:rsidRPr="00C526C6" w:rsidRDefault="0074197A" w:rsidP="0074197A">
      <w:pPr>
        <w:spacing w:line="360" w:lineRule="auto"/>
        <w:jc w:val="both"/>
      </w:pPr>
    </w:p>
    <w:p w:rsidR="0074197A" w:rsidRDefault="0074197A" w:rsidP="0074197A">
      <w:pPr>
        <w:spacing w:line="360" w:lineRule="auto"/>
        <w:jc w:val="both"/>
      </w:pPr>
      <w:r>
        <w:rPr>
          <w:vertAlign w:val="superscript"/>
        </w:rPr>
        <w:t>1</w:t>
      </w:r>
      <w:r w:rsidRPr="00BB5E37">
        <w:rPr>
          <w:shd w:val="clear" w:color="auto" w:fill="FFFFFF"/>
        </w:rPr>
        <w:t>Immunobiology, Nutrition and Toxicology Laboratory</w:t>
      </w:r>
      <w:r w:rsidRPr="00D04006">
        <w:t xml:space="preserve">, </w:t>
      </w:r>
      <w:r w:rsidRPr="00BB5E37">
        <w:rPr>
          <w:shd w:val="clear" w:color="auto" w:fill="FFFFFF"/>
        </w:rPr>
        <w:t>Infectious Diseases Division</w:t>
      </w:r>
      <w:r w:rsidRPr="00C526C6">
        <w:t xml:space="preserve">, International Centre for </w:t>
      </w:r>
      <w:proofErr w:type="spellStart"/>
      <w:r w:rsidRPr="00C526C6">
        <w:t>Diarrh</w:t>
      </w:r>
      <w:r>
        <w:t>o</w:t>
      </w:r>
      <w:r w:rsidRPr="00C526C6">
        <w:t>eal</w:t>
      </w:r>
      <w:proofErr w:type="spellEnd"/>
      <w:r w:rsidRPr="00C526C6">
        <w:t xml:space="preserve"> Disease Research, Bang</w:t>
      </w:r>
      <w:r>
        <w:t>ladesh, 1212 Dhaka, Bangladesh</w:t>
      </w:r>
    </w:p>
    <w:p w:rsidR="0074197A" w:rsidRDefault="0074197A" w:rsidP="0074197A">
      <w:pPr>
        <w:spacing w:line="360" w:lineRule="auto"/>
        <w:jc w:val="both"/>
      </w:pPr>
      <w:r>
        <w:rPr>
          <w:vertAlign w:val="superscript"/>
        </w:rPr>
        <w:t>2</w:t>
      </w:r>
      <w:r>
        <w:t>Maternal and Child Health Division</w:t>
      </w:r>
      <w:r w:rsidRPr="00C526C6">
        <w:t xml:space="preserve">, International Centre for </w:t>
      </w:r>
      <w:proofErr w:type="spellStart"/>
      <w:r w:rsidRPr="00C526C6">
        <w:t>Diarrh</w:t>
      </w:r>
      <w:r>
        <w:t>o</w:t>
      </w:r>
      <w:r w:rsidRPr="00C526C6">
        <w:t>eal</w:t>
      </w:r>
      <w:proofErr w:type="spellEnd"/>
      <w:r w:rsidRPr="00C526C6">
        <w:t xml:space="preserve"> Disease Research, Ban</w:t>
      </w:r>
      <w:r>
        <w:t>gladesh, 1212 Dhaka, Bangladesh</w:t>
      </w:r>
    </w:p>
    <w:p w:rsidR="0074197A" w:rsidRDefault="0074197A" w:rsidP="0074197A">
      <w:pPr>
        <w:spacing w:line="360" w:lineRule="auto"/>
        <w:jc w:val="both"/>
      </w:pPr>
      <w:r>
        <w:rPr>
          <w:vertAlign w:val="superscript"/>
        </w:rPr>
        <w:t>3</w:t>
      </w:r>
      <w:r w:rsidRPr="00C526C6">
        <w:t xml:space="preserve">International Center for Maternal and Newborn Health, Department of International Health, </w:t>
      </w:r>
      <w:proofErr w:type="gramStart"/>
      <w:r w:rsidRPr="00C526C6">
        <w:t>The</w:t>
      </w:r>
      <w:proofErr w:type="gramEnd"/>
      <w:r w:rsidRPr="00C526C6">
        <w:t xml:space="preserve"> Johns Hopkins Bloomberg School of Public Health, 615 North Wolfe S</w:t>
      </w:r>
      <w:r>
        <w:t>treet, Baltimore, MD 21205, USA</w:t>
      </w:r>
    </w:p>
    <w:p w:rsidR="0074197A" w:rsidRPr="00C526C6" w:rsidRDefault="0074197A" w:rsidP="0074197A">
      <w:pPr>
        <w:spacing w:line="360" w:lineRule="auto"/>
        <w:jc w:val="both"/>
      </w:pPr>
      <w:r>
        <w:rPr>
          <w:vertAlign w:val="superscript"/>
        </w:rPr>
        <w:t>4</w:t>
      </w:r>
      <w:r>
        <w:t>Department of P</w:t>
      </w:r>
      <w:r w:rsidRPr="00C526C6">
        <w:t>ediatrics, Hospital for Sick Children and University of Toronto, 555 University Avenue, Toronto, ON M5G 1X8, Canada.</w:t>
      </w:r>
    </w:p>
    <w:p w:rsidR="0074197A" w:rsidRPr="00C526C6" w:rsidRDefault="0074197A" w:rsidP="0074197A">
      <w:pPr>
        <w:spacing w:line="360" w:lineRule="auto"/>
        <w:jc w:val="both"/>
        <w:rPr>
          <w:b/>
        </w:rPr>
      </w:pPr>
    </w:p>
    <w:p w:rsidR="0074197A" w:rsidRPr="00D04006" w:rsidRDefault="0074197A" w:rsidP="0074197A">
      <w:pPr>
        <w:spacing w:line="360" w:lineRule="auto"/>
        <w:jc w:val="both"/>
      </w:pPr>
      <w:r w:rsidRPr="00D04006">
        <w:rPr>
          <w:b/>
        </w:rPr>
        <w:t>Short title:</w:t>
      </w:r>
      <w:r w:rsidRPr="00D04006">
        <w:t xml:space="preserve"> Prenatal vitamin D</w:t>
      </w:r>
      <w:r w:rsidRPr="00D04006">
        <w:rPr>
          <w:vertAlign w:val="subscript"/>
        </w:rPr>
        <w:t>3</w:t>
      </w:r>
      <w:r w:rsidRPr="00D04006">
        <w:t xml:space="preserve"> and neonatal immunity</w:t>
      </w:r>
    </w:p>
    <w:p w:rsidR="0074197A" w:rsidRPr="004101F9" w:rsidRDefault="0074197A" w:rsidP="0074197A">
      <w:pPr>
        <w:spacing w:line="360" w:lineRule="auto"/>
        <w:jc w:val="both"/>
        <w:rPr>
          <w:shd w:val="clear" w:color="auto" w:fill="FFFFFF"/>
        </w:rPr>
      </w:pPr>
      <w:r w:rsidRPr="00C526C6">
        <w:t>*</w:t>
      </w:r>
      <w:r w:rsidRPr="00D04006">
        <w:rPr>
          <w:b/>
        </w:rPr>
        <w:t>Corresponding author:</w:t>
      </w:r>
      <w:r w:rsidRPr="00D04006">
        <w:t xml:space="preserve"> </w:t>
      </w:r>
      <w:proofErr w:type="spellStart"/>
      <w:r w:rsidRPr="00D04006">
        <w:t>Rubhana</w:t>
      </w:r>
      <w:proofErr w:type="spellEnd"/>
      <w:r w:rsidRPr="00D04006">
        <w:t xml:space="preserve"> </w:t>
      </w:r>
      <w:proofErr w:type="spellStart"/>
      <w:r w:rsidRPr="00D04006">
        <w:t>Raqib</w:t>
      </w:r>
      <w:proofErr w:type="spellEnd"/>
      <w:r w:rsidRPr="00D04006">
        <w:t xml:space="preserve">, </w:t>
      </w:r>
      <w:proofErr w:type="spellStart"/>
      <w:r>
        <w:rPr>
          <w:shd w:val="clear" w:color="auto" w:fill="FFFFFF"/>
        </w:rPr>
        <w:t>Immunobiology</w:t>
      </w:r>
      <w:proofErr w:type="spellEnd"/>
      <w:r>
        <w:rPr>
          <w:shd w:val="clear" w:color="auto" w:fill="FFFFFF"/>
        </w:rPr>
        <w:t xml:space="preserve">, </w:t>
      </w:r>
      <w:r w:rsidRPr="00BB5E37">
        <w:rPr>
          <w:shd w:val="clear" w:color="auto" w:fill="FFFFFF"/>
        </w:rPr>
        <w:t>Nutrition and Toxicology Laboratory</w:t>
      </w:r>
      <w:r w:rsidRPr="00D04006">
        <w:t xml:space="preserve">, </w:t>
      </w:r>
      <w:r w:rsidRPr="00BB5E37">
        <w:rPr>
          <w:shd w:val="clear" w:color="auto" w:fill="FFFFFF"/>
        </w:rPr>
        <w:t>Infectious Diseases Division</w:t>
      </w:r>
      <w:r w:rsidRPr="00D04006">
        <w:t xml:space="preserve">, International Centre for </w:t>
      </w:r>
      <w:proofErr w:type="spellStart"/>
      <w:r w:rsidRPr="00D04006">
        <w:t>Diarrh</w:t>
      </w:r>
      <w:r>
        <w:t>o</w:t>
      </w:r>
      <w:r w:rsidRPr="00D04006">
        <w:t>eal</w:t>
      </w:r>
      <w:proofErr w:type="spellEnd"/>
      <w:r w:rsidRPr="00D04006">
        <w:t xml:space="preserve"> Disease Research, Bangladesh (</w:t>
      </w:r>
      <w:proofErr w:type="spellStart"/>
      <w:r w:rsidRPr="00D04006">
        <w:t>icddr</w:t>
      </w:r>
      <w:proofErr w:type="gramStart"/>
      <w:r w:rsidRPr="00D04006">
        <w:t>,b</w:t>
      </w:r>
      <w:proofErr w:type="spellEnd"/>
      <w:proofErr w:type="gramEnd"/>
      <w:r w:rsidRPr="00D04006">
        <w:t xml:space="preserve">), </w:t>
      </w:r>
      <w:proofErr w:type="spellStart"/>
      <w:r w:rsidRPr="00D04006">
        <w:t>Mohakhali</w:t>
      </w:r>
      <w:proofErr w:type="spellEnd"/>
      <w:r w:rsidRPr="00D04006">
        <w:t xml:space="preserve">, Dhaka-1212, Bangladesh. </w:t>
      </w:r>
      <w:r w:rsidRPr="00D04006">
        <w:rPr>
          <w:bCs/>
        </w:rPr>
        <w:t>Tel.: +880-2-9827068;</w:t>
      </w:r>
      <w:r w:rsidRPr="00D04006">
        <w:t xml:space="preserve"> </w:t>
      </w:r>
      <w:r w:rsidRPr="00D04006">
        <w:rPr>
          <w:bCs/>
        </w:rPr>
        <w:t>Fax: +880-28812529.</w:t>
      </w:r>
    </w:p>
    <w:p w:rsidR="0074197A" w:rsidRPr="00D04006" w:rsidRDefault="0074197A" w:rsidP="0074197A">
      <w:pPr>
        <w:spacing w:line="360" w:lineRule="auto"/>
        <w:ind w:right="-320"/>
        <w:jc w:val="both"/>
      </w:pPr>
      <w:r w:rsidRPr="00B52C9F">
        <w:rPr>
          <w:b/>
        </w:rPr>
        <w:t xml:space="preserve"> E-mail address:</w:t>
      </w:r>
      <w:r w:rsidRPr="00D04006">
        <w:t xml:space="preserve">  </w:t>
      </w:r>
      <w:hyperlink r:id="rId4" w:history="1">
        <w:r w:rsidRPr="00D04006">
          <w:rPr>
            <w:rStyle w:val="Hyperlink"/>
          </w:rPr>
          <w:t>rubhana@icddrb.org</w:t>
        </w:r>
      </w:hyperlink>
      <w:r>
        <w:t xml:space="preserve"> </w:t>
      </w:r>
    </w:p>
    <w:p w:rsidR="0074197A" w:rsidRDefault="0074197A" w:rsidP="0074197A">
      <w:pPr>
        <w:spacing w:line="360" w:lineRule="auto"/>
        <w:ind w:right="-317"/>
        <w:jc w:val="both"/>
        <w:rPr>
          <w:b/>
          <w:bCs/>
        </w:rPr>
      </w:pPr>
    </w:p>
    <w:p w:rsidR="0074197A" w:rsidRPr="00C03D2E" w:rsidRDefault="0074197A" w:rsidP="0074197A">
      <w:pPr>
        <w:spacing w:line="360" w:lineRule="auto"/>
        <w:ind w:right="-317"/>
        <w:jc w:val="both"/>
        <w:rPr>
          <w:b/>
          <w:bCs/>
        </w:rPr>
      </w:pPr>
      <w:r w:rsidRPr="00C03D2E">
        <w:rPr>
          <w:b/>
          <w:bCs/>
        </w:rPr>
        <w:t xml:space="preserve">Trial Registration: </w:t>
      </w:r>
    </w:p>
    <w:p w:rsidR="007A5508" w:rsidRDefault="0074197A" w:rsidP="007A5508">
      <w:pPr>
        <w:spacing w:line="360" w:lineRule="auto"/>
        <w:ind w:right="-317"/>
        <w:jc w:val="both"/>
      </w:pPr>
      <w:r w:rsidRPr="00C03D2E">
        <w:t>ClinicalTrials.gov (NCT01126528).</w:t>
      </w:r>
    </w:p>
    <w:p w:rsidR="007A5508" w:rsidRDefault="007A5508" w:rsidP="007A5508"/>
    <w:p w:rsidR="007A5508" w:rsidRDefault="007A5508" w:rsidP="00C42DE2">
      <w:pPr>
        <w:rPr>
          <w:b/>
        </w:rPr>
      </w:pPr>
    </w:p>
    <w:p w:rsidR="007A5508" w:rsidRDefault="007A5508" w:rsidP="00C42DE2">
      <w:pPr>
        <w:rPr>
          <w:b/>
        </w:rPr>
      </w:pPr>
    </w:p>
    <w:p w:rsidR="007A5508" w:rsidRDefault="007A5508" w:rsidP="00C42DE2">
      <w:pPr>
        <w:rPr>
          <w:b/>
        </w:rPr>
      </w:pPr>
    </w:p>
    <w:p w:rsidR="007A5508" w:rsidRDefault="007A5508" w:rsidP="00C42DE2">
      <w:pPr>
        <w:rPr>
          <w:b/>
        </w:rPr>
      </w:pPr>
    </w:p>
    <w:p w:rsidR="007A5508" w:rsidRDefault="007A5508" w:rsidP="00C42DE2">
      <w:pPr>
        <w:rPr>
          <w:b/>
        </w:rPr>
      </w:pPr>
    </w:p>
    <w:p w:rsidR="007A5508" w:rsidRDefault="007A5508" w:rsidP="00C42DE2">
      <w:pPr>
        <w:rPr>
          <w:b/>
        </w:rPr>
      </w:pPr>
    </w:p>
    <w:p w:rsidR="007A5508" w:rsidRDefault="007A5508" w:rsidP="00C42DE2">
      <w:pPr>
        <w:rPr>
          <w:b/>
        </w:rPr>
      </w:pPr>
    </w:p>
    <w:p w:rsidR="003865BB" w:rsidRDefault="003865BB" w:rsidP="00C42DE2">
      <w:pPr>
        <w:rPr>
          <w:b/>
        </w:rPr>
      </w:pPr>
    </w:p>
    <w:p w:rsidR="00C42DE2" w:rsidRPr="00F77264" w:rsidRDefault="00C42DE2" w:rsidP="00C42DE2">
      <w:r w:rsidRPr="00C42DE2">
        <w:rPr>
          <w:b/>
        </w:rPr>
        <w:lastRenderedPageBreak/>
        <w:t>Table S1</w:t>
      </w:r>
      <w:r w:rsidRPr="00F77264">
        <w:t xml:space="preserve"> Demographic characteristics of the study participants.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4"/>
        <w:gridCol w:w="1908"/>
        <w:gridCol w:w="1788"/>
        <w:gridCol w:w="1788"/>
      </w:tblGrid>
      <w:tr w:rsidR="00C42DE2" w:rsidRPr="00F77264" w:rsidTr="00DD443D"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</w:pPr>
            <w:r w:rsidRPr="00F77264">
              <w:t>Variables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Original cohort</w:t>
            </w:r>
          </w:p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(n=160)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Study cohort</w:t>
            </w:r>
          </w:p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(n=80)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PCR Array cohort (n=12)</w:t>
            </w:r>
          </w:p>
        </w:tc>
      </w:tr>
      <w:tr w:rsidR="00C42DE2" w:rsidRPr="00F77264" w:rsidTr="00DD443D"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</w:pPr>
            <w:r w:rsidRPr="00F77264">
              <w:t>Variables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Mean ± SD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Mean ± SD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Mean ± SD</w:t>
            </w:r>
          </w:p>
        </w:tc>
      </w:tr>
      <w:tr w:rsidR="00C42DE2" w:rsidRPr="00F77264" w:rsidTr="00DD443D"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</w:pPr>
            <w:r w:rsidRPr="00F77264">
              <w:t>Maternal Age, years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22.43±3.51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22.64±2.61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20.92±2.70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</w:pPr>
            <w:r w:rsidRPr="00F77264">
              <w:t>Gestational age at birth, week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38.37±2.53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39.27±2.48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40.08±2.24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</w:pPr>
            <w:r w:rsidRPr="00F77264">
              <w:t>Delivery Mode n (%)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right"/>
            </w:pPr>
            <w:r w:rsidRPr="00F77264">
              <w:t>Vaginal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59 (40.0%)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25 (31.3%)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1 (0.0%)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right"/>
            </w:pPr>
            <w:r w:rsidRPr="00F77264">
              <w:t>C-section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88 (60.0%)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28 (68.8%)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11 (100.0%)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</w:pPr>
            <w:r w:rsidRPr="00F77264">
              <w:t>Birth weight, gm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2941.88±1121.53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2865.37±444.94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2880.67±478.71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</w:pPr>
            <w:r w:rsidRPr="00F77264">
              <w:t>Male</w:t>
            </w:r>
            <w:r>
              <w:t xml:space="preserve"> </w:t>
            </w:r>
            <w:r w:rsidRPr="00F77264">
              <w:t>:</w:t>
            </w:r>
            <w:r>
              <w:t xml:space="preserve"> </w:t>
            </w:r>
            <w:r w:rsidRPr="00F77264">
              <w:t>female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70:77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34:56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5:7</w:t>
            </w:r>
          </w:p>
        </w:tc>
      </w:tr>
      <w:tr w:rsidR="00C42DE2" w:rsidRPr="00F77264" w:rsidTr="00DD443D"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</w:pPr>
            <w:r w:rsidRPr="00F77264">
              <w:t>Level of education, n (%)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>No education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15 (9.4%)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8 (10.0%)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1 (8.3%)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 xml:space="preserve">Primary school incomplete (&lt;8 </w:t>
            </w:r>
            <w:proofErr w:type="spellStart"/>
            <w:r w:rsidRPr="00F77264">
              <w:rPr>
                <w:rFonts w:eastAsiaTheme="minorHAnsi"/>
              </w:rPr>
              <w:t>yrs</w:t>
            </w:r>
            <w:proofErr w:type="spellEnd"/>
            <w:r w:rsidRPr="00F77264">
              <w:rPr>
                <w:rFonts w:eastAsiaTheme="minorHAnsi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88 (55.0%)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44 (55.0%)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9 (75.0%)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 xml:space="preserve">High school incomplete (&gt; = 8 to &lt;12 </w:t>
            </w:r>
            <w:proofErr w:type="spellStart"/>
            <w:r w:rsidRPr="00F77264">
              <w:rPr>
                <w:rFonts w:eastAsiaTheme="minorHAnsi"/>
              </w:rPr>
              <w:t>yrs</w:t>
            </w:r>
            <w:proofErr w:type="spellEnd"/>
            <w:r w:rsidRPr="00F77264">
              <w:rPr>
                <w:rFonts w:eastAsiaTheme="minorHAnsi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48 (30.0%)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25 (28.7%)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2 (16.7%)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 xml:space="preserve">Graduate school (&gt; = 12 </w:t>
            </w:r>
            <w:proofErr w:type="spellStart"/>
            <w:r w:rsidRPr="00F77264">
              <w:rPr>
                <w:rFonts w:eastAsiaTheme="minorHAnsi"/>
              </w:rPr>
              <w:t>yrs</w:t>
            </w:r>
            <w:proofErr w:type="spellEnd"/>
            <w:r w:rsidRPr="00F77264">
              <w:rPr>
                <w:rFonts w:eastAsiaTheme="minorHAnsi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9 (5.6%)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4 (6.3%)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0</w:t>
            </w:r>
          </w:p>
        </w:tc>
      </w:tr>
      <w:tr w:rsidR="00C42DE2" w:rsidRPr="00F77264" w:rsidTr="00DD443D"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 xml:space="preserve">Primary Occupation, </w:t>
            </w:r>
            <w:r w:rsidRPr="00F77264">
              <w:t>n (%)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>Homemaker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141 (88.1%)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69 (86.3%)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11 (91.7%</w:t>
            </w:r>
            <w:r>
              <w:t>)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>Others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19 (11.9%)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11 (13.7%)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1 (8.3%)</w:t>
            </w:r>
          </w:p>
        </w:tc>
      </w:tr>
      <w:tr w:rsidR="00C42DE2" w:rsidRPr="00F77264" w:rsidTr="00DD443D"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 xml:space="preserve">Floor material of house, </w:t>
            </w:r>
            <w:r w:rsidRPr="00F77264">
              <w:t>n (%)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>Earth or bamboo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10 (6.3%)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2 (2.5%)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0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>Wood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4 (2.5%)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1 (1.3%)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0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lastRenderedPageBreak/>
              <w:t>Cement or concrete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146 (91.3%)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77 (96.3%)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12 (100.0%)</w:t>
            </w:r>
          </w:p>
        </w:tc>
      </w:tr>
      <w:tr w:rsidR="00C42DE2" w:rsidRPr="00F77264" w:rsidTr="00DD443D"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 xml:space="preserve">Wall material of house, </w:t>
            </w:r>
            <w:r w:rsidRPr="00F77264">
              <w:t>n (%)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>Earth or bamboo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6 (3.8%)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5 (6.3%)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1 (8.3%)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>Tin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38 (23.8%)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15 (18.8%)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2 (16.7%)</w:t>
            </w:r>
          </w:p>
        </w:tc>
      </w:tr>
      <w:tr w:rsidR="00C42DE2" w:rsidRPr="00F77264" w:rsidTr="00DD443D"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/>
              </w:rPr>
            </w:pPr>
            <w:r w:rsidRPr="00F77264">
              <w:rPr>
                <w:rFonts w:eastAsiaTheme="minorHAnsi"/>
              </w:rPr>
              <w:t>Cement or concrete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116 (72.5%)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  <w:rPr>
                <w:rFonts w:eastAsia="Times New Roman"/>
              </w:rPr>
            </w:pPr>
            <w:r w:rsidRPr="00F77264">
              <w:rPr>
                <w:rFonts w:eastAsia="Times New Roman"/>
              </w:rPr>
              <w:t>60 (75.0%)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DE2" w:rsidRPr="00F77264" w:rsidRDefault="00C42DE2" w:rsidP="00C42DE2">
            <w:pPr>
              <w:spacing w:line="480" w:lineRule="auto"/>
              <w:jc w:val="center"/>
            </w:pPr>
            <w:r w:rsidRPr="00F77264">
              <w:t>9 (75.0%)</w:t>
            </w:r>
          </w:p>
        </w:tc>
      </w:tr>
    </w:tbl>
    <w:p w:rsidR="00C42DE2" w:rsidRPr="00F77264" w:rsidRDefault="00C42DE2" w:rsidP="00C42DE2"/>
    <w:p w:rsidR="00C42DE2" w:rsidRPr="00F77264" w:rsidRDefault="00C42DE2" w:rsidP="00C42DE2">
      <w:pPr>
        <w:spacing w:line="480" w:lineRule="auto"/>
      </w:pPr>
      <w:r w:rsidRPr="00F77264">
        <w:t>Note: Data expressed as means ± standard deviations and or number with percentage in parentheses.</w:t>
      </w:r>
    </w:p>
    <w:p w:rsidR="00C42DE2" w:rsidRPr="00F77264" w:rsidRDefault="00C42DE2" w:rsidP="00C42DE2">
      <w:pPr>
        <w:spacing w:line="480" w:lineRule="auto"/>
      </w:pPr>
      <w:proofErr w:type="spellStart"/>
      <w:proofErr w:type="gramStart"/>
      <w:r w:rsidRPr="00F77264">
        <w:rPr>
          <w:vertAlign w:val="superscript"/>
        </w:rPr>
        <w:t>a</w:t>
      </w:r>
      <w:r w:rsidRPr="00F77264">
        <w:t>Student’s</w:t>
      </w:r>
      <w:proofErr w:type="spellEnd"/>
      <w:proofErr w:type="gramEnd"/>
      <w:r w:rsidRPr="00F77264">
        <w:t xml:space="preserve"> t test was used for calculating p values for maternal Age, Gestational age at birth and birth weight.</w:t>
      </w:r>
    </w:p>
    <w:p w:rsidR="00C42DE2" w:rsidRPr="00F77264" w:rsidRDefault="00C42DE2" w:rsidP="00C42DE2">
      <w:pPr>
        <w:spacing w:line="480" w:lineRule="auto"/>
      </w:pPr>
      <w:proofErr w:type="spellStart"/>
      <w:proofErr w:type="gramStart"/>
      <w:r w:rsidRPr="00F77264">
        <w:rPr>
          <w:vertAlign w:val="superscript"/>
        </w:rPr>
        <w:t>b</w:t>
      </w:r>
      <w:r w:rsidRPr="00F77264">
        <w:t>P</w:t>
      </w:r>
      <w:proofErr w:type="spellEnd"/>
      <w:proofErr w:type="gramEnd"/>
      <w:r w:rsidRPr="00F77264">
        <w:t xml:space="preserve"> values were calculated for delivery mode between two supplementation using χ</w:t>
      </w:r>
      <w:r w:rsidRPr="00F77264">
        <w:rPr>
          <w:vertAlign w:val="superscript"/>
        </w:rPr>
        <w:t>2</w:t>
      </w:r>
      <w:r w:rsidRPr="00F77264">
        <w:t>test.</w:t>
      </w:r>
    </w:p>
    <w:p w:rsidR="00C42DE2" w:rsidRPr="00F77264" w:rsidRDefault="00C42DE2" w:rsidP="00C42DE2">
      <w:pPr>
        <w:spacing w:line="480" w:lineRule="auto"/>
      </w:pPr>
      <w:proofErr w:type="spellStart"/>
      <w:proofErr w:type="gramStart"/>
      <w:r w:rsidRPr="00F77264">
        <w:rPr>
          <w:vertAlign w:val="superscript"/>
        </w:rPr>
        <w:t>c</w:t>
      </w:r>
      <w:r w:rsidRPr="00F77264">
        <w:t>Fisher</w:t>
      </w:r>
      <w:proofErr w:type="spellEnd"/>
      <w:proofErr w:type="gramEnd"/>
      <w:r w:rsidRPr="00F77264">
        <w:t xml:space="preserve"> Exact test was applied for comparisons between the two group.</w:t>
      </w:r>
    </w:p>
    <w:p w:rsidR="00C42DE2" w:rsidRDefault="00C42DE2" w:rsidP="00210A20">
      <w:pPr>
        <w:spacing w:line="480" w:lineRule="auto"/>
        <w:rPr>
          <w:b/>
        </w:rPr>
      </w:pPr>
    </w:p>
    <w:p w:rsidR="00C42DE2" w:rsidRDefault="00C42DE2" w:rsidP="00210A20">
      <w:pPr>
        <w:spacing w:line="480" w:lineRule="auto"/>
        <w:rPr>
          <w:b/>
        </w:rPr>
      </w:pPr>
    </w:p>
    <w:p w:rsidR="00C42DE2" w:rsidRDefault="00C42DE2" w:rsidP="00210A20">
      <w:pPr>
        <w:spacing w:line="480" w:lineRule="auto"/>
        <w:rPr>
          <w:b/>
        </w:rPr>
      </w:pPr>
    </w:p>
    <w:p w:rsidR="00C42DE2" w:rsidRDefault="00C42DE2" w:rsidP="00210A20">
      <w:pPr>
        <w:spacing w:line="480" w:lineRule="auto"/>
        <w:rPr>
          <w:b/>
        </w:rPr>
      </w:pPr>
    </w:p>
    <w:p w:rsidR="00C42DE2" w:rsidRDefault="00C42DE2" w:rsidP="00210A20">
      <w:pPr>
        <w:spacing w:line="480" w:lineRule="auto"/>
        <w:rPr>
          <w:b/>
        </w:rPr>
      </w:pPr>
    </w:p>
    <w:p w:rsidR="00C42DE2" w:rsidRDefault="00C42DE2" w:rsidP="00210A20">
      <w:pPr>
        <w:spacing w:line="480" w:lineRule="auto"/>
        <w:rPr>
          <w:b/>
        </w:rPr>
      </w:pPr>
    </w:p>
    <w:p w:rsidR="00C42DE2" w:rsidRDefault="00C42DE2" w:rsidP="00210A20">
      <w:pPr>
        <w:spacing w:line="480" w:lineRule="auto"/>
        <w:rPr>
          <w:b/>
        </w:rPr>
      </w:pPr>
    </w:p>
    <w:p w:rsidR="00C42DE2" w:rsidRDefault="00C42DE2" w:rsidP="00210A20">
      <w:pPr>
        <w:spacing w:line="480" w:lineRule="auto"/>
        <w:rPr>
          <w:b/>
        </w:rPr>
      </w:pPr>
    </w:p>
    <w:p w:rsidR="00C42DE2" w:rsidRDefault="00C42DE2" w:rsidP="00210A20">
      <w:pPr>
        <w:spacing w:line="480" w:lineRule="auto"/>
        <w:rPr>
          <w:b/>
        </w:rPr>
      </w:pPr>
    </w:p>
    <w:p w:rsidR="00C42DE2" w:rsidRDefault="00C42DE2" w:rsidP="00210A20">
      <w:pPr>
        <w:spacing w:line="480" w:lineRule="auto"/>
        <w:rPr>
          <w:b/>
        </w:rPr>
      </w:pPr>
    </w:p>
    <w:p w:rsidR="00C42DE2" w:rsidRDefault="00C42DE2" w:rsidP="00210A20">
      <w:pPr>
        <w:spacing w:line="480" w:lineRule="auto"/>
        <w:rPr>
          <w:b/>
        </w:rPr>
      </w:pPr>
    </w:p>
    <w:p w:rsidR="00C42DE2" w:rsidRDefault="00C42DE2" w:rsidP="00210A20">
      <w:pPr>
        <w:spacing w:line="480" w:lineRule="auto"/>
        <w:rPr>
          <w:b/>
        </w:rPr>
      </w:pPr>
    </w:p>
    <w:p w:rsidR="00C42DE2" w:rsidRPr="00A47CDF" w:rsidRDefault="00C42DE2" w:rsidP="00C42DE2">
      <w:r w:rsidRPr="00E61B96">
        <w:rPr>
          <w:b/>
        </w:rPr>
        <w:lastRenderedPageBreak/>
        <w:t>Table S2</w:t>
      </w:r>
      <w:r>
        <w:t xml:space="preserve"> Reasons</w:t>
      </w:r>
      <w:r w:rsidRPr="00A47CDF">
        <w:t xml:space="preserve"> for C-section</w:t>
      </w:r>
      <w:r>
        <w:t xml:space="preserve"> deliveries of the participants included in the present and original cohort </w:t>
      </w:r>
      <w:r>
        <w:fldChar w:fldCharType="begin"/>
      </w:r>
      <w:r>
        <w:instrText xml:space="preserve"> ADDIN EN.CITE &lt;EndNote&gt;&lt;Cite&gt;&lt;Author&gt;Roth&lt;/Author&gt;&lt;Year&gt;2013&lt;/Year&gt;&lt;RecNum&gt;20&lt;/RecNum&gt;&lt;DisplayText&gt;[1]&lt;/DisplayText&gt;&lt;record&gt;&lt;rec-number&gt;20&lt;/rec-number&gt;&lt;foreign-keys&gt;&lt;key app="EN" db-id="0z9t90frmddtwoeezxl5t0adexxpddxz9da2"&gt;20&lt;/key&gt;&lt;/foreign-keys&gt;&lt;ref-type name="Journal Article"&gt;17&lt;/ref-type&gt;&lt;contributors&gt;&lt;authors&gt;&lt;author&gt;Roth, D. E.&lt;/author&gt;&lt;author&gt;Al Mahmud, A.&lt;/author&gt;&lt;author&gt;Raqib, R.&lt;/author&gt;&lt;author&gt;Akhtar, E.&lt;/author&gt;&lt;author&gt;Perumal, N.&lt;/author&gt;&lt;author&gt;Pezzack, B.&lt;/author&gt;&lt;author&gt;Baqui, A. H.&lt;/author&gt;&lt;/authors&gt;&lt;/contributors&gt;&lt;titles&gt;&lt;title&gt;Randomized placebo-controlled trial of high-dose prenatal third-trimester vitamin D3 supplementation in Bangladesh: the AViDD trial&lt;/title&gt;&lt;secondary-title&gt;Nutr J&lt;/secondary-title&gt;&lt;/titles&gt;&lt;pages&gt;47&lt;/pages&gt;&lt;volume&gt;12&lt;/volume&gt;&lt;number&gt;1&lt;/number&gt;&lt;edition&gt;2013/04/17&lt;/edition&gt;&lt;dates&gt;&lt;year&gt;2013&lt;/year&gt;&lt;pub-dates&gt;&lt;date&gt;Apr 12&lt;/date&gt;&lt;/pub-dates&gt;&lt;/dates&gt;&lt;isbn&gt;1475-2891 (Electronic)&amp;#xD;1475-2891 (Linking)&lt;/isbn&gt;&lt;accession-num&gt;23587190&lt;/accession-num&gt;&lt;urls&gt;&lt;related-urls&gt;&lt;url&gt;http://www.ncbi.nlm.nih.gov/entrez/query.fcgi?cmd=Retrieve&amp;amp;db=PubMed&amp;amp;dopt=Citation&amp;amp;list_uids=23587190&lt;/url&gt;&lt;/related-urls&gt;&lt;/urls&gt;&lt;electronic-resource-num&gt;1475-2891-12-47 [pii]&amp;#xD;10.1186/1475-2891-12-47&lt;/electronic-resource-num&gt;&lt;language&gt;Eng&lt;/language&gt;&lt;/record&gt;&lt;/Cite&gt;&lt;/EndNote&gt;</w:instrText>
      </w:r>
      <w:r>
        <w:fldChar w:fldCharType="separate"/>
      </w:r>
      <w:r>
        <w:rPr>
          <w:noProof/>
        </w:rPr>
        <w:t>[</w:t>
      </w:r>
      <w:hyperlink w:anchor="_ENREF_1" w:tooltip="Roth, 2013 #20" w:history="1">
        <w:r>
          <w:rPr>
            <w:noProof/>
          </w:rPr>
          <w:t>1</w:t>
        </w:r>
      </w:hyperlink>
      <w:r>
        <w:rPr>
          <w:noProof/>
        </w:rPr>
        <w:t>]</w:t>
      </w:r>
      <w:r>
        <w:fldChar w:fldCharType="end"/>
      </w:r>
    </w:p>
    <w:tbl>
      <w:tblPr>
        <w:tblW w:w="909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5"/>
        <w:gridCol w:w="2070"/>
        <w:gridCol w:w="2255"/>
      </w:tblGrid>
      <w:tr w:rsidR="00C42DE2" w:rsidRPr="00CC2EF8" w:rsidTr="00C42DE2">
        <w:trPr>
          <w:cantSplit/>
        </w:trPr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</w:pPr>
            <w:r>
              <w:t>Reason for C-section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>
              <w:t>Study Cohort (n=55)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 w:rsidRPr="00C42DE2">
              <w:t>Original cohort</w:t>
            </w:r>
            <w:r>
              <w:t xml:space="preserve"> </w:t>
            </w:r>
            <w:r>
              <w:fldChar w:fldCharType="begin"/>
            </w:r>
            <w:r>
              <w:instrText xml:space="preserve"> ADDIN EN.CITE &lt;EndNote&gt;&lt;Cite&gt;&lt;Author&gt;Roth&lt;/Author&gt;&lt;Year&gt;2013&lt;/Year&gt;&lt;RecNum&gt;20&lt;/RecNum&gt;&lt;DisplayText&gt;[1]&lt;/DisplayText&gt;&lt;record&gt;&lt;rec-number&gt;20&lt;/rec-number&gt;&lt;foreign-keys&gt;&lt;key app="EN" db-id="0z9t90frmddtwoeezxl5t0adexxpddxz9da2"&gt;20&lt;/key&gt;&lt;/foreign-keys&gt;&lt;ref-type name="Journal Article"&gt;17&lt;/ref-type&gt;&lt;contributors&gt;&lt;authors&gt;&lt;author&gt;Roth, D. E.&lt;/author&gt;&lt;author&gt;Al Mahmud, A.&lt;/author&gt;&lt;author&gt;Raqib, R.&lt;/author&gt;&lt;author&gt;Akhtar, E.&lt;/author&gt;&lt;author&gt;Perumal, N.&lt;/author&gt;&lt;author&gt;Pezzack, B.&lt;/author&gt;&lt;author&gt;Baqui, A. H.&lt;/author&gt;&lt;/authors&gt;&lt;/contributors&gt;&lt;titles&gt;&lt;title&gt;Randomized placebo-controlled trial of high-dose prenatal third-trimester vitamin D3 supplementation in Bangladesh: the AViDD trial&lt;/title&gt;&lt;secondary-title&gt;Nutr J&lt;/secondary-title&gt;&lt;/titles&gt;&lt;pages&gt;47&lt;/pages&gt;&lt;volume&gt;12&lt;/volume&gt;&lt;number&gt;1&lt;/number&gt;&lt;edition&gt;2013/04/17&lt;/edition&gt;&lt;dates&gt;&lt;year&gt;2013&lt;/year&gt;&lt;pub-dates&gt;&lt;date&gt;Apr 12&lt;/date&gt;&lt;/pub-dates&gt;&lt;/dates&gt;&lt;isbn&gt;1475-2891 (Electronic)&amp;#xD;1475-2891 (Linking)&lt;/isbn&gt;&lt;accession-num&gt;23587190&lt;/accession-num&gt;&lt;urls&gt;&lt;related-urls&gt;&lt;url&gt;http://www.ncbi.nlm.nih.gov/entrez/query.fcgi?cmd=Retrieve&amp;amp;db=PubMed&amp;amp;dopt=Citation&amp;amp;list_uids=23587190&lt;/url&gt;&lt;/related-urls&gt;&lt;/urls&gt;&lt;electronic-resource-num&gt;1475-2891-12-47 [pii]&amp;#xD;10.1186/1475-2891-12-47&lt;/electronic-resource-num&gt;&lt;language&gt;Eng&lt;/language&gt;&lt;/record&gt;&lt;/Cite&gt;&lt;/EndNote&gt;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Roth, 2013 #20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  <w:r>
              <w:t xml:space="preserve"> (n=88)</w:t>
            </w:r>
          </w:p>
        </w:tc>
      </w:tr>
      <w:tr w:rsidR="00C42DE2" w:rsidRPr="00CC2EF8" w:rsidTr="00C42DE2">
        <w:trPr>
          <w:cantSplit/>
        </w:trPr>
        <w:tc>
          <w:tcPr>
            <w:tcW w:w="4765" w:type="dxa"/>
            <w:tcBorders>
              <w:top w:val="single" w:sz="4" w:space="0" w:color="auto"/>
            </w:tcBorders>
            <w:shd w:val="clear" w:color="auto" w:fill="FFFFFF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58" w:right="58"/>
            </w:pPr>
            <w:r w:rsidRPr="005C58F3">
              <w:rPr>
                <w:vertAlign w:val="superscript"/>
              </w:rPr>
              <w:t>1</w:t>
            </w:r>
            <w:r w:rsidRPr="00CC2EF8">
              <w:t>Fetal distress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>
              <w:t>30 (54.55</w:t>
            </w:r>
            <w:r w:rsidRPr="00CC2EF8">
              <w:t>%</w:t>
            </w:r>
            <w:r>
              <w:t>)</w:t>
            </w:r>
          </w:p>
        </w:tc>
        <w:tc>
          <w:tcPr>
            <w:tcW w:w="22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>
              <w:t>48 (54.55%)</w:t>
            </w:r>
          </w:p>
        </w:tc>
      </w:tr>
      <w:tr w:rsidR="00C42DE2" w:rsidRPr="00CC2EF8" w:rsidTr="00C42DE2">
        <w:trPr>
          <w:cantSplit/>
        </w:trPr>
        <w:tc>
          <w:tcPr>
            <w:tcW w:w="4765" w:type="dxa"/>
            <w:shd w:val="clear" w:color="auto" w:fill="FFFFFF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</w:pPr>
            <w:proofErr w:type="spellStart"/>
            <w:r>
              <w:t>Oligohydra</w:t>
            </w:r>
            <w:r w:rsidRPr="00CC2EF8">
              <w:t>m</w:t>
            </w:r>
            <w:r>
              <w:t>nio</w:t>
            </w:r>
            <w:r w:rsidRPr="00CC2EF8">
              <w:t>s</w:t>
            </w:r>
            <w:proofErr w:type="spellEnd"/>
          </w:p>
        </w:tc>
        <w:tc>
          <w:tcPr>
            <w:tcW w:w="2070" w:type="dxa"/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>
              <w:t>8 (14.55%)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>
              <w:t>11 (12.50%)</w:t>
            </w:r>
          </w:p>
        </w:tc>
      </w:tr>
      <w:tr w:rsidR="00C42DE2" w:rsidRPr="00CC2EF8" w:rsidTr="00C42DE2">
        <w:trPr>
          <w:cantSplit/>
        </w:trPr>
        <w:tc>
          <w:tcPr>
            <w:tcW w:w="4765" w:type="dxa"/>
            <w:shd w:val="clear" w:color="auto" w:fill="FFFFFF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</w:pPr>
            <w:r>
              <w:t>P</w:t>
            </w:r>
            <w:r w:rsidRPr="00B301EF">
              <w:t>ost</w:t>
            </w:r>
            <w:r>
              <w:t xml:space="preserve"> </w:t>
            </w:r>
            <w:r w:rsidRPr="00B301EF">
              <w:t>term pregnancy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 w:rsidRPr="00CC2EF8">
              <w:t>2</w:t>
            </w:r>
            <w:r>
              <w:t xml:space="preserve"> (</w:t>
            </w:r>
            <w:r w:rsidRPr="00CC2EF8">
              <w:t>3.6</w:t>
            </w:r>
            <w:r>
              <w:t>4</w:t>
            </w:r>
            <w:r w:rsidRPr="00CC2EF8">
              <w:t>%</w:t>
            </w:r>
            <w:r>
              <w:t>)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 w:rsidRPr="00CC2EF8">
              <w:t>2</w:t>
            </w:r>
            <w:r>
              <w:t xml:space="preserve"> (2.27%)</w:t>
            </w:r>
          </w:p>
        </w:tc>
      </w:tr>
      <w:tr w:rsidR="00C42DE2" w:rsidRPr="00CC2EF8" w:rsidTr="00C42DE2">
        <w:trPr>
          <w:cantSplit/>
        </w:trPr>
        <w:tc>
          <w:tcPr>
            <w:tcW w:w="4765" w:type="dxa"/>
            <w:shd w:val="clear" w:color="auto" w:fill="FFFFFF"/>
          </w:tcPr>
          <w:p w:rsidR="00C42DE2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</w:pPr>
            <w:r>
              <w:t>Elective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>
              <w:t>3 (5.45%)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>
              <w:t>5 (5.68%)</w:t>
            </w:r>
          </w:p>
        </w:tc>
      </w:tr>
      <w:tr w:rsidR="00C42DE2" w:rsidRPr="00CC2EF8" w:rsidTr="00C42DE2">
        <w:trPr>
          <w:cantSplit/>
        </w:trPr>
        <w:tc>
          <w:tcPr>
            <w:tcW w:w="4765" w:type="dxa"/>
            <w:shd w:val="clear" w:color="auto" w:fill="FFFFFF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</w:pPr>
            <w:r w:rsidRPr="00CC2EF8">
              <w:t xml:space="preserve">Previous </w:t>
            </w:r>
            <w:r>
              <w:t>history of C-section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 w:rsidRPr="00CC2EF8">
              <w:t>6</w:t>
            </w:r>
            <w:r>
              <w:t xml:space="preserve"> (</w:t>
            </w:r>
            <w:r w:rsidRPr="00CC2EF8">
              <w:t>10.9</w:t>
            </w:r>
            <w:r>
              <w:t>1</w:t>
            </w:r>
            <w:r w:rsidRPr="00CC2EF8">
              <w:t>%</w:t>
            </w:r>
            <w:r>
              <w:t>)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 w:rsidRPr="00CC2EF8">
              <w:t>11</w:t>
            </w:r>
            <w:r>
              <w:t xml:space="preserve"> (12.50%)</w:t>
            </w:r>
          </w:p>
        </w:tc>
      </w:tr>
      <w:tr w:rsidR="00C42DE2" w:rsidRPr="00CC2EF8" w:rsidTr="00C42DE2">
        <w:trPr>
          <w:cantSplit/>
        </w:trPr>
        <w:tc>
          <w:tcPr>
            <w:tcW w:w="4765" w:type="dxa"/>
            <w:shd w:val="clear" w:color="auto" w:fill="FFFFFF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58" w:right="58"/>
            </w:pPr>
            <w:r w:rsidRPr="005C58F3">
              <w:rPr>
                <w:vertAlign w:val="superscript"/>
              </w:rPr>
              <w:t>2</w:t>
            </w:r>
            <w:r>
              <w:t xml:space="preserve">Others 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>
              <w:t>4 (7.27%)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C42DE2" w:rsidRPr="00CC2EF8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>
              <w:t>7 (7.95%)</w:t>
            </w:r>
          </w:p>
        </w:tc>
      </w:tr>
      <w:tr w:rsidR="00C42DE2" w:rsidRPr="00CC2EF8" w:rsidTr="00C42DE2">
        <w:trPr>
          <w:cantSplit/>
        </w:trPr>
        <w:tc>
          <w:tcPr>
            <w:tcW w:w="4765" w:type="dxa"/>
            <w:shd w:val="clear" w:color="auto" w:fill="FFFFFF"/>
          </w:tcPr>
          <w:p w:rsidR="00C42DE2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58" w:right="58"/>
            </w:pPr>
            <w:r w:rsidRPr="004A3C83">
              <w:rPr>
                <w:vertAlign w:val="superscript"/>
              </w:rPr>
              <w:t>3</w:t>
            </w:r>
            <w:r>
              <w:t>Missing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C42DE2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>
              <w:t>2 (3.64%)</w:t>
            </w:r>
          </w:p>
        </w:tc>
        <w:tc>
          <w:tcPr>
            <w:tcW w:w="2255" w:type="dxa"/>
            <w:shd w:val="clear" w:color="auto" w:fill="FFFFFF"/>
            <w:vAlign w:val="center"/>
          </w:tcPr>
          <w:p w:rsidR="00C42DE2" w:rsidRDefault="00C42DE2" w:rsidP="001B59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</w:pPr>
            <w:r>
              <w:t>4 (4.55%)</w:t>
            </w:r>
          </w:p>
        </w:tc>
      </w:tr>
    </w:tbl>
    <w:p w:rsidR="00C42DE2" w:rsidRPr="00B13B29" w:rsidRDefault="00C42DE2" w:rsidP="001B59FA">
      <w:pPr>
        <w:spacing w:line="480" w:lineRule="auto"/>
      </w:pPr>
      <w:r w:rsidRPr="005C58F3">
        <w:rPr>
          <w:vertAlign w:val="superscript"/>
        </w:rPr>
        <w:t>1</w:t>
      </w:r>
      <w:r w:rsidRPr="004A3C83">
        <w:t>I</w:t>
      </w:r>
      <w:r>
        <w:t>ncluding breech / transverse fetal presentation and reduced fetal movement.</w:t>
      </w:r>
    </w:p>
    <w:p w:rsidR="00C42DE2" w:rsidRDefault="00C42DE2" w:rsidP="001B59FA">
      <w:pPr>
        <w:spacing w:line="480" w:lineRule="auto"/>
      </w:pPr>
      <w:r w:rsidRPr="005C58F3">
        <w:rPr>
          <w:vertAlign w:val="superscript"/>
        </w:rPr>
        <w:t>2</w:t>
      </w:r>
      <w:r>
        <w:t>Includes i</w:t>
      </w:r>
      <w:r w:rsidRPr="00807E4D">
        <w:t>ncreased fetal movement</w:t>
      </w:r>
      <w:r w:rsidRPr="002A7944">
        <w:t xml:space="preserve"> </w:t>
      </w:r>
      <w:r>
        <w:t>(n=2); m</w:t>
      </w:r>
      <w:r w:rsidRPr="002A7944">
        <w:t xml:space="preserve">aternal hypertension (n=4); </w:t>
      </w:r>
      <w:proofErr w:type="spellStart"/>
      <w:r w:rsidRPr="002A7944">
        <w:t>cephalopelvic</w:t>
      </w:r>
      <w:proofErr w:type="spellEnd"/>
      <w:r w:rsidRPr="002A7944">
        <w:t xml:space="preserve"> disproportion (CPD</w:t>
      </w:r>
      <w:proofErr w:type="gramStart"/>
      <w:r w:rsidRPr="002A7944">
        <w:t>)</w:t>
      </w:r>
      <w:r>
        <w:t>(</w:t>
      </w:r>
      <w:proofErr w:type="gramEnd"/>
      <w:r>
        <w:t>n=1)</w:t>
      </w:r>
      <w:r w:rsidRPr="002A7944">
        <w:t>, congenital femoral deficiency (</w:t>
      </w:r>
      <w:r>
        <w:t>CFD) (n=1)</w:t>
      </w:r>
    </w:p>
    <w:p w:rsidR="00C42DE2" w:rsidRDefault="00C42DE2" w:rsidP="001B59FA">
      <w:pPr>
        <w:spacing w:line="480" w:lineRule="auto"/>
      </w:pPr>
      <w:r w:rsidRPr="004A3C83">
        <w:rPr>
          <w:vertAlign w:val="superscript"/>
        </w:rPr>
        <w:t>3</w:t>
      </w:r>
      <w:r>
        <w:t>Reasons for performing C-section are not available.</w:t>
      </w:r>
    </w:p>
    <w:p w:rsidR="00C42DE2" w:rsidRDefault="00C42DE2" w:rsidP="00C42DE2"/>
    <w:p w:rsidR="00C42DE2" w:rsidRDefault="00C42DE2" w:rsidP="00C42DE2">
      <w:pPr>
        <w:spacing w:line="480" w:lineRule="auto"/>
        <w:rPr>
          <w:b/>
        </w:rPr>
      </w:pPr>
    </w:p>
    <w:p w:rsidR="00C42DE2" w:rsidRDefault="00C42DE2" w:rsidP="00807655">
      <w:pPr>
        <w:spacing w:line="480" w:lineRule="auto"/>
      </w:pPr>
    </w:p>
    <w:p w:rsidR="00C42DE2" w:rsidRDefault="00C42DE2" w:rsidP="00807655">
      <w:pPr>
        <w:spacing w:line="480" w:lineRule="auto"/>
      </w:pPr>
    </w:p>
    <w:p w:rsidR="00C42DE2" w:rsidRDefault="00C42DE2" w:rsidP="00807655">
      <w:pPr>
        <w:spacing w:line="480" w:lineRule="auto"/>
      </w:pPr>
    </w:p>
    <w:p w:rsidR="00C42DE2" w:rsidRDefault="00C42DE2" w:rsidP="00807655">
      <w:pPr>
        <w:spacing w:line="480" w:lineRule="auto"/>
      </w:pPr>
    </w:p>
    <w:p w:rsidR="00C42DE2" w:rsidRDefault="00C42DE2" w:rsidP="00807655">
      <w:pPr>
        <w:spacing w:line="480" w:lineRule="auto"/>
      </w:pPr>
    </w:p>
    <w:p w:rsidR="00C42DE2" w:rsidRDefault="00C42DE2" w:rsidP="00807655">
      <w:pPr>
        <w:spacing w:line="480" w:lineRule="auto"/>
      </w:pPr>
    </w:p>
    <w:p w:rsidR="00C42DE2" w:rsidRDefault="00C42DE2" w:rsidP="00807655">
      <w:pPr>
        <w:spacing w:line="480" w:lineRule="auto"/>
      </w:pPr>
    </w:p>
    <w:p w:rsidR="00C42DE2" w:rsidRDefault="00C42DE2" w:rsidP="00807655">
      <w:pPr>
        <w:spacing w:line="480" w:lineRule="auto"/>
      </w:pPr>
    </w:p>
    <w:p w:rsidR="00C42DE2" w:rsidRPr="0041670B" w:rsidRDefault="00C42DE2" w:rsidP="00C42DE2">
      <w:pPr>
        <w:spacing w:line="480" w:lineRule="auto"/>
      </w:pPr>
      <w:r w:rsidRPr="0010409C">
        <w:rPr>
          <w:b/>
        </w:rPr>
        <w:lastRenderedPageBreak/>
        <w:t xml:space="preserve">Table </w:t>
      </w:r>
      <w:r>
        <w:rPr>
          <w:b/>
        </w:rPr>
        <w:t>S3</w:t>
      </w:r>
      <w:r>
        <w:t xml:space="preserve"> Description</w:t>
      </w:r>
      <w:r w:rsidRPr="0041670B">
        <w:t xml:space="preserve"> </w:t>
      </w:r>
      <w:r>
        <w:t xml:space="preserve">of the functions of some of the genes in the Placebo group as analyzed by </w:t>
      </w:r>
      <w:r w:rsidRPr="0041670B">
        <w:t>PCR Array</w:t>
      </w:r>
      <w:r>
        <w:t xml:space="preserve"> method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7"/>
        <w:gridCol w:w="4411"/>
        <w:gridCol w:w="1800"/>
        <w:gridCol w:w="1477"/>
      </w:tblGrid>
      <w:tr w:rsidR="00C42DE2" w:rsidRPr="00F97607" w:rsidTr="00DD443D">
        <w:trPr>
          <w:trHeight w:val="143"/>
        </w:trPr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:rsidR="00C42DE2" w:rsidRPr="00F97607" w:rsidRDefault="00C42DE2" w:rsidP="001B59FA">
            <w:pPr>
              <w:spacing w:line="480" w:lineRule="auto"/>
              <w:ind w:right="-144"/>
              <w:rPr>
                <w:bCs/>
              </w:rPr>
            </w:pPr>
            <w:r w:rsidRPr="00F97607">
              <w:rPr>
                <w:bCs/>
              </w:rPr>
              <w:t>Gene</w:t>
            </w:r>
          </w:p>
          <w:p w:rsidR="00C42DE2" w:rsidRPr="00F97607" w:rsidRDefault="00C42DE2" w:rsidP="001B59FA">
            <w:pPr>
              <w:spacing w:line="480" w:lineRule="auto"/>
              <w:ind w:right="-144"/>
              <w:rPr>
                <w:bCs/>
              </w:rPr>
            </w:pPr>
            <w:r w:rsidRPr="00F97607">
              <w:rPr>
                <w:bCs/>
              </w:rPr>
              <w:t>Symbol</w:t>
            </w:r>
          </w:p>
        </w:tc>
        <w:tc>
          <w:tcPr>
            <w:tcW w:w="4411" w:type="dxa"/>
            <w:tcBorders>
              <w:bottom w:val="single" w:sz="4" w:space="0" w:color="auto"/>
              <w:right w:val="nil"/>
            </w:tcBorders>
            <w:vAlign w:val="center"/>
          </w:tcPr>
          <w:p w:rsidR="00C42DE2" w:rsidRPr="00F97607" w:rsidRDefault="00C42DE2" w:rsidP="001B59FA">
            <w:pPr>
              <w:spacing w:line="480" w:lineRule="auto"/>
              <w:ind w:left="72" w:right="-180"/>
              <w:rPr>
                <w:bCs/>
              </w:rPr>
            </w:pPr>
            <w:r w:rsidRPr="00F97607">
              <w:rPr>
                <w:bCs/>
              </w:rPr>
              <w:t>Description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DE2" w:rsidRPr="00F97607" w:rsidRDefault="00C42DE2" w:rsidP="001B59FA">
            <w:pPr>
              <w:spacing w:line="480" w:lineRule="auto"/>
              <w:ind w:left="72" w:right="-180"/>
              <w:jc w:val="center"/>
              <w:rPr>
                <w:bCs/>
              </w:rPr>
            </w:pPr>
            <w:r w:rsidRPr="00F97607">
              <w:rPr>
                <w:bCs/>
              </w:rPr>
              <w:t>Fold up- or</w:t>
            </w:r>
          </w:p>
          <w:p w:rsidR="00C42DE2" w:rsidRPr="00F97607" w:rsidRDefault="00C42DE2" w:rsidP="001B59FA">
            <w:pPr>
              <w:spacing w:line="480" w:lineRule="auto"/>
              <w:ind w:left="72" w:right="-180"/>
              <w:jc w:val="center"/>
              <w:rPr>
                <w:bCs/>
              </w:rPr>
            </w:pPr>
            <w:r w:rsidRPr="00F97607">
              <w:rPr>
                <w:bCs/>
              </w:rPr>
              <w:t>down-regulation</w:t>
            </w:r>
          </w:p>
        </w:tc>
        <w:tc>
          <w:tcPr>
            <w:tcW w:w="1477" w:type="dxa"/>
            <w:tcBorders>
              <w:left w:val="nil"/>
              <w:bottom w:val="single" w:sz="4" w:space="0" w:color="auto"/>
            </w:tcBorders>
            <w:vAlign w:val="center"/>
          </w:tcPr>
          <w:p w:rsidR="00C42DE2" w:rsidRPr="00F97607" w:rsidRDefault="00C42DE2" w:rsidP="001B59FA">
            <w:pPr>
              <w:spacing w:line="480" w:lineRule="auto"/>
              <w:jc w:val="center"/>
              <w:rPr>
                <w:bCs/>
              </w:rPr>
            </w:pPr>
            <w:r w:rsidRPr="00F97607">
              <w:rPr>
                <w:bCs/>
              </w:rPr>
              <w:t>P-value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CD2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CD2 molecule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210A20" w:rsidRDefault="00C42DE2" w:rsidP="001B59FA">
            <w:pPr>
              <w:spacing w:line="480" w:lineRule="auto"/>
              <w:ind w:left="-270" w:right="-180"/>
              <w:jc w:val="center"/>
              <w:rPr>
                <w:color w:val="0D0D0D" w:themeColor="text1" w:themeTint="F2"/>
              </w:rPr>
            </w:pPr>
            <w:r w:rsidRPr="00210A20">
              <w:rPr>
                <w:color w:val="0D0D0D" w:themeColor="text1" w:themeTint="F2"/>
              </w:rPr>
              <w:t>-1.28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0.34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CD3D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CD3d molecule, delta (CD3-TCR complex)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210A20" w:rsidRDefault="00C42DE2" w:rsidP="001B59FA">
            <w:pPr>
              <w:spacing w:line="480" w:lineRule="auto"/>
              <w:ind w:left="-270" w:right="-180"/>
              <w:jc w:val="center"/>
              <w:rPr>
                <w:color w:val="0D0D0D" w:themeColor="text1" w:themeTint="F2"/>
              </w:rPr>
            </w:pPr>
            <w:r w:rsidRPr="00210A20">
              <w:rPr>
                <w:color w:val="0D0D0D" w:themeColor="text1" w:themeTint="F2"/>
              </w:rPr>
              <w:t>-2.55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0.33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CD3G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CD3g molecule, gamma (CD3-TCR complex)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210A20" w:rsidRDefault="00C42DE2" w:rsidP="001B59FA">
            <w:pPr>
              <w:spacing w:line="480" w:lineRule="auto"/>
              <w:ind w:left="-270" w:right="-180"/>
              <w:jc w:val="center"/>
              <w:rPr>
                <w:color w:val="0D0D0D" w:themeColor="text1" w:themeTint="F2"/>
              </w:rPr>
            </w:pPr>
            <w:r w:rsidRPr="00210A20">
              <w:rPr>
                <w:color w:val="0D0D0D" w:themeColor="text1" w:themeTint="F2"/>
              </w:rPr>
              <w:t>-3.42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0.33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CD40LG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CD40 ligand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210A20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D0D0D" w:themeColor="text1" w:themeTint="F2"/>
              </w:rPr>
            </w:pPr>
            <w:r w:rsidRPr="00210A20">
              <w:rPr>
                <w:bCs/>
                <w:color w:val="0D0D0D" w:themeColor="text1" w:themeTint="F2"/>
              </w:rPr>
              <w:t>-1.43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0.34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CD81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CD81 molecule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210A20" w:rsidRDefault="00C42DE2" w:rsidP="001B59FA">
            <w:pPr>
              <w:spacing w:line="480" w:lineRule="auto"/>
              <w:ind w:left="-270" w:right="-180"/>
              <w:jc w:val="center"/>
              <w:rPr>
                <w:color w:val="0D0D0D" w:themeColor="text1" w:themeTint="F2"/>
              </w:rPr>
            </w:pPr>
            <w:r w:rsidRPr="00210A20">
              <w:rPr>
                <w:color w:val="0D0D0D" w:themeColor="text1" w:themeTint="F2"/>
              </w:rPr>
              <w:t>-5.24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0.33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CD8B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CD8b molecule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210A20" w:rsidRDefault="00C42DE2" w:rsidP="001B59FA">
            <w:pPr>
              <w:spacing w:line="480" w:lineRule="auto"/>
              <w:ind w:left="-270" w:right="-180"/>
              <w:jc w:val="center"/>
              <w:rPr>
                <w:color w:val="0D0D0D" w:themeColor="text1" w:themeTint="F2"/>
              </w:rPr>
            </w:pPr>
            <w:r w:rsidRPr="00210A20">
              <w:rPr>
                <w:color w:val="0D0D0D" w:themeColor="text1" w:themeTint="F2"/>
              </w:rPr>
              <w:t>-3.92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0.34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CLEC7A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 xml:space="preserve">C-type </w:t>
            </w:r>
            <w:proofErr w:type="spellStart"/>
            <w:r w:rsidRPr="00CA4F75">
              <w:rPr>
                <w:color w:val="000000" w:themeColor="text1"/>
              </w:rPr>
              <w:t>lectin</w:t>
            </w:r>
            <w:proofErr w:type="spellEnd"/>
            <w:r w:rsidRPr="00CA4F75">
              <w:rPr>
                <w:color w:val="000000" w:themeColor="text1"/>
              </w:rPr>
              <w:t xml:space="preserve"> domain family 7, member 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-45.49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0.34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CXCR4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Chemokine (C-X-C motif) receptor 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-5.70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0.31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HDAC4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 xml:space="preserve">Histone </w:t>
            </w:r>
            <w:proofErr w:type="spellStart"/>
            <w:r w:rsidRPr="00CA4F75">
              <w:rPr>
                <w:color w:val="000000" w:themeColor="text1"/>
              </w:rPr>
              <w:t>deacetylase</w:t>
            </w:r>
            <w:proofErr w:type="spellEnd"/>
            <w:r w:rsidRPr="00CA4F75">
              <w:rPr>
                <w:color w:val="000000" w:themeColor="text1"/>
              </w:rPr>
              <w:t xml:space="preserve"> 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-7.62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0.34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HLADRA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Major histocompatibility complex, class II, DR alpha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-9.23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0.21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IFNG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Interferon, gamma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1.10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0.35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IFNGR1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Interferon gamma receptor 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-6.81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0.33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IFNGR2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Interferon gamma receptor 2 (interferon gamma transducer 1)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-8.11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0.34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IGBP1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Immunoglobulin (CD79A) binding protein 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-4.10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0.34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A8005B" w:rsidRDefault="00C42DE2" w:rsidP="001B59FA">
            <w:pPr>
              <w:spacing w:line="480" w:lineRule="auto"/>
              <w:ind w:left="-90" w:right="-132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lastRenderedPageBreak/>
              <w:t>IL12RB2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IL-12 receptor, beta 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-1.86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0.34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IL2RA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Interleukin 2 receptor, alpha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1.68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0.35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IRF4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Interferon regulatory factor 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1.01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0.35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KLF6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proofErr w:type="spellStart"/>
            <w:r w:rsidRPr="00CA4F75">
              <w:rPr>
                <w:color w:val="000000" w:themeColor="text1"/>
              </w:rPr>
              <w:t>Kruppel</w:t>
            </w:r>
            <w:proofErr w:type="spellEnd"/>
            <w:r w:rsidRPr="00CA4F75">
              <w:rPr>
                <w:color w:val="000000" w:themeColor="text1"/>
              </w:rPr>
              <w:t>-like factor 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-5.30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0.33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NCK1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NCK adaptor protein 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-6.90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0.34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A8005B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A8005B">
              <w:rPr>
                <w:color w:val="000000" w:themeColor="text1"/>
              </w:rPr>
              <w:t>NCK2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NCK adaptor protein 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-4.32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0.34</w:t>
            </w:r>
          </w:p>
        </w:tc>
      </w:tr>
      <w:tr w:rsidR="00C42DE2" w:rsidRPr="00CA4F75" w:rsidTr="00DD443D">
        <w:trPr>
          <w:trHeight w:val="143"/>
        </w:trPr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F97607" w:rsidRDefault="00C42DE2" w:rsidP="001B59FA">
            <w:pPr>
              <w:spacing w:line="480" w:lineRule="auto"/>
              <w:ind w:left="-270" w:right="-180"/>
              <w:jc w:val="center"/>
              <w:rPr>
                <w:color w:val="000000" w:themeColor="text1"/>
              </w:rPr>
            </w:pPr>
            <w:r w:rsidRPr="00F97607">
              <w:rPr>
                <w:color w:val="000000" w:themeColor="text1"/>
              </w:rPr>
              <w:t>TGFB1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72" w:right="72"/>
              <w:rPr>
                <w:color w:val="000000" w:themeColor="text1"/>
              </w:rPr>
            </w:pPr>
            <w:r w:rsidRPr="00CA4F75">
              <w:rPr>
                <w:color w:val="000000" w:themeColor="text1"/>
              </w:rPr>
              <w:t>Transforming growth factor, beta 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-3.66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DE2" w:rsidRPr="00CA4F75" w:rsidRDefault="00C42DE2" w:rsidP="001B59FA">
            <w:pPr>
              <w:spacing w:line="480" w:lineRule="auto"/>
              <w:ind w:left="-270" w:right="-180"/>
              <w:jc w:val="center"/>
              <w:rPr>
                <w:bCs/>
                <w:color w:val="000000" w:themeColor="text1"/>
              </w:rPr>
            </w:pPr>
            <w:r w:rsidRPr="00CA4F75">
              <w:rPr>
                <w:bCs/>
                <w:color w:val="000000" w:themeColor="text1"/>
              </w:rPr>
              <w:t>0.33</w:t>
            </w:r>
          </w:p>
        </w:tc>
      </w:tr>
    </w:tbl>
    <w:p w:rsidR="00C42DE2" w:rsidRDefault="00C42DE2" w:rsidP="00C42DE2">
      <w:pPr>
        <w:spacing w:line="480" w:lineRule="auto"/>
      </w:pPr>
      <w:r>
        <w:t xml:space="preserve">Data has not been provided for some genes when a particular gene’s relative expression level is low in both control and stimulated groups (&gt;30 threshold cycles); gene expression level for a series of genes in the </w:t>
      </w:r>
      <w:proofErr w:type="spellStart"/>
      <w:r>
        <w:t>vitD</w:t>
      </w:r>
      <w:proofErr w:type="spellEnd"/>
      <w:r>
        <w:t xml:space="preserve"> group was reasonably high, but very low in Placebo group; hence the placebo data for those genes were not included in Table S3.</w:t>
      </w:r>
    </w:p>
    <w:p w:rsidR="00C42DE2" w:rsidRDefault="00C42DE2" w:rsidP="00807655">
      <w:pPr>
        <w:spacing w:line="480" w:lineRule="auto"/>
      </w:pPr>
    </w:p>
    <w:p w:rsidR="00C42DE2" w:rsidRPr="00C42DE2" w:rsidRDefault="00C42DE2" w:rsidP="00C42DE2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0" w:name="_ENREF_1"/>
      <w:r w:rsidRPr="00C42DE2">
        <w:t>1.</w:t>
      </w:r>
      <w:r w:rsidRPr="00C42DE2">
        <w:tab/>
        <w:t xml:space="preserve">Roth DE, Al Mahmud A, Raqib R, Akhtar E, Perumal N, Pezzack B, Baqui AH: </w:t>
      </w:r>
      <w:r w:rsidRPr="00C42DE2">
        <w:rPr>
          <w:b/>
        </w:rPr>
        <w:t>Randomized placebo-controlled trial of high-dose prenatal third-trimester vitamin D3 supplementation in Bangladesh: the AViDD trial</w:t>
      </w:r>
      <w:r w:rsidRPr="00C42DE2">
        <w:t xml:space="preserve">. </w:t>
      </w:r>
      <w:r w:rsidRPr="00C42DE2">
        <w:rPr>
          <w:i/>
        </w:rPr>
        <w:t xml:space="preserve">Nutr J </w:t>
      </w:r>
      <w:r w:rsidRPr="00C42DE2">
        <w:t xml:space="preserve">2013, </w:t>
      </w:r>
      <w:r w:rsidRPr="00C42DE2">
        <w:rPr>
          <w:b/>
        </w:rPr>
        <w:t>12</w:t>
      </w:r>
      <w:r w:rsidRPr="00C42DE2">
        <w:t>(1):47.</w:t>
      </w:r>
      <w:bookmarkEnd w:id="0"/>
    </w:p>
    <w:p w:rsidR="00146FA9" w:rsidRDefault="00C42DE2" w:rsidP="00807655">
      <w:pPr>
        <w:spacing w:line="480" w:lineRule="auto"/>
      </w:pPr>
      <w:r>
        <w:fldChar w:fldCharType="end"/>
      </w:r>
      <w:bookmarkStart w:id="1" w:name="_GoBack"/>
      <w:bookmarkEnd w:id="1"/>
    </w:p>
    <w:sectPr w:rsidR="00146FA9" w:rsidSect="007A55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z9t90frmddtwoeezxl5t0adexxpddxz9da2&quot;&gt;AViDD2_MS_2_F&lt;record-ids&gt;&lt;item&gt;20&lt;/item&gt;&lt;/record-ids&gt;&lt;/item&gt;&lt;/Libraries&gt;"/>
  </w:docVars>
  <w:rsids>
    <w:rsidRoot w:val="003753D0"/>
    <w:rsid w:val="000003E8"/>
    <w:rsid w:val="000B233B"/>
    <w:rsid w:val="00137F1D"/>
    <w:rsid w:val="00146FA9"/>
    <w:rsid w:val="001B59FA"/>
    <w:rsid w:val="00210A20"/>
    <w:rsid w:val="00255BA7"/>
    <w:rsid w:val="00261C1A"/>
    <w:rsid w:val="00270442"/>
    <w:rsid w:val="002B447F"/>
    <w:rsid w:val="002B45F7"/>
    <w:rsid w:val="0030397B"/>
    <w:rsid w:val="003343F0"/>
    <w:rsid w:val="003373C7"/>
    <w:rsid w:val="00350835"/>
    <w:rsid w:val="003753D0"/>
    <w:rsid w:val="003865BB"/>
    <w:rsid w:val="004F4AC6"/>
    <w:rsid w:val="005C03FF"/>
    <w:rsid w:val="006F4AC8"/>
    <w:rsid w:val="00721C65"/>
    <w:rsid w:val="0074197A"/>
    <w:rsid w:val="00765928"/>
    <w:rsid w:val="007A5508"/>
    <w:rsid w:val="007F073B"/>
    <w:rsid w:val="007F612E"/>
    <w:rsid w:val="00807655"/>
    <w:rsid w:val="009C0666"/>
    <w:rsid w:val="009C221C"/>
    <w:rsid w:val="00A05E8E"/>
    <w:rsid w:val="00A8005B"/>
    <w:rsid w:val="00C040A0"/>
    <w:rsid w:val="00C42DE2"/>
    <w:rsid w:val="00C7140A"/>
    <w:rsid w:val="00CA4F75"/>
    <w:rsid w:val="00CD3FDA"/>
    <w:rsid w:val="00CE2BD4"/>
    <w:rsid w:val="00E61B96"/>
    <w:rsid w:val="00E65880"/>
    <w:rsid w:val="00E74CC2"/>
    <w:rsid w:val="00FB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A3AE61-F311-45CA-864E-3FCD785A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33B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B233B"/>
    <w:rPr>
      <w:color w:val="0000FF"/>
      <w:u w:val="single"/>
    </w:rPr>
  </w:style>
  <w:style w:type="table" w:styleId="TableGrid">
    <w:name w:val="Table Grid"/>
    <w:basedOn w:val="TableNormal"/>
    <w:uiPriority w:val="59"/>
    <w:rsid w:val="000B233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0B233B"/>
  </w:style>
  <w:style w:type="paragraph" w:customStyle="1" w:styleId="EndNoteBibliography">
    <w:name w:val="EndNote Bibliography"/>
    <w:basedOn w:val="Normal"/>
    <w:link w:val="EndNoteBibliographyChar"/>
    <w:rsid w:val="00C42DE2"/>
    <w:pPr>
      <w:spacing w:after="160"/>
    </w:pPr>
    <w:rPr>
      <w:rFonts w:eastAsiaTheme="minorHAnsi"/>
      <w:noProof/>
      <w:color w:val="auto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C42DE2"/>
    <w:rPr>
      <w:rFonts w:ascii="Times New Roman" w:hAnsi="Times New Roman" w:cs="Times New Roman"/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DE2"/>
    <w:rPr>
      <w:rFonts w:ascii="Segoe UI" w:eastAsia="ヒラギノ角ゴ Pro W3" w:hAnsi="Segoe UI" w:cs="Segoe UI"/>
      <w:color w:val="000000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42DE2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2DE2"/>
    <w:rPr>
      <w:rFonts w:ascii="Times New Roman" w:eastAsia="ヒラギノ角ゴ Pro W3" w:hAnsi="Times New Roman" w:cs="Times New Roman"/>
      <w:noProof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bhana@icddr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Md. Ahsanul Haq</dc:creator>
  <cp:lastModifiedBy>Md. Ahsanul Haq</cp:lastModifiedBy>
  <cp:revision>5</cp:revision>
  <dcterms:created xsi:type="dcterms:W3CDTF">2016-07-26T05:38:00Z</dcterms:created>
  <dcterms:modified xsi:type="dcterms:W3CDTF">2016-07-26T07:43:00Z</dcterms:modified>
</cp:coreProperties>
</file>