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82" w:rsidRPr="00CB66EC" w:rsidRDefault="002B7685" w:rsidP="00401E43">
      <w:pPr>
        <w:pStyle w:val="AJCN"/>
        <w:spacing w:line="360" w:lineRule="auto"/>
        <w:rPr>
          <w:rFonts w:ascii="Times New Roman" w:hAnsi="Times New Roman" w:cs="Times New Roman"/>
          <w:i w:val="0"/>
          <w:noProof/>
          <w:sz w:val="24"/>
          <w:szCs w:val="20"/>
        </w:rPr>
      </w:pPr>
      <w:r w:rsidRPr="00CB66EC">
        <w:rPr>
          <w:rFonts w:ascii="Times New Roman" w:hAnsi="Times New Roman" w:cs="Times New Roman"/>
          <w:b/>
          <w:i w:val="0"/>
          <w:sz w:val="24"/>
          <w:szCs w:val="20"/>
        </w:rPr>
        <w:t>Additional f</w:t>
      </w:r>
      <w:r w:rsidR="008D17CA" w:rsidRPr="00CB66EC">
        <w:rPr>
          <w:rFonts w:ascii="Times New Roman" w:hAnsi="Times New Roman" w:cs="Times New Roman"/>
          <w:b/>
          <w:i w:val="0"/>
          <w:sz w:val="24"/>
          <w:szCs w:val="20"/>
        </w:rPr>
        <w:t xml:space="preserve">ile </w:t>
      </w:r>
      <w:r w:rsidR="00B1423C" w:rsidRPr="00CB66EC">
        <w:rPr>
          <w:rFonts w:ascii="Times New Roman" w:hAnsi="Times New Roman" w:cs="Times New Roman"/>
          <w:b/>
          <w:i w:val="0"/>
          <w:sz w:val="24"/>
          <w:szCs w:val="20"/>
        </w:rPr>
        <w:t>3</w:t>
      </w:r>
      <w:r w:rsidR="004A4E82" w:rsidRPr="00CB66EC">
        <w:rPr>
          <w:rFonts w:ascii="Times New Roman" w:hAnsi="Times New Roman" w:cs="Times New Roman"/>
          <w:b/>
          <w:i w:val="0"/>
          <w:sz w:val="24"/>
          <w:szCs w:val="20"/>
        </w:rPr>
        <w:t xml:space="preserve"> </w:t>
      </w:r>
      <w:r w:rsidR="004A4E82" w:rsidRPr="00CB66EC">
        <w:rPr>
          <w:rFonts w:ascii="Times New Roman" w:hAnsi="Times New Roman" w:cs="Times New Roman"/>
          <w:i w:val="0"/>
          <w:sz w:val="24"/>
          <w:szCs w:val="20"/>
        </w:rPr>
        <w:t xml:space="preserve">Studies not appropriate for visualisation in harvest plots 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017"/>
        <w:gridCol w:w="572"/>
        <w:gridCol w:w="1044"/>
        <w:gridCol w:w="912"/>
        <w:gridCol w:w="1134"/>
        <w:gridCol w:w="850"/>
        <w:gridCol w:w="709"/>
        <w:gridCol w:w="1031"/>
        <w:gridCol w:w="1132"/>
        <w:gridCol w:w="1079"/>
        <w:gridCol w:w="1248"/>
        <w:gridCol w:w="1706"/>
        <w:gridCol w:w="1133"/>
        <w:gridCol w:w="964"/>
      </w:tblGrid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Author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Year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Type of nudge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Nudge description</w:t>
            </w:r>
          </w:p>
        </w:tc>
        <w:tc>
          <w:tcPr>
            <w:tcW w:w="850" w:type="dxa"/>
          </w:tcPr>
          <w:p w:rsidR="00F516FF" w:rsidRPr="00CB66EC" w:rsidRDefault="00763A45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Study size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Study design</w:t>
            </w:r>
          </w:p>
        </w:tc>
        <w:tc>
          <w:tcPr>
            <w:tcW w:w="1031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Intervention duration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Setting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Study outcome(s)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Outcome assessment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Main finding(s)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Quality assessment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b/>
                <w:sz w:val="16"/>
                <w:szCs w:val="16"/>
                <w:lang w:val="en-GB"/>
              </w:rPr>
              <w:t>Reason for not being included in harvest plot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Roy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(1)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2016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Nutrition information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USA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Caloric information was displayed on menus and on laminated menus at the counter. </w:t>
            </w:r>
          </w:p>
        </w:tc>
        <w:tc>
          <w:tcPr>
            <w:tcW w:w="850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 food outlet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Pre-post</w:t>
            </w:r>
          </w:p>
        </w:tc>
        <w:tc>
          <w:tcPr>
            <w:tcW w:w="1031" w:type="dxa"/>
          </w:tcPr>
          <w:p w:rsidR="00F516FF" w:rsidRPr="00CB66EC" w:rsidRDefault="00115251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 &lt; month(s) ≤ 6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Small food store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</w:rPr>
              <w:t>Purchases of menu items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Point of sale system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Calorie labelling was associated with increased purchases of one relatively low-calorie menu option* and decreased purchases of the highest calorie menu-option*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Outcome difficult to categorize (healthy vs. unhealthy)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Sacks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(2)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2009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Nutrition information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UK</w:t>
            </w:r>
          </w:p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Products were labelled with traffic-light labels</w:t>
            </w:r>
          </w:p>
        </w:tc>
        <w:tc>
          <w:tcPr>
            <w:tcW w:w="850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Supermarkets across the UK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Pre-post</w:t>
            </w:r>
          </w:p>
        </w:tc>
        <w:tc>
          <w:tcPr>
            <w:tcW w:w="1031" w:type="dxa"/>
          </w:tcPr>
          <w:p w:rsidR="00F516FF" w:rsidRPr="00CB66EC" w:rsidRDefault="00706F93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&gt; 1 week &amp; ≤ 1 month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Supermarket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Purchases of targeted products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Point of sale system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Labelling was associated with increased sales of ready meals*; but these were not more healthy. The sales of sandwiches were unaffected. 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Outcome difficult to categorize (healthy vs. unhealthy)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Cinciripini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(3)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</w:rPr>
              <w:t>Nutrition information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</w:rPr>
              <w:t xml:space="preserve">The caloric value of menu items was displayed on large tripods (caloric feedback). Subsequently, healthy foods were identified with a green triangle (labelling). </w:t>
            </w:r>
          </w:p>
        </w:tc>
        <w:tc>
          <w:tcPr>
            <w:tcW w:w="850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5,542 observations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Pre-post</w:t>
            </w:r>
          </w:p>
        </w:tc>
        <w:tc>
          <w:tcPr>
            <w:tcW w:w="1031" w:type="dxa"/>
          </w:tcPr>
          <w:p w:rsidR="00F516FF" w:rsidRPr="00CB66EC" w:rsidRDefault="00115251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1 &lt; month(s) ≤ 6 </w:t>
            </w:r>
            <w:r w:rsidR="00F516FF"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(both interventions)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University cafeteria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Purchases of cafeteria items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Observer reported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Caloric feedback was associated with decreased purchases of red meat, poultry/fish, carbohydrates, and dairy; and increased purchases of fruit and vegetables, low-fat dairy and salad. Labelling was associated with increased purchases of high-fat desserts and red meat, and decreased purchases of salads, dairy and carbohydrates.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Outcome difficult to categorize (healthy vs. unhealthy)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Papies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(4)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2010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Signage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The Netherlands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A poster announcing a recipe for a 'good and slim figure' was manipulated (poster 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present/absent) in a butcher while participants were exposed to attractive food cues (grilled chicken samples). </w:t>
            </w:r>
          </w:p>
        </w:tc>
        <w:tc>
          <w:tcPr>
            <w:tcW w:w="850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156 customers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CT</w:t>
            </w:r>
          </w:p>
        </w:tc>
        <w:tc>
          <w:tcPr>
            <w:tcW w:w="1031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N/A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Butcher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Selection of grilled chicken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Observer-reported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The healthy recipe decreased selection of grilled chicken among restrained but not unrestrained eaters*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Factorial design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Wagner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(5)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1988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Signage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USA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Messages with ‘health’ prompts were placed at several locations in the restaurant</w:t>
            </w:r>
          </w:p>
        </w:tc>
        <w:tc>
          <w:tcPr>
            <w:tcW w:w="850" w:type="dxa"/>
          </w:tcPr>
          <w:p w:rsidR="00F516FF" w:rsidRPr="00CB66EC" w:rsidRDefault="00F516FF" w:rsidP="00C1128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1 intervention store</w:t>
            </w:r>
            <w:r w:rsidR="00C11286" w:rsidRPr="00CB66EC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1 control store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CT</w:t>
            </w:r>
          </w:p>
        </w:tc>
        <w:tc>
          <w:tcPr>
            <w:tcW w:w="1031" w:type="dxa"/>
          </w:tcPr>
          <w:p w:rsidR="00F516FF" w:rsidRPr="00CB66EC" w:rsidRDefault="00706F93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&gt; 1 week &amp; ≤ 1 month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Fast food restaurant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Salad bar purchases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Point of sale system</w:t>
            </w:r>
          </w:p>
        </w:tc>
        <w:tc>
          <w:tcPr>
            <w:tcW w:w="1706" w:type="dxa"/>
          </w:tcPr>
          <w:p w:rsidR="00F516FF" w:rsidRPr="00CB66EC" w:rsidRDefault="00F516FF" w:rsidP="00466F6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Salad purchases increased 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No formal statistical analysis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C977BF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Sigurdsson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(6)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2014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Mixed nudging intervention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Norway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Confectionary at the checkout was replaced by healthy foods. Additionally, advertisement was added, reinforcing the healthiness of the healthy check-out foods.  </w:t>
            </w:r>
          </w:p>
        </w:tc>
        <w:tc>
          <w:tcPr>
            <w:tcW w:w="850" w:type="dxa"/>
          </w:tcPr>
          <w:p w:rsidR="00F516FF" w:rsidRPr="00CB66EC" w:rsidRDefault="00F516FF" w:rsidP="00C11286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1 intervention store</w:t>
            </w:r>
            <w:r w:rsidR="00C11286" w:rsidRPr="00CB66EC">
              <w:rPr>
                <w:rFonts w:ascii="Arial" w:hAnsi="Arial" w:cs="Arial"/>
                <w:sz w:val="16"/>
                <w:szCs w:val="16"/>
                <w:lang w:val="en-GB"/>
              </w:rPr>
              <w:t>;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1 control store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Pre-post</w:t>
            </w:r>
          </w:p>
        </w:tc>
        <w:tc>
          <w:tcPr>
            <w:tcW w:w="1031" w:type="dxa"/>
          </w:tcPr>
          <w:p w:rsidR="00F516FF" w:rsidRPr="00CB66EC" w:rsidRDefault="00706F93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&gt; 1 week &amp; ≤ 1 month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Supermarket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Purchases of healthy check-out foods </w:t>
            </w:r>
          </w:p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Purchases of relocated unhealthy foods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Point of sale system</w:t>
            </w:r>
          </w:p>
        </w:tc>
        <w:tc>
          <w:tcPr>
            <w:tcW w:w="1706" w:type="dxa"/>
          </w:tcPr>
          <w:p w:rsidR="00F516FF" w:rsidRPr="00CB66EC" w:rsidRDefault="00F516FF" w:rsidP="00466F6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Purchases of healthy targeted check-out foods increased; purchases of relocated unhealthy products decreased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Moderate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No formal statistical analysis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636057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Wisdom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(7)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2010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Mixed nudging intervention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USA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The menus varied in a 2 (daily calorie recommendation offered or not) × 2 (calorie information for menu items shown or not) × 3 (convenience of healthy options) design</w:t>
            </w:r>
          </w:p>
        </w:tc>
        <w:tc>
          <w:tcPr>
            <w:tcW w:w="850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638 participants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CT</w:t>
            </w:r>
          </w:p>
        </w:tc>
        <w:tc>
          <w:tcPr>
            <w:tcW w:w="1031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N/A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Fast food restaurant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Total calorie intake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Questionnaire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Provision of calorie information* and calorie recommendations*  was associated with decreased calorie intake; grouping healthy menu options together also decreased total calorie intake*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Factorial design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C977BF">
            <w:pPr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Rushakoff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en-GB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en-GB"/>
              </w:rPr>
              <w:t>(8)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2017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Mixed nudging intervention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USA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Environmental changes included inventory changes, installation of point-of-choice materials (shelf strips and cookbook), taste tests, and display improvements.</w:t>
            </w:r>
          </w:p>
        </w:tc>
        <w:tc>
          <w:tcPr>
            <w:tcW w:w="850" w:type="dxa"/>
          </w:tcPr>
          <w:p w:rsidR="00F516FF" w:rsidRPr="00CB66EC" w:rsidRDefault="00DE0DD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n=233 at baseline; n=211 at follow-up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Pre-post</w:t>
            </w:r>
          </w:p>
        </w:tc>
        <w:tc>
          <w:tcPr>
            <w:tcW w:w="1031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&gt;</w:t>
            </w:r>
            <w:r w:rsidR="00706F93"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 year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Small food store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Purchases and reported intake of foods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Questionnaire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Increased purchasing and consumption were reported for some healthy items (no statistical testing).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No formal statistical analysis</w:t>
            </w:r>
          </w:p>
        </w:tc>
      </w:tr>
      <w:tr w:rsidR="00F516FF" w:rsidRPr="00CB66EC" w:rsidTr="00763A45">
        <w:trPr>
          <w:trHeight w:val="246"/>
        </w:trPr>
        <w:tc>
          <w:tcPr>
            <w:tcW w:w="1017" w:type="dxa"/>
          </w:tcPr>
          <w:p w:rsidR="00F516FF" w:rsidRPr="00CB66EC" w:rsidRDefault="00F516FF" w:rsidP="00C977BF">
            <w:pPr>
              <w:rPr>
                <w:rFonts w:ascii="Arial" w:hAnsi="Arial" w:cs="Arial"/>
                <w:sz w:val="16"/>
                <w:szCs w:val="16"/>
                <w:vertAlign w:val="superscript"/>
                <w:lang w:val="nl-NL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nl-NL"/>
              </w:rPr>
              <w:t xml:space="preserve">Van Kleef </w:t>
            </w:r>
            <w:r w:rsidRPr="00CB66EC">
              <w:rPr>
                <w:rFonts w:ascii="Arial" w:hAnsi="Arial" w:cs="Arial"/>
                <w:i/>
                <w:sz w:val="16"/>
                <w:szCs w:val="16"/>
                <w:lang w:val="nl-NL"/>
              </w:rPr>
              <w:t>et al.</w:t>
            </w:r>
            <w:r w:rsidRPr="00CB66EC">
              <w:rPr>
                <w:rFonts w:ascii="Arial" w:hAnsi="Arial" w:cs="Arial"/>
                <w:sz w:val="16"/>
                <w:szCs w:val="16"/>
                <w:lang w:val="nl-NL"/>
              </w:rPr>
              <w:t xml:space="preserve">, study 2 </w:t>
            </w:r>
            <w:r w:rsidRPr="00CB66EC">
              <w:rPr>
                <w:rFonts w:ascii="Arial" w:hAnsi="Arial" w:cs="Arial"/>
                <w:sz w:val="16"/>
                <w:szCs w:val="16"/>
                <w:vertAlign w:val="superscript"/>
                <w:lang w:val="nl-NL"/>
              </w:rPr>
              <w:t>(9)</w:t>
            </w:r>
          </w:p>
        </w:tc>
        <w:tc>
          <w:tcPr>
            <w:tcW w:w="57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2012</w:t>
            </w:r>
          </w:p>
        </w:tc>
        <w:tc>
          <w:tcPr>
            <w:tcW w:w="104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sz w:val="16"/>
                <w:szCs w:val="16"/>
                <w:lang w:val="en-GB"/>
              </w:rPr>
              <w:t>Mixed nudging intervention</w:t>
            </w:r>
          </w:p>
        </w:tc>
        <w:tc>
          <w:tcPr>
            <w:tcW w:w="91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The Netherlands</w:t>
            </w:r>
          </w:p>
        </w:tc>
        <w:tc>
          <w:tcPr>
            <w:tcW w:w="113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The shelf arrangement of healthy snacks (healthy snacks on top vs. bottom shelves) and the assortment structure (75% healthy snacks vs. 25% healthy snacks) was manipulated.</w:t>
            </w:r>
          </w:p>
        </w:tc>
        <w:tc>
          <w:tcPr>
            <w:tcW w:w="850" w:type="dxa"/>
          </w:tcPr>
          <w:p w:rsidR="00F516FF" w:rsidRPr="00CB66EC" w:rsidRDefault="00DE0DD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291 purchases</w:t>
            </w:r>
          </w:p>
        </w:tc>
        <w:tc>
          <w:tcPr>
            <w:tcW w:w="70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RCT</w:t>
            </w:r>
          </w:p>
        </w:tc>
        <w:tc>
          <w:tcPr>
            <w:tcW w:w="1031" w:type="dxa"/>
          </w:tcPr>
          <w:p w:rsidR="00F516FF" w:rsidRPr="00CB66EC" w:rsidRDefault="00706F93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&gt; 1 week &amp; ≤ 1 month</w:t>
            </w:r>
          </w:p>
        </w:tc>
        <w:tc>
          <w:tcPr>
            <w:tcW w:w="1132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Hospital cafeteria</w:t>
            </w:r>
          </w:p>
        </w:tc>
        <w:tc>
          <w:tcPr>
            <w:tcW w:w="1079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Sales of healthy and unhealthy snacks</w:t>
            </w:r>
          </w:p>
        </w:tc>
        <w:tc>
          <w:tcPr>
            <w:tcW w:w="1248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Hand-counts</w:t>
            </w:r>
          </w:p>
        </w:tc>
        <w:tc>
          <w:tcPr>
            <w:tcW w:w="1706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Predominantly healthy snack assortment structure was associated with increased purchases of healthy snacks*; shelf arrangement did not impact on healthy snack purchases. </w:t>
            </w:r>
          </w:p>
        </w:tc>
        <w:tc>
          <w:tcPr>
            <w:tcW w:w="1133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Weak</w:t>
            </w:r>
          </w:p>
        </w:tc>
        <w:tc>
          <w:tcPr>
            <w:tcW w:w="964" w:type="dxa"/>
          </w:tcPr>
          <w:p w:rsidR="00F516FF" w:rsidRPr="00CB66EC" w:rsidRDefault="00F516FF" w:rsidP="005650C7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CB66EC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Factorial design</w:t>
            </w:r>
          </w:p>
        </w:tc>
      </w:tr>
    </w:tbl>
    <w:p w:rsidR="004A4E82" w:rsidRPr="00CB66EC" w:rsidRDefault="00120C53" w:rsidP="00120C53">
      <w:pPr>
        <w:rPr>
          <w:rFonts w:ascii="Times New Roman" w:hAnsi="Times New Roman" w:cs="Times New Roman"/>
          <w:sz w:val="18"/>
        </w:rPr>
      </w:pPr>
      <w:r w:rsidRPr="00CB66EC">
        <w:rPr>
          <w:rFonts w:ascii="Times New Roman" w:hAnsi="Times New Roman" w:cs="Times New Roman"/>
          <w:sz w:val="18"/>
        </w:rPr>
        <w:t>*</w:t>
      </w:r>
      <w:r w:rsidR="00763A45" w:rsidRPr="00CB66EC">
        <w:rPr>
          <w:rFonts w:ascii="Times New Roman" w:hAnsi="Times New Roman" w:cs="Times New Roman"/>
          <w:sz w:val="18"/>
        </w:rPr>
        <w:t>p</w:t>
      </w:r>
      <w:r w:rsidRPr="00CB66EC">
        <w:rPr>
          <w:rFonts w:ascii="Times New Roman" w:hAnsi="Times New Roman" w:cs="Times New Roman"/>
          <w:sz w:val="18"/>
        </w:rPr>
        <w:t>&lt;0.05</w:t>
      </w:r>
    </w:p>
    <w:p w:rsidR="00BD07CA" w:rsidRPr="00CB66EC" w:rsidRDefault="00AC6EEF" w:rsidP="00E15200">
      <w:pPr>
        <w:spacing w:line="360" w:lineRule="auto"/>
        <w:rPr>
          <w:rFonts w:ascii="Times New Roman" w:hAnsi="Times New Roman" w:cs="Times New Roman"/>
          <w:b/>
          <w:sz w:val="24"/>
          <w:szCs w:val="20"/>
          <w:lang w:val="en-GB"/>
        </w:rPr>
      </w:pPr>
      <w:r w:rsidRPr="00CB66EC">
        <w:rPr>
          <w:rFonts w:ascii="Times New Roman" w:hAnsi="Times New Roman" w:cs="Times New Roman"/>
          <w:b/>
          <w:sz w:val="24"/>
          <w:szCs w:val="20"/>
          <w:lang w:val="en-GB"/>
        </w:rPr>
        <w:t>References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  <w:lang w:val="nl-NL"/>
        </w:rPr>
        <w:t>1. R</w:t>
      </w:r>
      <w:r w:rsidR="008D17CA" w:rsidRPr="00CB66EC">
        <w:rPr>
          <w:rFonts w:ascii="Times New Roman" w:hAnsi="Times New Roman" w:cs="Times New Roman"/>
          <w:sz w:val="24"/>
          <w:lang w:val="nl-NL"/>
        </w:rPr>
        <w:t xml:space="preserve">oy R, Beattie-Bowers J, Ang SM </w:t>
      </w:r>
      <w:r w:rsidR="008D17CA" w:rsidRPr="00CB66EC">
        <w:rPr>
          <w:rFonts w:ascii="Times New Roman" w:hAnsi="Times New Roman" w:cs="Times New Roman"/>
          <w:i/>
          <w:sz w:val="24"/>
          <w:lang w:val="nl-NL"/>
        </w:rPr>
        <w:t xml:space="preserve">et al. </w:t>
      </w:r>
      <w:proofErr w:type="gramStart"/>
      <w:r w:rsidRPr="00CB66EC">
        <w:rPr>
          <w:rFonts w:ascii="Times New Roman" w:hAnsi="Times New Roman" w:cs="Times New Roman"/>
          <w:sz w:val="24"/>
        </w:rPr>
        <w:t>(2016) The Effect of Energy Labelling on Menus and a Social Marketing Campaign on Food-Purchasing Behaviours of University</w:t>
      </w:r>
      <w:r w:rsidR="008D17CA" w:rsidRPr="00CB66EC">
        <w:rPr>
          <w:rFonts w:ascii="Times New Roman" w:hAnsi="Times New Roman" w:cs="Times New Roman"/>
          <w:sz w:val="24"/>
        </w:rPr>
        <w:t xml:space="preserve"> Students.</w:t>
      </w:r>
      <w:proofErr w:type="gramEnd"/>
      <w:r w:rsidR="008D17CA" w:rsidRPr="00CB66EC">
        <w:rPr>
          <w:rFonts w:ascii="Times New Roman" w:hAnsi="Times New Roman" w:cs="Times New Roman"/>
          <w:sz w:val="24"/>
        </w:rPr>
        <w:t xml:space="preserve"> </w:t>
      </w:r>
      <w:proofErr w:type="gramStart"/>
      <w:r w:rsidR="008D17CA" w:rsidRPr="00CB66EC">
        <w:rPr>
          <w:rFonts w:ascii="Times New Roman" w:hAnsi="Times New Roman" w:cs="Times New Roman"/>
          <w:i/>
          <w:sz w:val="24"/>
        </w:rPr>
        <w:t>BMC Public Health</w:t>
      </w:r>
      <w:r w:rsidR="008D17CA" w:rsidRPr="00CB66EC">
        <w:rPr>
          <w:rFonts w:ascii="Times New Roman" w:hAnsi="Times New Roman" w:cs="Times New Roman"/>
          <w:sz w:val="24"/>
        </w:rPr>
        <w:t xml:space="preserve"> 16, </w:t>
      </w:r>
      <w:r w:rsidRPr="00CB66EC">
        <w:rPr>
          <w:rFonts w:ascii="Times New Roman" w:hAnsi="Times New Roman" w:cs="Times New Roman"/>
          <w:sz w:val="24"/>
        </w:rPr>
        <w:t>727</w:t>
      </w:r>
      <w:r w:rsidR="008D17CA" w:rsidRPr="00CB66EC">
        <w:rPr>
          <w:rFonts w:ascii="Times New Roman" w:hAnsi="Times New Roman" w:cs="Times New Roman"/>
          <w:sz w:val="24"/>
        </w:rPr>
        <w:t>.</w:t>
      </w:r>
      <w:proofErr w:type="gramEnd"/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2. Sacks G, Rayner M, </w:t>
      </w:r>
      <w:proofErr w:type="gramStart"/>
      <w:r w:rsidRPr="00CB66EC">
        <w:rPr>
          <w:rFonts w:ascii="Times New Roman" w:hAnsi="Times New Roman" w:cs="Times New Roman"/>
          <w:sz w:val="24"/>
        </w:rPr>
        <w:t>Swinburn</w:t>
      </w:r>
      <w:proofErr w:type="gramEnd"/>
      <w:r w:rsidRPr="00CB66EC">
        <w:rPr>
          <w:rFonts w:ascii="Times New Roman" w:hAnsi="Times New Roman" w:cs="Times New Roman"/>
          <w:sz w:val="24"/>
        </w:rPr>
        <w:t xml:space="preserve"> B (2009) Impact of front-of-pack 'traffic-light' nutrition labelling on consumer food purchases in the UK. </w:t>
      </w:r>
      <w:r w:rsidRPr="00CB66EC">
        <w:rPr>
          <w:rFonts w:ascii="Times New Roman" w:hAnsi="Times New Roman" w:cs="Times New Roman"/>
          <w:i/>
          <w:sz w:val="24"/>
        </w:rPr>
        <w:t>Health Promot Int</w:t>
      </w:r>
      <w:r w:rsidR="00E15200" w:rsidRPr="00CB66EC">
        <w:rPr>
          <w:rFonts w:ascii="Times New Roman" w:hAnsi="Times New Roman" w:cs="Times New Roman"/>
          <w:sz w:val="24"/>
        </w:rPr>
        <w:t xml:space="preserve"> 24, </w:t>
      </w:r>
      <w:r w:rsidRPr="00CB66EC">
        <w:rPr>
          <w:rFonts w:ascii="Times New Roman" w:hAnsi="Times New Roman" w:cs="Times New Roman"/>
          <w:sz w:val="24"/>
        </w:rPr>
        <w:t>344-352</w:t>
      </w:r>
      <w:r w:rsidR="00E15200" w:rsidRPr="00CB66EC">
        <w:rPr>
          <w:rFonts w:ascii="Times New Roman" w:hAnsi="Times New Roman" w:cs="Times New Roman"/>
          <w:sz w:val="24"/>
        </w:rPr>
        <w:t xml:space="preserve">. 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3.  Cinciripini PM (1984) </w:t>
      </w:r>
      <w:proofErr w:type="gramStart"/>
      <w:r w:rsidRPr="00CB66EC">
        <w:rPr>
          <w:rFonts w:ascii="Times New Roman" w:hAnsi="Times New Roman" w:cs="Times New Roman"/>
          <w:sz w:val="24"/>
        </w:rPr>
        <w:t>Changing</w:t>
      </w:r>
      <w:proofErr w:type="gramEnd"/>
      <w:r w:rsidRPr="00CB66EC">
        <w:rPr>
          <w:rFonts w:ascii="Times New Roman" w:hAnsi="Times New Roman" w:cs="Times New Roman"/>
          <w:sz w:val="24"/>
        </w:rPr>
        <w:t xml:space="preserve"> food selections in a public cafeteria: An applied behavior analysis. </w:t>
      </w:r>
      <w:r w:rsidRPr="00CB66EC">
        <w:rPr>
          <w:rFonts w:ascii="Times New Roman" w:hAnsi="Times New Roman" w:cs="Times New Roman"/>
          <w:i/>
          <w:sz w:val="24"/>
        </w:rPr>
        <w:t>Behav Modif</w:t>
      </w:r>
      <w:r w:rsidR="00E15200" w:rsidRPr="00CB66EC">
        <w:rPr>
          <w:rFonts w:ascii="Times New Roman" w:hAnsi="Times New Roman" w:cs="Times New Roman"/>
          <w:sz w:val="24"/>
        </w:rPr>
        <w:t xml:space="preserve"> 8, </w:t>
      </w:r>
      <w:r w:rsidRPr="00CB66EC">
        <w:rPr>
          <w:rFonts w:ascii="Times New Roman" w:hAnsi="Times New Roman" w:cs="Times New Roman"/>
          <w:sz w:val="24"/>
        </w:rPr>
        <w:t>520-539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lastRenderedPageBreak/>
        <w:t xml:space="preserve">4. Papies EK, Hamstra P (2010) Goal priming and eating behavior: enhancing self-regulation by environmental cues. </w:t>
      </w:r>
      <w:r w:rsidRPr="00CB66EC">
        <w:rPr>
          <w:rFonts w:ascii="Times New Roman" w:hAnsi="Times New Roman" w:cs="Times New Roman"/>
          <w:i/>
          <w:sz w:val="24"/>
        </w:rPr>
        <w:t>Health Psychol</w:t>
      </w:r>
      <w:r w:rsidR="00E15200" w:rsidRPr="00CB66EC">
        <w:rPr>
          <w:rFonts w:ascii="Times New Roman" w:hAnsi="Times New Roman" w:cs="Times New Roman"/>
          <w:sz w:val="24"/>
        </w:rPr>
        <w:t xml:space="preserve"> 29, </w:t>
      </w:r>
      <w:r w:rsidRPr="00CB66EC">
        <w:rPr>
          <w:rFonts w:ascii="Times New Roman" w:hAnsi="Times New Roman" w:cs="Times New Roman"/>
          <w:sz w:val="24"/>
        </w:rPr>
        <w:t>384-388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5. Wagner JL, Winett RA (1988) Prompting one low-fat, high-fiber selection in a fast-food restaurant. </w:t>
      </w:r>
      <w:r w:rsidRPr="00CB66EC">
        <w:rPr>
          <w:rFonts w:ascii="Times New Roman" w:hAnsi="Times New Roman" w:cs="Times New Roman"/>
          <w:i/>
          <w:sz w:val="24"/>
        </w:rPr>
        <w:t>J Appl Behav Anal</w:t>
      </w:r>
      <w:r w:rsidRPr="00CB66EC">
        <w:rPr>
          <w:rFonts w:ascii="Times New Roman" w:hAnsi="Times New Roman" w:cs="Times New Roman"/>
          <w:sz w:val="24"/>
        </w:rPr>
        <w:t xml:space="preserve"> 21</w:t>
      </w:r>
      <w:r w:rsidR="00E15200" w:rsidRPr="00CB66EC">
        <w:rPr>
          <w:rFonts w:ascii="Times New Roman" w:hAnsi="Times New Roman" w:cs="Times New Roman"/>
          <w:sz w:val="24"/>
        </w:rPr>
        <w:t xml:space="preserve">, </w:t>
      </w:r>
      <w:r w:rsidRPr="00CB66EC">
        <w:rPr>
          <w:rFonts w:ascii="Times New Roman" w:hAnsi="Times New Roman" w:cs="Times New Roman"/>
          <w:sz w:val="24"/>
        </w:rPr>
        <w:t>179-185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6. Sigurdsson V, Larsen NM, Gunnarsson D (2014) Healthy food products at the point of purchase: An in-store experimental analysis. </w:t>
      </w:r>
      <w:r w:rsidRPr="00CB66EC">
        <w:rPr>
          <w:rFonts w:ascii="Times New Roman" w:hAnsi="Times New Roman" w:cs="Times New Roman"/>
          <w:i/>
          <w:sz w:val="24"/>
        </w:rPr>
        <w:t>J Appl Behav Anal</w:t>
      </w:r>
      <w:r w:rsidR="00E15200" w:rsidRPr="00CB66EC">
        <w:rPr>
          <w:rFonts w:ascii="Times New Roman" w:hAnsi="Times New Roman" w:cs="Times New Roman"/>
          <w:sz w:val="24"/>
        </w:rPr>
        <w:t xml:space="preserve"> 47, </w:t>
      </w:r>
      <w:r w:rsidRPr="00CB66EC">
        <w:rPr>
          <w:rFonts w:ascii="Times New Roman" w:hAnsi="Times New Roman" w:cs="Times New Roman"/>
          <w:sz w:val="24"/>
        </w:rPr>
        <w:t>151-154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7. Wisdom J, Downs JS, Loewenstein G (2010) Promoting Healthy Choices: Information versus Convenience. </w:t>
      </w:r>
      <w:r w:rsidR="00E15200" w:rsidRPr="00CB66EC">
        <w:rPr>
          <w:rFonts w:ascii="Times New Roman" w:hAnsi="Times New Roman" w:cs="Times New Roman"/>
          <w:i/>
          <w:sz w:val="24"/>
        </w:rPr>
        <w:t xml:space="preserve">American Economic Journal: Applied Economics </w:t>
      </w:r>
      <w:r w:rsidR="00E15200" w:rsidRPr="00CB66EC">
        <w:rPr>
          <w:rFonts w:ascii="Times New Roman" w:hAnsi="Times New Roman" w:cs="Times New Roman"/>
          <w:sz w:val="24"/>
        </w:rPr>
        <w:t xml:space="preserve">2, </w:t>
      </w:r>
      <w:r w:rsidRPr="00CB66EC">
        <w:rPr>
          <w:rFonts w:ascii="Times New Roman" w:hAnsi="Times New Roman" w:cs="Times New Roman"/>
          <w:sz w:val="24"/>
        </w:rPr>
        <w:t>164-178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CB66EC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  <w:lang w:val="en-GB"/>
        </w:rPr>
        <w:t xml:space="preserve">8. Rushakoff JA, Zoughbie </w:t>
      </w:r>
      <w:r w:rsidR="00E15200" w:rsidRPr="00CB66EC">
        <w:rPr>
          <w:rFonts w:ascii="Times New Roman" w:hAnsi="Times New Roman" w:cs="Times New Roman"/>
          <w:sz w:val="24"/>
          <w:lang w:val="en-GB"/>
        </w:rPr>
        <w:t xml:space="preserve">DE, Bui N </w:t>
      </w:r>
      <w:r w:rsidR="00E15200" w:rsidRPr="00CB66EC">
        <w:rPr>
          <w:rFonts w:ascii="Times New Roman" w:hAnsi="Times New Roman" w:cs="Times New Roman"/>
          <w:i/>
          <w:sz w:val="24"/>
          <w:lang w:val="en-GB"/>
        </w:rPr>
        <w:t xml:space="preserve">et al. </w:t>
      </w:r>
      <w:r w:rsidRPr="00CB66EC">
        <w:rPr>
          <w:rFonts w:ascii="Times New Roman" w:hAnsi="Times New Roman" w:cs="Times New Roman"/>
          <w:sz w:val="24"/>
        </w:rPr>
        <w:t xml:space="preserve">(2017) Evaluation of Healthy2Go: A country store transformation project to improve the food environment and consumer choices in Appalachian Kentucky. </w:t>
      </w:r>
      <w:r w:rsidRPr="00CB66EC">
        <w:rPr>
          <w:rFonts w:ascii="Times New Roman" w:hAnsi="Times New Roman" w:cs="Times New Roman"/>
          <w:i/>
          <w:sz w:val="24"/>
        </w:rPr>
        <w:t>Prev Med Rep</w:t>
      </w:r>
      <w:r w:rsidR="00E15200" w:rsidRPr="00CB66EC">
        <w:rPr>
          <w:rFonts w:ascii="Times New Roman" w:hAnsi="Times New Roman" w:cs="Times New Roman"/>
          <w:sz w:val="24"/>
        </w:rPr>
        <w:t xml:space="preserve"> 7, </w:t>
      </w:r>
      <w:r w:rsidRPr="00CB66EC">
        <w:rPr>
          <w:rFonts w:ascii="Times New Roman" w:hAnsi="Times New Roman" w:cs="Times New Roman"/>
          <w:sz w:val="24"/>
        </w:rPr>
        <w:t>187-192</w:t>
      </w:r>
      <w:r w:rsidR="00E15200" w:rsidRPr="00CB66EC">
        <w:rPr>
          <w:rFonts w:ascii="Times New Roman" w:hAnsi="Times New Roman" w:cs="Times New Roman"/>
          <w:sz w:val="24"/>
        </w:rPr>
        <w:t>.</w:t>
      </w:r>
    </w:p>
    <w:p w:rsidR="00AC6EEF" w:rsidRPr="00466F68" w:rsidRDefault="00AC6EEF" w:rsidP="007048F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CB66EC">
        <w:rPr>
          <w:rFonts w:ascii="Times New Roman" w:hAnsi="Times New Roman" w:cs="Times New Roman"/>
          <w:sz w:val="24"/>
        </w:rPr>
        <w:t xml:space="preserve">9. Van Kleef E, Otten K, van Trijp HC (2012) Healthy snacks at the checkout counter: a lab and field study on the impact of shelf arrangement and assortment structure on consumer choices. </w:t>
      </w:r>
      <w:proofErr w:type="gramStart"/>
      <w:r w:rsidRPr="00CB66EC">
        <w:rPr>
          <w:rFonts w:ascii="Times New Roman" w:hAnsi="Times New Roman" w:cs="Times New Roman"/>
          <w:i/>
          <w:sz w:val="24"/>
        </w:rPr>
        <w:t>BMC Public Health</w:t>
      </w:r>
      <w:r w:rsidR="00E15200" w:rsidRPr="00CB66EC">
        <w:rPr>
          <w:rFonts w:ascii="Times New Roman" w:hAnsi="Times New Roman" w:cs="Times New Roman"/>
          <w:sz w:val="24"/>
        </w:rPr>
        <w:t xml:space="preserve"> 12, </w:t>
      </w:r>
      <w:r w:rsidRPr="00CB66EC">
        <w:rPr>
          <w:rFonts w:ascii="Times New Roman" w:hAnsi="Times New Roman" w:cs="Times New Roman"/>
          <w:sz w:val="24"/>
        </w:rPr>
        <w:t>1072</w:t>
      </w:r>
      <w:r w:rsidR="00E15200" w:rsidRPr="00CB66EC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proofErr w:type="gramEnd"/>
    </w:p>
    <w:sectPr w:rsidR="00AC6EEF" w:rsidRPr="00466F68" w:rsidSect="00E15200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D8B"/>
    <w:multiLevelType w:val="hybridMultilevel"/>
    <w:tmpl w:val="C35E633A"/>
    <w:lvl w:ilvl="0" w:tplc="E206926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168DC"/>
    <w:multiLevelType w:val="hybridMultilevel"/>
    <w:tmpl w:val="E8AC98BA"/>
    <w:lvl w:ilvl="0" w:tplc="03E487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82"/>
    <w:rsid w:val="000F1B95"/>
    <w:rsid w:val="00115251"/>
    <w:rsid w:val="00120C53"/>
    <w:rsid w:val="00274363"/>
    <w:rsid w:val="002B7685"/>
    <w:rsid w:val="00401E43"/>
    <w:rsid w:val="00466F68"/>
    <w:rsid w:val="004A4E82"/>
    <w:rsid w:val="004C6842"/>
    <w:rsid w:val="00636057"/>
    <w:rsid w:val="007048FF"/>
    <w:rsid w:val="007056FE"/>
    <w:rsid w:val="00706F93"/>
    <w:rsid w:val="00763A45"/>
    <w:rsid w:val="00790CC0"/>
    <w:rsid w:val="008672B0"/>
    <w:rsid w:val="008D17CA"/>
    <w:rsid w:val="009B3C1C"/>
    <w:rsid w:val="00AC6EEF"/>
    <w:rsid w:val="00B1423C"/>
    <w:rsid w:val="00BD07CA"/>
    <w:rsid w:val="00C11286"/>
    <w:rsid w:val="00C977BF"/>
    <w:rsid w:val="00CB66EC"/>
    <w:rsid w:val="00D42470"/>
    <w:rsid w:val="00DC2E5D"/>
    <w:rsid w:val="00DE0DDF"/>
    <w:rsid w:val="00E15200"/>
    <w:rsid w:val="00F5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82"/>
    <w:rPr>
      <w:rFonts w:ascii="Segoe UI" w:hAnsi="Segoe U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JCN">
    <w:name w:val="AJCN"/>
    <w:basedOn w:val="NoSpacing"/>
    <w:link w:val="AJCNChar"/>
    <w:qFormat/>
    <w:rsid w:val="004A4E82"/>
    <w:pPr>
      <w:spacing w:line="480" w:lineRule="auto"/>
    </w:pPr>
    <w:rPr>
      <w:rFonts w:ascii="Arial" w:hAnsi="Arial" w:cs="Arial"/>
      <w:i/>
      <w:szCs w:val="24"/>
      <w:lang w:val="en-GB"/>
    </w:rPr>
  </w:style>
  <w:style w:type="character" w:customStyle="1" w:styleId="AJCNChar">
    <w:name w:val="AJCN Char"/>
    <w:basedOn w:val="DefaultParagraphFont"/>
    <w:link w:val="AJCN"/>
    <w:rsid w:val="004A4E82"/>
    <w:rPr>
      <w:rFonts w:ascii="Arial" w:hAnsi="Arial" w:cs="Arial"/>
      <w:i/>
      <w:szCs w:val="24"/>
      <w:lang w:val="en-GB"/>
    </w:rPr>
  </w:style>
  <w:style w:type="paragraph" w:styleId="NoSpacing">
    <w:name w:val="No Spacing"/>
    <w:uiPriority w:val="1"/>
    <w:qFormat/>
    <w:rsid w:val="004A4E82"/>
    <w:pPr>
      <w:spacing w:after="0" w:line="240" w:lineRule="auto"/>
    </w:pPr>
    <w:rPr>
      <w:rFonts w:ascii="Segoe UI" w:hAnsi="Segoe UI"/>
      <w:lang w:val="en-US"/>
    </w:rPr>
  </w:style>
  <w:style w:type="table" w:styleId="TableGrid">
    <w:name w:val="Table Grid"/>
    <w:basedOn w:val="TableNormal"/>
    <w:uiPriority w:val="59"/>
    <w:rsid w:val="00C977BF"/>
    <w:pPr>
      <w:spacing w:after="0" w:line="240" w:lineRule="auto"/>
    </w:pPr>
    <w:rPr>
      <w:rFonts w:ascii="Segoe UI" w:hAnsi="Segoe U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82"/>
    <w:rPr>
      <w:rFonts w:ascii="Segoe UI" w:hAnsi="Segoe U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JCN">
    <w:name w:val="AJCN"/>
    <w:basedOn w:val="NoSpacing"/>
    <w:link w:val="AJCNChar"/>
    <w:qFormat/>
    <w:rsid w:val="004A4E82"/>
    <w:pPr>
      <w:spacing w:line="480" w:lineRule="auto"/>
    </w:pPr>
    <w:rPr>
      <w:rFonts w:ascii="Arial" w:hAnsi="Arial" w:cs="Arial"/>
      <w:i/>
      <w:szCs w:val="24"/>
      <w:lang w:val="en-GB"/>
    </w:rPr>
  </w:style>
  <w:style w:type="character" w:customStyle="1" w:styleId="AJCNChar">
    <w:name w:val="AJCN Char"/>
    <w:basedOn w:val="DefaultParagraphFont"/>
    <w:link w:val="AJCN"/>
    <w:rsid w:val="004A4E82"/>
    <w:rPr>
      <w:rFonts w:ascii="Arial" w:hAnsi="Arial" w:cs="Arial"/>
      <w:i/>
      <w:szCs w:val="24"/>
      <w:lang w:val="en-GB"/>
    </w:rPr>
  </w:style>
  <w:style w:type="paragraph" w:styleId="NoSpacing">
    <w:name w:val="No Spacing"/>
    <w:uiPriority w:val="1"/>
    <w:qFormat/>
    <w:rsid w:val="004A4E82"/>
    <w:pPr>
      <w:spacing w:after="0" w:line="240" w:lineRule="auto"/>
    </w:pPr>
    <w:rPr>
      <w:rFonts w:ascii="Segoe UI" w:hAnsi="Segoe UI"/>
      <w:lang w:val="en-US"/>
    </w:rPr>
  </w:style>
  <w:style w:type="table" w:styleId="TableGrid">
    <w:name w:val="Table Grid"/>
    <w:basedOn w:val="TableNormal"/>
    <w:uiPriority w:val="59"/>
    <w:rsid w:val="00C977BF"/>
    <w:pPr>
      <w:spacing w:after="0" w:line="240" w:lineRule="auto"/>
    </w:pPr>
    <w:rPr>
      <w:rFonts w:ascii="Segoe UI" w:hAnsi="Segoe U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31CED-CBD0-4E12-83A6-5094A0EC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Harbers, M.C.</dc:creator>
  <cp:lastModifiedBy>Ege, Grace Lyn</cp:lastModifiedBy>
  <cp:revision>6</cp:revision>
  <dcterms:created xsi:type="dcterms:W3CDTF">2020-08-28T13:38:00Z</dcterms:created>
  <dcterms:modified xsi:type="dcterms:W3CDTF">2020-09-17T03:27:00Z</dcterms:modified>
</cp:coreProperties>
</file>