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276" w:rsidRPr="00BE5276" w:rsidRDefault="004221AF" w:rsidP="00BE5276">
      <w:pPr>
        <w:spacing w:after="0" w:line="240" w:lineRule="auto"/>
        <w:rPr>
          <w:rFonts w:ascii="Times New Roman" w:eastAsia="Calibri" w:hAnsi="Times New Roman" w:cs="Times New Roman"/>
          <w:szCs w:val="24"/>
          <w:vertAlign w:val="superscript"/>
          <w:lang w:val="en-GB"/>
        </w:rPr>
      </w:pPr>
      <w:r>
        <w:rPr>
          <w:rFonts w:ascii="Times New Roman" w:eastAsia="Calibri" w:hAnsi="Times New Roman" w:cs="Times New Roman"/>
          <w:b/>
          <w:szCs w:val="24"/>
          <w:lang w:val="en-GB"/>
        </w:rPr>
        <w:t xml:space="preserve">Additional </w:t>
      </w:r>
      <w:r w:rsidR="00072A5C">
        <w:rPr>
          <w:rFonts w:ascii="Times New Roman" w:eastAsia="Calibri" w:hAnsi="Times New Roman" w:cs="Times New Roman"/>
          <w:b/>
          <w:szCs w:val="24"/>
          <w:lang w:val="en-GB"/>
        </w:rPr>
        <w:t>f</w:t>
      </w:r>
      <w:r>
        <w:rPr>
          <w:rFonts w:ascii="Times New Roman" w:eastAsia="Calibri" w:hAnsi="Times New Roman" w:cs="Times New Roman"/>
          <w:b/>
          <w:szCs w:val="24"/>
          <w:lang w:val="en-GB"/>
        </w:rPr>
        <w:t>ile</w:t>
      </w:r>
      <w:r w:rsidR="00E5076A">
        <w:rPr>
          <w:rFonts w:ascii="Times New Roman" w:eastAsia="Calibri" w:hAnsi="Times New Roman" w:cs="Times New Roman"/>
          <w:b/>
          <w:szCs w:val="24"/>
          <w:lang w:val="en-GB"/>
        </w:rPr>
        <w:t xml:space="preserve"> 4</w:t>
      </w:r>
      <w:bookmarkStart w:id="0" w:name="_GoBack"/>
      <w:bookmarkEnd w:id="0"/>
      <w:r w:rsidR="00BE5276" w:rsidRPr="00BE5276">
        <w:rPr>
          <w:rFonts w:ascii="Times New Roman" w:eastAsia="Calibri" w:hAnsi="Times New Roman" w:cs="Times New Roman"/>
          <w:b/>
          <w:szCs w:val="24"/>
          <w:lang w:val="en-GB"/>
        </w:rPr>
        <w:t>.</w:t>
      </w:r>
      <w:r w:rsidR="00BE5276" w:rsidRPr="00BE5276">
        <w:rPr>
          <w:rFonts w:ascii="Times New Roman" w:eastAsia="Calibri" w:hAnsi="Times New Roman" w:cs="Times New Roman"/>
          <w:szCs w:val="24"/>
          <w:lang w:val="en-GB"/>
        </w:rPr>
        <w:t xml:space="preserve"> </w:t>
      </w:r>
      <w:r w:rsidR="00B951F3">
        <w:rPr>
          <w:rFonts w:ascii="Times New Roman" w:eastAsia="Calibri" w:hAnsi="Times New Roman" w:cs="Times New Roman"/>
          <w:szCs w:val="24"/>
          <w:lang w:val="en-GB"/>
        </w:rPr>
        <w:t>Participant</w:t>
      </w:r>
      <w:r w:rsidR="00BE5276" w:rsidRPr="00BE5276">
        <w:rPr>
          <w:rFonts w:ascii="Times New Roman" w:eastAsia="Calibri" w:hAnsi="Times New Roman" w:cs="Times New Roman"/>
          <w:szCs w:val="24"/>
          <w:lang w:val="en-GB"/>
        </w:rPr>
        <w:t xml:space="preserve"> characteristics across quartiles of </w:t>
      </w:r>
      <w:r w:rsidR="00B951F3">
        <w:rPr>
          <w:rFonts w:ascii="Times New Roman" w:eastAsia="Calibri" w:hAnsi="Times New Roman" w:cs="Times New Roman"/>
          <w:szCs w:val="24"/>
          <w:lang w:val="en-GB"/>
        </w:rPr>
        <w:t>FFR</w:t>
      </w:r>
      <w:r w:rsidR="00BE5276" w:rsidRPr="00BE5276">
        <w:rPr>
          <w:rFonts w:ascii="Times New Roman" w:eastAsia="Calibri" w:hAnsi="Times New Roman" w:cs="Times New Roman"/>
          <w:szCs w:val="24"/>
          <w:lang w:val="en-GB"/>
        </w:rPr>
        <w:t xml:space="preserve"> proportion in the 1500m buffer</w:t>
      </w:r>
      <w:r w:rsidR="00BE5276" w:rsidRPr="00BE5276">
        <w:rPr>
          <w:rFonts w:ascii="Times New Roman" w:eastAsia="Calibri" w:hAnsi="Times New Roman" w:cs="Times New Roman"/>
          <w:szCs w:val="24"/>
          <w:vertAlign w:val="superscript"/>
          <w:lang w:val="en-GB"/>
        </w:rPr>
        <w:t>a</w:t>
      </w:r>
      <w:r w:rsidR="00BE5276" w:rsidRPr="00BE5276">
        <w:rPr>
          <w:rFonts w:ascii="Times New Roman" w:eastAsia="Calibri" w:hAnsi="Times New Roman" w:cs="Times New Roman"/>
          <w:szCs w:val="24"/>
          <w:lang w:val="en-GB"/>
        </w:rPr>
        <w:t>.</w:t>
      </w:r>
    </w:p>
    <w:p w:rsidR="00BE5276" w:rsidRPr="00BE5276" w:rsidRDefault="00BE5276" w:rsidP="00BE527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tbl>
      <w:tblPr>
        <w:tblStyle w:val="Tabel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2280"/>
        <w:gridCol w:w="2363"/>
        <w:gridCol w:w="2363"/>
        <w:gridCol w:w="2363"/>
      </w:tblGrid>
      <w:tr w:rsidR="00BE5276" w:rsidRPr="00E5076A" w:rsidTr="00B95BE2">
        <w:trPr>
          <w:trHeight w:val="300"/>
        </w:trPr>
        <w:tc>
          <w:tcPr>
            <w:tcW w:w="35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Q1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Q2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Q3</w:t>
            </w:r>
          </w:p>
        </w:tc>
        <w:tc>
          <w:tcPr>
            <w:tcW w:w="2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Q4</w:t>
            </w:r>
          </w:p>
        </w:tc>
      </w:tr>
      <w:tr w:rsidR="00BE5276" w:rsidRPr="00E5076A" w:rsidTr="00B95BE2">
        <w:trPr>
          <w:trHeight w:val="300"/>
        </w:trPr>
        <w:tc>
          <w:tcPr>
            <w:tcW w:w="3591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N, (%)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2057 (25.0)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2060 (25.0)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2128 (25.9)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1986 (24.1)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Median FFR proportion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0.10 (0.00 - 0.10)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0.13 (0.12 - 0.13)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0.17 (0.16 - 0.19)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0.22 (0.20 - 0.24)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Age, y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70 ± 10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71 ± 10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69 ± 10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70 ± 10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Sex, n (%)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Male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367 (17.8)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445 (21.6)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442 (20.8)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365 (18.4)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Female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1690 (82.2)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1615 (78.4)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1686 (79.2)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1621 (81.6)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Household educational level, n (%)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Low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639 (31.2)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681 (33.1)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666 (31.4)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598 (30.2)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Moderate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507 (24.7)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481 (23.4)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534 (25.2)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488 (24.6)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High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905 (44.1)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895 (43.5)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921 (43.4)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894 (45.2)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Smoking, n (%)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Current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158 (8.1)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136 (7.0)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149 (7.3)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105 (5.6)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Former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921 (47.0)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948 (49.0)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965 (47.6)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934 (49.5)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Never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879 (44.9)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851 (44.0)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915 (45.1)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848 (44.9)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BMI, kg/m2</w:t>
            </w:r>
          </w:p>
        </w:tc>
        <w:tc>
          <w:tcPr>
            <w:tcW w:w="2280" w:type="dxa"/>
            <w:noWrap/>
            <w:vAlign w:val="bottom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25.4 ± 4.3</w:t>
            </w:r>
          </w:p>
        </w:tc>
        <w:tc>
          <w:tcPr>
            <w:tcW w:w="2363" w:type="dxa"/>
            <w:noWrap/>
            <w:vAlign w:val="bottom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25.7 ± 4.2</w:t>
            </w:r>
          </w:p>
        </w:tc>
        <w:tc>
          <w:tcPr>
            <w:tcW w:w="2363" w:type="dxa"/>
            <w:noWrap/>
            <w:vAlign w:val="bottom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25.6 ± 4.3</w:t>
            </w:r>
          </w:p>
        </w:tc>
        <w:tc>
          <w:tcPr>
            <w:tcW w:w="2363" w:type="dxa"/>
            <w:noWrap/>
            <w:vAlign w:val="bottom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25.5 ± 4.2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Weight status</w:t>
            </w:r>
          </w:p>
        </w:tc>
        <w:tc>
          <w:tcPr>
            <w:tcW w:w="2280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Normal weight, n (%)</w:t>
            </w:r>
          </w:p>
        </w:tc>
        <w:tc>
          <w:tcPr>
            <w:tcW w:w="2280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1042 (51.3)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994 (49.0)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1055 (50.0)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980 (49.8)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Overweight, n (%)</w:t>
            </w:r>
          </w:p>
        </w:tc>
        <w:tc>
          <w:tcPr>
            <w:tcW w:w="2280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734 (36.1)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780 (38.4)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788 (37.3)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733 (37.3)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Obesity, n (%)</w:t>
            </w:r>
          </w:p>
        </w:tc>
        <w:tc>
          <w:tcPr>
            <w:tcW w:w="2280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255 (12.6)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256 (12.6)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269 (12.7)</w:t>
            </w:r>
          </w:p>
        </w:tc>
        <w:tc>
          <w:tcPr>
            <w:tcW w:w="2363" w:type="dxa"/>
            <w:noWrap/>
            <w:vAlign w:val="bottom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bCs/>
                <w:color w:val="000000"/>
                <w:lang w:val="en-GB" w:eastAsia="nl-NL"/>
              </w:rPr>
              <w:t>253 (12.9)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Kcal/d</w:t>
            </w:r>
          </w:p>
        </w:tc>
        <w:tc>
          <w:tcPr>
            <w:tcW w:w="2280" w:type="dxa"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1,876 ± 637</w:t>
            </w:r>
          </w:p>
        </w:tc>
        <w:tc>
          <w:tcPr>
            <w:tcW w:w="2363" w:type="dxa"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1,913 ± 654</w:t>
            </w:r>
          </w:p>
        </w:tc>
        <w:tc>
          <w:tcPr>
            <w:tcW w:w="2363" w:type="dxa"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1,897 ± 632</w:t>
            </w:r>
          </w:p>
        </w:tc>
        <w:tc>
          <w:tcPr>
            <w:tcW w:w="2363" w:type="dxa"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  <w:bCs/>
              </w:rPr>
            </w:pPr>
            <w:r w:rsidRPr="00BE5276">
              <w:rPr>
                <w:rFonts w:ascii="Times New Roman" w:eastAsia="Calibri" w:hAnsi="Times New Roman" w:cs="Times New Roman"/>
                <w:bCs/>
              </w:rPr>
              <w:t>1,884 ± 634</w:t>
            </w:r>
          </w:p>
        </w:tc>
      </w:tr>
      <w:tr w:rsidR="00BE5276" w:rsidRPr="00E5076A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DHD-15 food groups, g/day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Vegetables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119 (72 - 173)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119 (66 - 173)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118 (71 - 172)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120 (71 - 173)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Fruit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165 (77 - 236)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163 (77 - 236)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155 (71 - 236)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161 (79 - 235)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Wholegrain bread 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70 (21 - 106)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70 (18 - 106)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70 (19 - 106)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71 (29 - 106)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Legumes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(0 - 17)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(0 - 17)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 (0 - 17)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(0 - 17)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Nuts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(1 - 20)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(1 - 20)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 (1 - 19)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 (2 - 21)</w:t>
            </w:r>
          </w:p>
        </w:tc>
      </w:tr>
      <w:tr w:rsidR="00BE5276" w:rsidRPr="00BE5276" w:rsidTr="00B95BE2">
        <w:trPr>
          <w:trHeight w:val="315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Dairy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269 (138 - 400)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258 (144 - 397)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255 (142 - 401)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268 (145 - 401)</w:t>
            </w:r>
          </w:p>
        </w:tc>
      </w:tr>
      <w:tr w:rsidR="00BE5276" w:rsidRPr="00BE5276" w:rsidTr="00B95BE2">
        <w:trPr>
          <w:trHeight w:val="315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Fish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18 (7 - 36)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14 (7 - 29)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14 (5 - 32)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14 (7 - 29)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lastRenderedPageBreak/>
              <w:t>Tea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340 (121 - 510)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340 (146 - 583)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340 (109 - 510)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340 (121 - 680)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Butter and solid fats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 (0 - 5)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 (0 - 7)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 (0 - 5)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 (0 - 6)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Oils and diet margarines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 (3 - 31)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12 (3 - 32)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 (3 - 28)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11 (3 - 32)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Red meat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39 (17 - 73)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41 (19 - 79)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40 (18 - 75)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40 (18 - 74)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Processed meat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23 (9 - 43)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24 (9 - 44)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23 (9 - 43)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23 (9 - 40)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Sweetened beverages and fruit juices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71 (13 - 176)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63 (6 - 175)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66 (7 - 180)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69 (9 - 175)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Alcohol</w:t>
            </w:r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 (1 - 22)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10 (0 - 22)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9 (0 - 21)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8 (1 - 20)</w:t>
            </w:r>
          </w:p>
        </w:tc>
      </w:tr>
      <w:tr w:rsidR="00BE5276" w:rsidRPr="00BE5276" w:rsidTr="00B95BE2">
        <w:trPr>
          <w:trHeight w:val="315"/>
        </w:trPr>
        <w:tc>
          <w:tcPr>
            <w:tcW w:w="3591" w:type="dxa"/>
            <w:noWrap/>
            <w:vAlign w:val="center"/>
            <w:hideMark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Neighbourhood socioeconomic </w:t>
            </w:r>
            <w:proofErr w:type="spellStart"/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status</w:t>
            </w:r>
            <w:r w:rsidRPr="00BE5276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l-NL"/>
              </w:rPr>
              <w:t>b</w:t>
            </w:r>
            <w:proofErr w:type="spellEnd"/>
          </w:p>
        </w:tc>
        <w:tc>
          <w:tcPr>
            <w:tcW w:w="2280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0.2 (-0.4; 0.9)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0.2 (-1.0; 1.1)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0.4 (-0.4; 1.0)</w:t>
            </w:r>
          </w:p>
        </w:tc>
        <w:tc>
          <w:tcPr>
            <w:tcW w:w="2363" w:type="dxa"/>
            <w:noWrap/>
            <w:hideMark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0.5 (-0.2; 1.1)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Level of </w:t>
            </w:r>
            <w:proofErr w:type="spellStart"/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urbanization</w:t>
            </w:r>
            <w:r w:rsidRPr="00BE5276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l-NL"/>
              </w:rPr>
              <w:t>c</w:t>
            </w:r>
            <w:proofErr w:type="spellEnd"/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, n (%)</w:t>
            </w:r>
          </w:p>
        </w:tc>
        <w:tc>
          <w:tcPr>
            <w:tcW w:w="2280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Very low level of urbanisation </w:t>
            </w:r>
          </w:p>
        </w:tc>
        <w:tc>
          <w:tcPr>
            <w:tcW w:w="2280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566 (28.7)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796 (39.1)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674 (32.2)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398 (20.5)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Low level or urbanisation </w:t>
            </w:r>
          </w:p>
        </w:tc>
        <w:tc>
          <w:tcPr>
            <w:tcW w:w="2280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620 (31.5)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590 (29.0)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635 (30.3)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684 (35.3)</w:t>
            </w:r>
          </w:p>
        </w:tc>
      </w:tr>
      <w:tr w:rsidR="00BE5276" w:rsidRPr="00BE5276" w:rsidTr="00B95BE2">
        <w:trPr>
          <w:trHeight w:val="300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 xml:space="preserve">Moderate level of urbanisation </w:t>
            </w:r>
          </w:p>
        </w:tc>
        <w:tc>
          <w:tcPr>
            <w:tcW w:w="2280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311 (15.8)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294 (14.5)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411 (19.6)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485 (25.0)</w:t>
            </w:r>
          </w:p>
        </w:tc>
      </w:tr>
      <w:tr w:rsidR="00BE5276" w:rsidRPr="00BE5276" w:rsidTr="00B95BE2">
        <w:trPr>
          <w:trHeight w:val="315"/>
        </w:trPr>
        <w:tc>
          <w:tcPr>
            <w:tcW w:w="3591" w:type="dxa"/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High level of urbanisation</w:t>
            </w:r>
          </w:p>
        </w:tc>
        <w:tc>
          <w:tcPr>
            <w:tcW w:w="2280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241 (12.2)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220 (10.8)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236 (11.3)</w:t>
            </w:r>
          </w:p>
        </w:tc>
        <w:tc>
          <w:tcPr>
            <w:tcW w:w="2363" w:type="dxa"/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157 (8.1)</w:t>
            </w:r>
          </w:p>
        </w:tc>
      </w:tr>
      <w:tr w:rsidR="00BE5276" w:rsidRPr="00BE5276" w:rsidTr="00B95BE2">
        <w:trPr>
          <w:trHeight w:val="315"/>
        </w:trPr>
        <w:tc>
          <w:tcPr>
            <w:tcW w:w="3591" w:type="dxa"/>
            <w:tcBorders>
              <w:bottom w:val="single" w:sz="4" w:space="0" w:color="auto"/>
            </w:tcBorders>
            <w:noWrap/>
            <w:vAlign w:val="center"/>
          </w:tcPr>
          <w:p w:rsidR="00BE5276" w:rsidRPr="00BE5276" w:rsidRDefault="00BE5276" w:rsidP="00BE5276">
            <w:pPr>
              <w:ind w:left="720"/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</w:pPr>
            <w:r w:rsidRPr="00BE5276">
              <w:rPr>
                <w:rFonts w:ascii="Times New Roman" w:eastAsia="Times New Roman" w:hAnsi="Times New Roman" w:cs="Times New Roman"/>
                <w:color w:val="000000"/>
                <w:lang w:val="en-GB" w:eastAsia="nl-NL"/>
              </w:rPr>
              <w:t>Very high level or urbanisation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232 (11.8)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134 (6.6)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140 (6.7)</w:t>
            </w:r>
          </w:p>
        </w:tc>
        <w:tc>
          <w:tcPr>
            <w:tcW w:w="2363" w:type="dxa"/>
            <w:tcBorders>
              <w:bottom w:val="single" w:sz="4" w:space="0" w:color="auto"/>
            </w:tcBorders>
            <w:noWrap/>
          </w:tcPr>
          <w:p w:rsidR="00BE5276" w:rsidRPr="00BE5276" w:rsidRDefault="00BE5276" w:rsidP="00BE5276">
            <w:pPr>
              <w:rPr>
                <w:rFonts w:ascii="Times New Roman" w:eastAsia="Calibri" w:hAnsi="Times New Roman" w:cs="Times New Roman"/>
              </w:rPr>
            </w:pPr>
            <w:r w:rsidRPr="00BE5276">
              <w:rPr>
                <w:rFonts w:ascii="Times New Roman" w:eastAsia="Calibri" w:hAnsi="Times New Roman" w:cs="Times New Roman"/>
              </w:rPr>
              <w:t>214 (11.0)</w:t>
            </w:r>
          </w:p>
        </w:tc>
      </w:tr>
    </w:tbl>
    <w:p w:rsidR="00BE5276" w:rsidRPr="00BE5276" w:rsidRDefault="00BE5276" w:rsidP="00BE5276">
      <w:pPr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val="en-GB"/>
        </w:rPr>
      </w:pPr>
      <w:proofErr w:type="spellStart"/>
      <w:r w:rsidRPr="00BE5276">
        <w:rPr>
          <w:rFonts w:ascii="Times New Roman" w:eastAsia="Calibri" w:hAnsi="Times New Roman" w:cs="Times New Roman"/>
          <w:sz w:val="20"/>
          <w:vertAlign w:val="superscript"/>
          <w:lang w:val="en-GB"/>
        </w:rPr>
        <w:t>a</w:t>
      </w:r>
      <w:r w:rsidRPr="00BE5276">
        <w:rPr>
          <w:rFonts w:ascii="Times New Roman" w:eastAsia="Calibri" w:hAnsi="Times New Roman" w:cs="Times New Roman"/>
          <w:sz w:val="20"/>
          <w:lang w:val="en-GB"/>
        </w:rPr>
        <w:t>Continuous</w:t>
      </w:r>
      <w:proofErr w:type="spellEnd"/>
      <w:r w:rsidRPr="00BE5276">
        <w:rPr>
          <w:rFonts w:ascii="Times New Roman" w:eastAsia="Calibri" w:hAnsi="Times New Roman" w:cs="Times New Roman"/>
          <w:sz w:val="20"/>
          <w:lang w:val="en-GB"/>
        </w:rPr>
        <w:t xml:space="preserve"> variables are presented as means (standard deviation) or as medians (p25 – p75). </w:t>
      </w:r>
      <w:proofErr w:type="spellStart"/>
      <w:r w:rsidRPr="00BE5276">
        <w:rPr>
          <w:rFonts w:ascii="Times New Roman" w:eastAsia="Calibri" w:hAnsi="Times New Roman" w:cs="Times New Roman"/>
          <w:sz w:val="20"/>
          <w:vertAlign w:val="superscript"/>
          <w:lang w:val="en-GB"/>
        </w:rPr>
        <w:t>b</w:t>
      </w:r>
      <w:r w:rsidRPr="00BE5276">
        <w:rPr>
          <w:rFonts w:ascii="Times New Roman" w:eastAsia="Calibri" w:hAnsi="Times New Roman" w:cs="Times New Roman"/>
          <w:sz w:val="20"/>
          <w:lang w:val="en-GB"/>
        </w:rPr>
        <w:t>Higher</w:t>
      </w:r>
      <w:proofErr w:type="spellEnd"/>
      <w:r w:rsidRPr="00BE5276">
        <w:rPr>
          <w:rFonts w:ascii="Times New Roman" w:eastAsia="Calibri" w:hAnsi="Times New Roman" w:cs="Times New Roman"/>
          <w:sz w:val="20"/>
          <w:lang w:val="en-GB"/>
        </w:rPr>
        <w:t xml:space="preserve"> scores represent higher neighbourhood socioeconomic status. </w:t>
      </w:r>
      <w:proofErr w:type="spellStart"/>
      <w:r w:rsidRPr="00BE5276">
        <w:rPr>
          <w:rFonts w:ascii="Times New Roman" w:eastAsia="Calibri" w:hAnsi="Times New Roman" w:cs="Times New Roman"/>
          <w:sz w:val="20"/>
          <w:vertAlign w:val="superscript"/>
          <w:lang w:val="en-GB"/>
        </w:rPr>
        <w:t>c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>Very</w:t>
      </w:r>
      <w:proofErr w:type="spellEnd"/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 low level of urbanisation ≤ 500 addresses/km</w:t>
      </w:r>
      <w:r w:rsidRPr="00BE5276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>; low level of urbanisation = 500-1000 addresses/ km</w:t>
      </w:r>
      <w:r w:rsidRPr="00BE5276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>; moderate level of urbanisation = 1000-1500 addresses/ km</w:t>
      </w:r>
      <w:r w:rsidRPr="00BE5276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>; high level of urbanisation =1500-2000 addresses/ km</w:t>
      </w:r>
      <w:r w:rsidRPr="00BE5276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>; very high level or urbanisation ≥ 2000 addresses/ km</w:t>
      </w:r>
      <w:r w:rsidRPr="00BE5276">
        <w:rPr>
          <w:rFonts w:ascii="Times New Roman" w:eastAsia="Calibri" w:hAnsi="Times New Roman" w:cs="Times New Roman"/>
          <w:sz w:val="20"/>
          <w:szCs w:val="20"/>
          <w:vertAlign w:val="superscript"/>
          <w:lang w:val="en-GB"/>
        </w:rPr>
        <w:t>2</w:t>
      </w:r>
      <w:r w:rsidRPr="00BE5276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. The following variables had missing data: smoking status (n=422); level of urbanisation (n=193); BMI (n=92); household educational level (n=22); neighbourhood socioeconomic status (n=16). </w:t>
      </w:r>
    </w:p>
    <w:p w:rsidR="00BE5276" w:rsidRPr="00BE5276" w:rsidRDefault="00BE5276" w:rsidP="00BE527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BE5276" w:rsidRPr="00BE5276" w:rsidRDefault="00BE5276" w:rsidP="00BE5276">
      <w:pPr>
        <w:spacing w:after="200" w:line="276" w:lineRule="auto"/>
        <w:rPr>
          <w:rFonts w:ascii="Segoe UI" w:eastAsia="Calibri" w:hAnsi="Segoe UI" w:cs="Times New Roman"/>
          <w:lang w:val="en-US"/>
        </w:rPr>
      </w:pPr>
    </w:p>
    <w:p w:rsidR="008D6406" w:rsidRPr="00B951F3" w:rsidRDefault="008D6406" w:rsidP="008D6406">
      <w:pPr>
        <w:pStyle w:val="Geenafstand"/>
        <w:rPr>
          <w:rFonts w:ascii="Segoe UI" w:hAnsi="Segoe UI" w:cs="Segoe UI"/>
          <w:lang w:val="en-US"/>
        </w:rPr>
      </w:pPr>
    </w:p>
    <w:sectPr w:rsidR="008D6406" w:rsidRPr="00B951F3" w:rsidSect="00C97FC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A34"/>
    <w:rsid w:val="00072A5C"/>
    <w:rsid w:val="003F2CDA"/>
    <w:rsid w:val="004221AF"/>
    <w:rsid w:val="005D33CC"/>
    <w:rsid w:val="006F142D"/>
    <w:rsid w:val="008D6406"/>
    <w:rsid w:val="00B951F3"/>
    <w:rsid w:val="00B95BE2"/>
    <w:rsid w:val="00BE5276"/>
    <w:rsid w:val="00CF4AAB"/>
    <w:rsid w:val="00E5076A"/>
    <w:rsid w:val="00EC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C291E"/>
  <w15:chartTrackingRefBased/>
  <w15:docId w15:val="{9A1821FC-A7F3-4540-90EF-F817C558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D6406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uiPriority w:val="59"/>
    <w:rsid w:val="00BE5276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BE5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48453-9885-4110-85BD-FA4E37EB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Harbers, M.C.</dc:creator>
  <cp:keywords/>
  <dc:description/>
  <cp:lastModifiedBy>Harbers, M.C. (Marjolein)</cp:lastModifiedBy>
  <cp:revision>3</cp:revision>
  <dcterms:created xsi:type="dcterms:W3CDTF">2021-04-20T09:46:00Z</dcterms:created>
  <dcterms:modified xsi:type="dcterms:W3CDTF">2021-04-22T08:37:00Z</dcterms:modified>
</cp:coreProperties>
</file>