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D5" w:rsidRPr="00A329D5" w:rsidRDefault="00C505FE" w:rsidP="00111D21">
      <w:pPr>
        <w:suppressAutoHyphens/>
        <w:spacing w:after="0" w:line="360" w:lineRule="auto"/>
        <w:contextualSpacing/>
        <w:rPr>
          <w:rFonts w:ascii="Times New Roman" w:eastAsia="Calibri" w:hAnsi="Times New Roman" w:cs="Times New Roman"/>
          <w:b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</w:rPr>
        <w:t>Additional File 6</w:t>
      </w:r>
      <w:r w:rsidR="00A329D5" w:rsidRPr="00A329D5">
        <w:rPr>
          <w:rFonts w:ascii="Times New Roman" w:eastAsia="Calibri" w:hAnsi="Times New Roman" w:cs="Times New Roman"/>
          <w:b/>
        </w:rPr>
        <w:t>:</w:t>
      </w:r>
      <w:r w:rsidR="00A329D5" w:rsidRPr="00A329D5">
        <w:rPr>
          <w:rFonts w:ascii="Times New Roman" w:eastAsia="Calibri" w:hAnsi="Times New Roman" w:cs="Times New Roman"/>
        </w:rPr>
        <w:t xml:space="preserve"> Sensitivity analyses for the prospective association between vitamin K status and echocardiographic measurements</w:t>
      </w:r>
    </w:p>
    <w:tbl>
      <w:tblPr>
        <w:tblStyle w:val="TableGrid"/>
        <w:tblW w:w="10565" w:type="dxa"/>
        <w:tblInd w:w="-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0"/>
        <w:gridCol w:w="1667"/>
        <w:gridCol w:w="1843"/>
        <w:gridCol w:w="1559"/>
        <w:gridCol w:w="1276"/>
        <w:gridCol w:w="850"/>
      </w:tblGrid>
      <w:tr w:rsidR="00B66576" w:rsidRPr="00A329D5" w:rsidTr="00B66576">
        <w:tc>
          <w:tcPr>
            <w:tcW w:w="3370" w:type="dxa"/>
            <w:tcBorders>
              <w:top w:val="single" w:sz="4" w:space="0" w:color="auto"/>
            </w:tcBorders>
          </w:tcPr>
          <w:p w:rsidR="00B66576" w:rsidRPr="00A329D5" w:rsidRDefault="00B66576" w:rsidP="00A329D5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9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66576" w:rsidRPr="00B66576" w:rsidRDefault="00B66576" w:rsidP="00A329D5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76">
              <w:rPr>
                <w:rFonts w:ascii="Times New Roman" w:eastAsia="Calibri" w:hAnsi="Times New Roman" w:cs="Times New Roman"/>
                <w:b/>
              </w:rPr>
              <w:t xml:space="preserve">Quartiles of </w:t>
            </w:r>
            <w:proofErr w:type="spellStart"/>
            <w:r w:rsidRPr="00B66576">
              <w:rPr>
                <w:rFonts w:ascii="Times New Roman" w:eastAsia="Calibri" w:hAnsi="Times New Roman" w:cs="Times New Roman"/>
                <w:b/>
              </w:rPr>
              <w:t>dp-ucMGP</w:t>
            </w:r>
            <w:proofErr w:type="spellEnd"/>
            <w:r w:rsidRPr="00B66576">
              <w:rPr>
                <w:rFonts w:ascii="Times New Roman" w:eastAsia="Calibri" w:hAnsi="Times New Roman" w:cs="Times New Roman"/>
                <w:b/>
              </w:rPr>
              <w:t xml:space="preserve"> (</w:t>
            </w:r>
            <w:proofErr w:type="spellStart"/>
            <w:r w:rsidRPr="00B66576">
              <w:rPr>
                <w:rFonts w:ascii="Times New Roman" w:eastAsia="Calibri" w:hAnsi="Times New Roman" w:cs="Times New Roman"/>
                <w:b/>
              </w:rPr>
              <w:t>pmol</w:t>
            </w:r>
            <w:proofErr w:type="spellEnd"/>
            <w:r w:rsidRPr="00B66576">
              <w:rPr>
                <w:rFonts w:ascii="Times New Roman" w:eastAsia="Calibri" w:hAnsi="Times New Roman" w:cs="Times New Roman"/>
                <w:b/>
              </w:rPr>
              <w:t>/L)</w:t>
            </w:r>
            <w:r w:rsidRPr="00B66576">
              <w:rPr>
                <w:rFonts w:ascii="Times New Roman" w:eastAsia="Calibri" w:hAnsi="Times New Roman" w:cs="Times New Roman"/>
                <w:b/>
              </w:rPr>
              <w:softHyphen/>
            </w: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B66576" w:rsidRPr="00A329D5" w:rsidRDefault="00C00C3C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Quartile </w:t>
            </w:r>
            <w:r w:rsidRPr="00C00C3C">
              <w:rPr>
                <w:rFonts w:ascii="Times New Roman" w:eastAsia="Calibri" w:hAnsi="Times New Roman" w:cs="Times New Roman"/>
                <w:b/>
                <w:highlight w:val="yellow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66576" w:rsidRPr="00A329D5" w:rsidRDefault="00C00C3C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Quartile </w:t>
            </w:r>
            <w:r w:rsidRPr="00C00C3C">
              <w:rPr>
                <w:rFonts w:ascii="Times New Roman" w:eastAsia="Calibri" w:hAnsi="Times New Roman" w:cs="Times New Roman"/>
                <w:b/>
                <w:highlight w:val="yellow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6576" w:rsidRPr="00A329D5" w:rsidRDefault="00C00C3C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Quartile </w:t>
            </w:r>
            <w:r w:rsidRPr="00C00C3C">
              <w:rPr>
                <w:rFonts w:ascii="Times New Roman" w:eastAsia="Calibri" w:hAnsi="Times New Roman" w:cs="Times New Roman"/>
                <w:b/>
                <w:highlight w:val="yellow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66576" w:rsidRPr="00B66576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76">
              <w:rPr>
                <w:rFonts w:ascii="Times New Roman" w:eastAsia="Calibri" w:hAnsi="Times New Roman" w:cs="Times New Roman"/>
                <w:b/>
              </w:rPr>
              <w:t xml:space="preserve">Quartile </w:t>
            </w:r>
            <w:r w:rsidR="00C00C3C" w:rsidRPr="00C00C3C">
              <w:rPr>
                <w:rFonts w:ascii="Times New Roman" w:eastAsia="Calibri" w:hAnsi="Times New Roman" w:cs="Times New Roman"/>
                <w:b/>
                <w:highlight w:val="yellow"/>
              </w:rPr>
              <w:t>4</w:t>
            </w:r>
            <w:r w:rsidRPr="00B66576">
              <w:rPr>
                <w:rFonts w:ascii="Times New Roman" w:eastAsia="Calibri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66576" w:rsidRPr="00B66576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76">
              <w:rPr>
                <w:rFonts w:ascii="Times New Roman" w:eastAsia="Calibri" w:hAnsi="Times New Roman" w:cs="Times New Roman"/>
                <w:b/>
              </w:rPr>
              <w:t>P-trend</w:t>
            </w: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329D5">
              <w:rPr>
                <w:rFonts w:ascii="Times New Roman" w:eastAsia="Calibri" w:hAnsi="Times New Roman" w:cs="Times New Roman"/>
                <w:b/>
              </w:rPr>
              <w:t xml:space="preserve">LVMI </w:t>
            </w:r>
            <w:r w:rsidRPr="00A329D5">
              <w:rPr>
                <w:rFonts w:ascii="Times New Roman" w:eastAsia="Calibri" w:hAnsi="Times New Roman" w:cs="Times New Roman"/>
                <w:b/>
                <w:lang w:val="en-GB"/>
              </w:rPr>
              <w:t>(g/m</w:t>
            </w:r>
            <w:r w:rsidRPr="00A329D5">
              <w:rPr>
                <w:rFonts w:ascii="Times New Roman" w:eastAsia="Calibri" w:hAnsi="Times New Roman" w:cs="Times New Roman"/>
                <w:b/>
                <w:vertAlign w:val="superscript"/>
                <w:lang w:val="en-GB"/>
              </w:rPr>
              <w:t>2.7</w:t>
            </w:r>
            <w:r w:rsidRPr="00A329D5">
              <w:rPr>
                <w:rFonts w:ascii="Times New Roman" w:eastAsia="Calibri" w:hAnsi="Times New Roman" w:cs="Times New Roman"/>
                <w:b/>
                <w:lang w:val="en-GB"/>
              </w:rPr>
              <w:t>)</w:t>
            </w:r>
            <w:r>
              <w:rPr>
                <w:rFonts w:ascii="Times New Roman" w:eastAsia="Calibri" w:hAnsi="Times New Roman" w:cs="Times New Roman"/>
                <w:b/>
                <w:vertAlign w:val="superscript"/>
                <w:lang w:val="en-GB"/>
              </w:rPr>
              <w:t>2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A329D5">
              <w:rPr>
                <w:rFonts w:ascii="Times New Roman" w:eastAsia="Calibri" w:hAnsi="Times New Roman" w:cs="Times New Roman"/>
                <w:i/>
              </w:rPr>
              <w:t xml:space="preserve">Men </w:t>
            </w:r>
            <w:r>
              <w:rPr>
                <w:rFonts w:ascii="Times New Roman" w:eastAsia="Calibri" w:hAnsi="Times New Roman" w:cs="Times New Roman"/>
                <w:i/>
              </w:rPr>
              <w:t>n</w:t>
            </w:r>
            <w:r w:rsidRPr="00A329D5">
              <w:rPr>
                <w:rFonts w:ascii="Times New Roman" w:eastAsia="Calibri" w:hAnsi="Times New Roman" w:cs="Times New Roman"/>
                <w:i/>
              </w:rPr>
              <w:t>=206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29D5">
              <w:rPr>
                <w:rFonts w:ascii="Times New Roman" w:eastAsia="Calibri" w:hAnsi="Times New Roman" w:cs="Times New Roman"/>
              </w:rPr>
              <w:t>40.9±9.2</w:t>
            </w: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29D5">
              <w:rPr>
                <w:rFonts w:ascii="Times New Roman" w:eastAsia="Calibri" w:hAnsi="Times New Roman" w:cs="Times New Roman"/>
              </w:rPr>
              <w:t>40.7±10.4</w:t>
            </w: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43.6±13.3</w:t>
            </w: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45.2±11.7</w:t>
            </w: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Base analysis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-1.3 (-6.4; 3.7)</w:t>
            </w: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-0.5 (-5.2; -4.1)</w:t>
            </w: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1.8 (-3.1; 6.8)</w:t>
            </w: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Ref </w:t>
            </w: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A329D5">
              <w:rPr>
                <w:rFonts w:ascii="Times New Roman" w:eastAsia="Calibri" w:hAnsi="Times New Roman" w:cs="Times New Roman"/>
              </w:rPr>
              <w:t>0.61</w:t>
            </w: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Excluding CVD during follow-up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0.1 (-5.2, 5.2)</w:t>
            </w: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0.8 (-4.1, 5.6)</w:t>
            </w: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3.0 (-2.1, 8.1)</w:t>
            </w: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Ref </w:t>
            </w: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0.62</w:t>
            </w: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Adjusted for updated confounders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-1.7 (-6.8, 3.5)</w:t>
            </w: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-0.9 (-5.8, 3.9)</w:t>
            </w: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1.3 (-3.8, 6.4)</w:t>
            </w: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Ref </w:t>
            </w: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0.33</w:t>
            </w: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Inverse probability weighting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-1.3 (-6.4, 3.8)</w:t>
            </w: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-0.4 (-5.1, 4.3)</w:t>
            </w: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2.0 (-3.1, 7.0)</w:t>
            </w: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Ref </w:t>
            </w: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0.39</w:t>
            </w: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A329D5">
              <w:rPr>
                <w:rFonts w:ascii="Times New Roman" w:eastAsia="Calibri" w:hAnsi="Times New Roman" w:cs="Times New Roman"/>
                <w:i/>
              </w:rPr>
              <w:t xml:space="preserve">Women </w:t>
            </w:r>
            <w:r>
              <w:rPr>
                <w:rFonts w:ascii="Times New Roman" w:eastAsia="Calibri" w:hAnsi="Times New Roman" w:cs="Times New Roman"/>
                <w:i/>
              </w:rPr>
              <w:t>n</w:t>
            </w:r>
            <w:r w:rsidRPr="00A329D5">
              <w:rPr>
                <w:rFonts w:ascii="Times New Roman" w:eastAsia="Calibri" w:hAnsi="Times New Roman" w:cs="Times New Roman"/>
                <w:i/>
              </w:rPr>
              <w:t>=199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35.6±9.3</w:t>
            </w: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38.9±7.7</w:t>
            </w: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45.1±12.5</w:t>
            </w: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46.7±15.6</w:t>
            </w: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Base analysis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29D5">
              <w:rPr>
                <w:rFonts w:ascii="Times New Roman" w:eastAsia="Calibri" w:hAnsi="Times New Roman" w:cs="Times New Roman"/>
              </w:rPr>
              <w:t>-5.0 (-10.5; 0.4)</w:t>
            </w: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29D5">
              <w:rPr>
                <w:rFonts w:ascii="Times New Roman" w:eastAsia="Calibri" w:hAnsi="Times New Roman" w:cs="Times New Roman"/>
                <w:b/>
              </w:rPr>
              <w:t>-6.8 (-11.8; -1.8)</w:t>
            </w: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A329D5">
              <w:rPr>
                <w:rFonts w:ascii="Times New Roman" w:eastAsia="Calibri" w:hAnsi="Times New Roman" w:cs="Times New Roman"/>
              </w:rPr>
              <w:t>0.4 (-2.9; 3.7)</w:t>
            </w: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Ref </w:t>
            </w: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  <w:b/>
              </w:rPr>
              <w:t>&lt;0.001</w:t>
            </w: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Excluding CVD during follow-up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-4.9 (-10.3, 0.6)</w:t>
            </w: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29D5">
              <w:rPr>
                <w:rFonts w:ascii="Times New Roman" w:eastAsia="Calibri" w:hAnsi="Times New Roman" w:cs="Times New Roman"/>
                <w:b/>
              </w:rPr>
              <w:t>-6.8 (-11.7, -1.8)</w:t>
            </w: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-0.2 (-5.0, 4.6)</w:t>
            </w: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Ref </w:t>
            </w: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A329D5">
              <w:rPr>
                <w:rFonts w:ascii="Times New Roman" w:eastAsia="Calibri" w:hAnsi="Times New Roman" w:cs="Times New Roman"/>
                <w:b/>
              </w:rPr>
              <w:t>0.015</w:t>
            </w: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ind w:left="-39"/>
              <w:contextualSpacing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Adjusted for updated confounders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-3.8 (-9.1, 1.4)</w:t>
            </w: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29D5">
              <w:rPr>
                <w:rFonts w:ascii="Times New Roman" w:eastAsia="Calibri" w:hAnsi="Times New Roman" w:cs="Times New Roman"/>
                <w:b/>
              </w:rPr>
              <w:t>-7.3 (-12.1, -2.5)</w:t>
            </w: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0.8 (-3.8, 5.4)</w:t>
            </w: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A329D5">
              <w:rPr>
                <w:rFonts w:ascii="Times New Roman" w:eastAsia="Calibri" w:hAnsi="Times New Roman" w:cs="Times New Roman"/>
                <w:b/>
              </w:rPr>
              <w:t>0.018</w:t>
            </w:r>
          </w:p>
        </w:tc>
      </w:tr>
      <w:tr w:rsidR="00B66576" w:rsidRPr="00A329D5" w:rsidTr="00B66576">
        <w:tc>
          <w:tcPr>
            <w:tcW w:w="3370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Inverse probability weighting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-5.3 (-10.7, 0.1)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29D5">
              <w:rPr>
                <w:rFonts w:ascii="Times New Roman" w:eastAsia="Calibri" w:hAnsi="Times New Roman" w:cs="Times New Roman"/>
                <w:b/>
              </w:rPr>
              <w:t>-7.5 (12.6, -2.5)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-0.4 (-5.1, 4.4)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Ref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29D5">
              <w:rPr>
                <w:rFonts w:ascii="Times New Roman" w:eastAsia="Calibri" w:hAnsi="Times New Roman" w:cs="Times New Roman"/>
                <w:b/>
              </w:rPr>
              <w:t>0.009</w:t>
            </w:r>
          </w:p>
        </w:tc>
      </w:tr>
      <w:tr w:rsidR="00B66576" w:rsidRPr="00A329D5" w:rsidTr="00B66576">
        <w:tc>
          <w:tcPr>
            <w:tcW w:w="3370" w:type="dxa"/>
            <w:tcBorders>
              <w:top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329D5">
              <w:rPr>
                <w:rFonts w:ascii="Times New Roman" w:eastAsia="Calibri" w:hAnsi="Times New Roman" w:cs="Times New Roman"/>
                <w:b/>
              </w:rPr>
              <w:t>LVEF (%)</w:t>
            </w:r>
            <w:r>
              <w:rPr>
                <w:rFonts w:ascii="Times New Roman" w:eastAsia="Calibri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53.4±9.2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53.3±9.8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52.0±11.2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52.3±10.2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Base analysis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1.1 (-2.4; 4.5)</w:t>
            </w: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0.8 (-2.4; 3.9)</w:t>
            </w: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1.1 (-2.1; 4.3)</w:t>
            </w: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Ref</w:t>
            </w: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0.61</w:t>
            </w: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Excluding CVD during follow-up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0.7 (-2.8, 4.2)</w:t>
            </w: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0.1 (-3.1, 3.3)</w:t>
            </w: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0.6 (-2.6, 3.8)</w:t>
            </w: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Ref </w:t>
            </w: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0.79</w:t>
            </w: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Adjusted for updated confounders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1.0 (-2.4, 4.5)</w:t>
            </w: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0.6 (-2.6, 3.8)</w:t>
            </w: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1.1 (-2.2, 4.4)</w:t>
            </w: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Ref </w:t>
            </w: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0.64</w:t>
            </w:r>
          </w:p>
        </w:tc>
      </w:tr>
      <w:tr w:rsidR="00B66576" w:rsidRPr="00A329D5" w:rsidTr="00B66576">
        <w:tc>
          <w:tcPr>
            <w:tcW w:w="3370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Inverse probability weighting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1.1 (-2.3, 4.0)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0.8 (-2.3, 4.0)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1.1 (-2.1, 4.3)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Ref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0.58</w:t>
            </w:r>
          </w:p>
        </w:tc>
      </w:tr>
      <w:tr w:rsidR="00B66576" w:rsidRPr="00A329D5" w:rsidTr="00B66576">
        <w:tc>
          <w:tcPr>
            <w:tcW w:w="3370" w:type="dxa"/>
            <w:tcBorders>
              <w:top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A329D5">
              <w:rPr>
                <w:rFonts w:ascii="Times New Roman" w:eastAsia="Calibri" w:hAnsi="Times New Roman" w:cs="Times New Roman"/>
                <w:b/>
              </w:rPr>
              <w:t>LAVI (</w:t>
            </w:r>
            <w:r w:rsidRPr="00A329D5">
              <w:rPr>
                <w:rFonts w:ascii="Times New Roman" w:eastAsia="Calibri" w:hAnsi="Times New Roman" w:cs="Times New Roman"/>
                <w:b/>
                <w:lang w:val="en-GB"/>
              </w:rPr>
              <w:t>mL/m</w:t>
            </w:r>
            <w:r w:rsidRPr="00A329D5">
              <w:rPr>
                <w:rFonts w:ascii="Times New Roman" w:eastAsia="Calibri" w:hAnsi="Times New Roman" w:cs="Times New Roman"/>
                <w:b/>
                <w:vertAlign w:val="superscript"/>
                <w:lang w:val="en-GB"/>
              </w:rPr>
              <w:t>2</w:t>
            </w:r>
            <w:r w:rsidRPr="00A329D5">
              <w:rPr>
                <w:rFonts w:ascii="Times New Roman" w:eastAsia="Calibri" w:hAnsi="Times New Roman" w:cs="Times New Roman"/>
                <w:b/>
              </w:rPr>
              <w:t>)</w:t>
            </w:r>
            <w:r>
              <w:rPr>
                <w:rFonts w:ascii="Times New Roman" w:eastAsia="Calibri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24.0±9.4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25.2±10.1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26.0±10.6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28.0 ±18.0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Base analysis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-0.1 (-3.3; 3.3)</w:t>
            </w: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0.9 (-2.2; 3.9)</w:t>
            </w: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-0.4 (-3.5; 2.6)</w:t>
            </w: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Ref </w:t>
            </w: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0.79</w:t>
            </w: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Excluding CVD during follow-up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0.3 (-3.0, 3.6)</w:t>
            </w: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1.2 (-1.9, 4.2)</w:t>
            </w: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-0.3 (-3.4, 2.8)</w:t>
            </w: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Ref </w:t>
            </w: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A329D5">
              <w:rPr>
                <w:rFonts w:ascii="Times New Roman" w:eastAsia="Calibri" w:hAnsi="Times New Roman" w:cs="Times New Roman"/>
              </w:rPr>
              <w:t>0.64</w:t>
            </w:r>
          </w:p>
        </w:tc>
      </w:tr>
      <w:tr w:rsidR="00B66576" w:rsidRPr="00A329D5" w:rsidTr="00B66576">
        <w:tc>
          <w:tcPr>
            <w:tcW w:w="337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Adjusted for updated confounders</w:t>
            </w:r>
          </w:p>
        </w:tc>
        <w:tc>
          <w:tcPr>
            <w:tcW w:w="1667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0.1 (-3.1, 3.4)</w:t>
            </w:r>
          </w:p>
        </w:tc>
        <w:tc>
          <w:tcPr>
            <w:tcW w:w="1843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1.1 (-2.0, 4.1)</w:t>
            </w:r>
          </w:p>
        </w:tc>
        <w:tc>
          <w:tcPr>
            <w:tcW w:w="1559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-0.2 (-3.3, 3.0)</w:t>
            </w:r>
          </w:p>
        </w:tc>
        <w:tc>
          <w:tcPr>
            <w:tcW w:w="1276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Ref </w:t>
            </w:r>
          </w:p>
        </w:tc>
        <w:tc>
          <w:tcPr>
            <w:tcW w:w="850" w:type="dxa"/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A329D5">
              <w:rPr>
                <w:rFonts w:ascii="Times New Roman" w:eastAsia="Calibri" w:hAnsi="Times New Roman" w:cs="Times New Roman"/>
              </w:rPr>
              <w:t>0.75</w:t>
            </w:r>
          </w:p>
        </w:tc>
      </w:tr>
      <w:tr w:rsidR="00B66576" w:rsidRPr="00A329D5" w:rsidTr="00B66576">
        <w:tc>
          <w:tcPr>
            <w:tcW w:w="3370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 xml:space="preserve">   Inverse probability weighting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-0.2 (-3.5, 3.0)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0.6 (-2.4, 3.6)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329D5">
              <w:rPr>
                <w:rFonts w:ascii="Times New Roman" w:eastAsia="Calibri" w:hAnsi="Times New Roman" w:cs="Times New Roman"/>
              </w:rPr>
              <w:t>-0.4 (-3.5, 2.6)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Ref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6576" w:rsidRPr="00A329D5" w:rsidRDefault="00B66576" w:rsidP="00B66576">
            <w:pPr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A329D5">
              <w:rPr>
                <w:rFonts w:ascii="Times New Roman" w:eastAsia="Calibri" w:hAnsi="Times New Roman" w:cs="Times New Roman"/>
              </w:rPr>
              <w:t>0.92</w:t>
            </w:r>
          </w:p>
        </w:tc>
      </w:tr>
    </w:tbl>
    <w:p w:rsidR="0043053F" w:rsidRDefault="00A329D5" w:rsidP="00A329D5">
      <w:pPr>
        <w:suppressAutoHyphens/>
        <w:spacing w:after="0" w:line="360" w:lineRule="auto"/>
        <w:contextualSpacing/>
        <w:rPr>
          <w:rFonts w:ascii="Times New Roman" w:eastAsia="Calibri" w:hAnsi="Times New Roman" w:cs="Times New Roman"/>
          <w:vertAlign w:val="superscript"/>
        </w:rPr>
      </w:pPr>
      <w:proofErr w:type="gramStart"/>
      <w:r w:rsidRPr="00B66576">
        <w:rPr>
          <w:rFonts w:ascii="Times New Roman" w:eastAsia="Calibri" w:hAnsi="Times New Roman" w:cs="Times New Roman"/>
          <w:vertAlign w:val="superscript"/>
        </w:rPr>
        <w:t>1</w:t>
      </w:r>
      <w:r w:rsidR="0043053F" w:rsidRPr="00B66576">
        <w:rPr>
          <w:rFonts w:ascii="Times New Roman" w:eastAsia="Calibri" w:hAnsi="Times New Roman" w:cs="Times New Roman"/>
          <w:vertAlign w:val="superscript"/>
        </w:rPr>
        <w:t xml:space="preserve">  </w:t>
      </w:r>
      <w:r w:rsidR="00C00C3C">
        <w:rPr>
          <w:rFonts w:ascii="Times New Roman" w:eastAsia="Calibri" w:hAnsi="Times New Roman" w:cs="Times New Roman"/>
        </w:rPr>
        <w:t>Quartile</w:t>
      </w:r>
      <w:proofErr w:type="gramEnd"/>
      <w:r w:rsidR="00C00C3C">
        <w:rPr>
          <w:rFonts w:ascii="Times New Roman" w:eastAsia="Calibri" w:hAnsi="Times New Roman" w:cs="Times New Roman"/>
        </w:rPr>
        <w:t xml:space="preserve"> </w:t>
      </w:r>
      <w:r w:rsidR="00C00C3C" w:rsidRPr="00C00C3C">
        <w:rPr>
          <w:rFonts w:ascii="Times New Roman" w:eastAsia="Calibri" w:hAnsi="Times New Roman" w:cs="Times New Roman"/>
          <w:highlight w:val="yellow"/>
        </w:rPr>
        <w:t>4</w:t>
      </w:r>
      <w:r w:rsidR="0043053F" w:rsidRPr="00B66576">
        <w:rPr>
          <w:rFonts w:ascii="Times New Roman" w:eastAsia="Calibri" w:hAnsi="Times New Roman" w:cs="Times New Roman"/>
        </w:rPr>
        <w:t xml:space="preserve"> indicates </w:t>
      </w:r>
      <w:r w:rsidR="00C00C3C" w:rsidRPr="00C00C3C">
        <w:rPr>
          <w:rFonts w:ascii="Times New Roman" w:eastAsia="Calibri" w:hAnsi="Times New Roman" w:cs="Times New Roman"/>
          <w:highlight w:val="yellow"/>
        </w:rPr>
        <w:t>the</w:t>
      </w:r>
      <w:r w:rsidR="00C00C3C">
        <w:rPr>
          <w:rFonts w:ascii="Times New Roman" w:eastAsia="Calibri" w:hAnsi="Times New Roman" w:cs="Times New Roman"/>
        </w:rPr>
        <w:t xml:space="preserve"> </w:t>
      </w:r>
      <w:r w:rsidR="0043053F" w:rsidRPr="00C00C3C">
        <w:rPr>
          <w:rFonts w:ascii="Times New Roman" w:eastAsia="Calibri" w:hAnsi="Times New Roman" w:cs="Times New Roman"/>
          <w:highlight w:val="yellow"/>
        </w:rPr>
        <w:t>high</w:t>
      </w:r>
      <w:r w:rsidR="00C00C3C" w:rsidRPr="00C00C3C">
        <w:rPr>
          <w:rFonts w:ascii="Times New Roman" w:eastAsia="Calibri" w:hAnsi="Times New Roman" w:cs="Times New Roman"/>
          <w:highlight w:val="yellow"/>
        </w:rPr>
        <w:t>est</w:t>
      </w:r>
      <w:r w:rsidR="0043053F" w:rsidRPr="00B66576">
        <w:rPr>
          <w:rFonts w:ascii="Times New Roman" w:eastAsia="Calibri" w:hAnsi="Times New Roman" w:cs="Times New Roman"/>
        </w:rPr>
        <w:t xml:space="preserve"> </w:t>
      </w:r>
      <w:proofErr w:type="spellStart"/>
      <w:r w:rsidR="0043053F" w:rsidRPr="00B66576">
        <w:rPr>
          <w:rFonts w:ascii="Times New Roman" w:eastAsia="Calibri" w:hAnsi="Times New Roman" w:cs="Times New Roman"/>
        </w:rPr>
        <w:t>dp-ucMGP</w:t>
      </w:r>
      <w:proofErr w:type="spellEnd"/>
      <w:r w:rsidR="0043053F" w:rsidRPr="00B66576">
        <w:rPr>
          <w:rFonts w:ascii="Times New Roman" w:eastAsia="Calibri" w:hAnsi="Times New Roman" w:cs="Times New Roman"/>
        </w:rPr>
        <w:t xml:space="preserve"> </w:t>
      </w:r>
      <w:r w:rsidR="00C00C3C" w:rsidRPr="00C00C3C">
        <w:rPr>
          <w:rFonts w:ascii="Times New Roman" w:eastAsia="Calibri" w:hAnsi="Times New Roman" w:cs="Times New Roman"/>
          <w:highlight w:val="yellow"/>
        </w:rPr>
        <w:t>concentration</w:t>
      </w:r>
      <w:r w:rsidR="00C00C3C">
        <w:rPr>
          <w:rFonts w:ascii="Times New Roman" w:eastAsia="Calibri" w:hAnsi="Times New Roman" w:cs="Times New Roman"/>
        </w:rPr>
        <w:t xml:space="preserve"> </w:t>
      </w:r>
      <w:r w:rsidR="0043053F" w:rsidRPr="00B66576">
        <w:rPr>
          <w:rFonts w:ascii="Times New Roman" w:eastAsia="Calibri" w:hAnsi="Times New Roman" w:cs="Times New Roman"/>
        </w:rPr>
        <w:t>and therefore reflects the lowest vitamin K status.</w:t>
      </w:r>
      <w:r w:rsidR="0043053F">
        <w:rPr>
          <w:rFonts w:ascii="Times New Roman" w:eastAsia="Calibri" w:hAnsi="Times New Roman" w:cs="Times New Roman"/>
          <w:vertAlign w:val="superscript"/>
        </w:rPr>
        <w:t xml:space="preserve"> </w:t>
      </w:r>
    </w:p>
    <w:p w:rsidR="00A329D5" w:rsidRPr="00A329D5" w:rsidRDefault="0043053F" w:rsidP="00A329D5">
      <w:pPr>
        <w:suppressAutoHyphens/>
        <w:spacing w:after="0" w:line="360" w:lineRule="auto"/>
        <w:contextualSpacing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  <w:vertAlign w:val="superscript"/>
        </w:rPr>
        <w:t>2</w:t>
      </w:r>
      <w:proofErr w:type="gramEnd"/>
      <w:r w:rsidR="00A329D5" w:rsidRPr="00A329D5">
        <w:rPr>
          <w:rFonts w:ascii="Times New Roman" w:eastAsia="Calibri" w:hAnsi="Times New Roman" w:cs="Times New Roman"/>
          <w:vertAlign w:val="superscript"/>
        </w:rPr>
        <w:t xml:space="preserve"> </w:t>
      </w:r>
      <w:r w:rsidR="00A329D5" w:rsidRPr="00A329D5">
        <w:rPr>
          <w:rFonts w:ascii="Times New Roman" w:eastAsia="Calibri" w:hAnsi="Times New Roman" w:cs="Times New Roman"/>
        </w:rPr>
        <w:t>Mean echocardiographic measures at follow-up</w:t>
      </w:r>
    </w:p>
    <w:p w:rsidR="00A329D5" w:rsidRPr="00A329D5" w:rsidRDefault="00A329D5" w:rsidP="00A329D5">
      <w:pPr>
        <w:suppressAutoHyphens/>
        <w:spacing w:after="0" w:line="360" w:lineRule="auto"/>
        <w:contextualSpacing/>
        <w:rPr>
          <w:rFonts w:ascii="Times New Roman" w:eastAsia="Calibri" w:hAnsi="Times New Roman" w:cs="Times New Roman"/>
        </w:rPr>
      </w:pPr>
      <w:r w:rsidRPr="00A329D5">
        <w:rPr>
          <w:rFonts w:ascii="Times New Roman" w:eastAsia="Calibri" w:hAnsi="Times New Roman" w:cs="Times New Roman"/>
        </w:rPr>
        <w:t>Abbreviations: LVMI: left ventricle mass index; LVEF left ventricular ejection fraction; LAVI: left atrium volume index</w:t>
      </w:r>
    </w:p>
    <w:p w:rsidR="00A329D5" w:rsidRPr="00F976A1" w:rsidRDefault="00A329D5" w:rsidP="00F976A1">
      <w:pPr>
        <w:spacing w:line="360" w:lineRule="auto"/>
        <w:rPr>
          <w:rFonts w:ascii="Times New Roman" w:eastAsia="Calibri" w:hAnsi="Times New Roman" w:cs="Times New Roman"/>
          <w:b/>
        </w:rPr>
      </w:pPr>
      <w:r w:rsidRPr="00A329D5">
        <w:rPr>
          <w:rFonts w:ascii="Times New Roman" w:eastAsia="Calibri" w:hAnsi="Times New Roman" w:cs="Times New Roman"/>
        </w:rPr>
        <w:t xml:space="preserve">Adjusted for baseline echocardiographic value (i.e. LVMI at follow-up is adjusted for baseline LVMI), follow-up duration, age, sex and glycemic status, physical activity, smoking, BMI, systolic blood pressure, total cholesterol, HbA1c, education, presence of CVD, BNP and </w:t>
      </w:r>
      <w:proofErr w:type="spellStart"/>
      <w:r w:rsidRPr="00A329D5">
        <w:rPr>
          <w:rFonts w:ascii="Times New Roman" w:eastAsia="Calibri" w:hAnsi="Times New Roman" w:cs="Times New Roman"/>
        </w:rPr>
        <w:t>eGFR</w:t>
      </w:r>
      <w:proofErr w:type="spellEnd"/>
    </w:p>
    <w:sectPr w:rsidR="00A329D5" w:rsidRPr="00F976A1" w:rsidSect="009B3465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576" w:rsidRDefault="00B66576">
      <w:pPr>
        <w:spacing w:after="0" w:line="240" w:lineRule="auto"/>
      </w:pPr>
      <w:r>
        <w:separator/>
      </w:r>
    </w:p>
  </w:endnote>
  <w:endnote w:type="continuationSeparator" w:id="0">
    <w:p w:rsidR="00B66576" w:rsidRDefault="00B66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397097629"/>
      <w:docPartObj>
        <w:docPartGallery w:val="Page Numbers (Bottom of Page)"/>
        <w:docPartUnique/>
      </w:docPartObj>
    </w:sdtPr>
    <w:sdtEndPr/>
    <w:sdtContent>
      <w:p w:rsidR="00B66576" w:rsidRPr="00986B52" w:rsidRDefault="00B66576">
        <w:pPr>
          <w:pStyle w:val="Footer"/>
          <w:jc w:val="center"/>
          <w:rPr>
            <w:rFonts w:ascii="Times New Roman" w:hAnsi="Times New Roman" w:cs="Times New Roman"/>
          </w:rPr>
        </w:pPr>
        <w:r w:rsidRPr="00986B52">
          <w:rPr>
            <w:rFonts w:ascii="Times New Roman" w:hAnsi="Times New Roman" w:cs="Times New Roman"/>
          </w:rPr>
          <w:fldChar w:fldCharType="begin"/>
        </w:r>
        <w:r w:rsidRPr="00986B52">
          <w:rPr>
            <w:rFonts w:ascii="Times New Roman" w:hAnsi="Times New Roman" w:cs="Times New Roman"/>
          </w:rPr>
          <w:instrText>PAGE   \* MERGEFORMAT</w:instrText>
        </w:r>
        <w:r w:rsidRPr="00986B52">
          <w:rPr>
            <w:rFonts w:ascii="Times New Roman" w:hAnsi="Times New Roman" w:cs="Times New Roman"/>
          </w:rPr>
          <w:fldChar w:fldCharType="separate"/>
        </w:r>
        <w:r w:rsidR="005A77B7">
          <w:rPr>
            <w:rFonts w:ascii="Times New Roman" w:hAnsi="Times New Roman" w:cs="Times New Roman"/>
            <w:noProof/>
          </w:rPr>
          <w:t>1</w:t>
        </w:r>
        <w:r w:rsidRPr="00986B5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576" w:rsidRDefault="00B66576">
      <w:pPr>
        <w:spacing w:after="0" w:line="240" w:lineRule="auto"/>
      </w:pPr>
      <w:r>
        <w:separator/>
      </w:r>
    </w:p>
  </w:footnote>
  <w:footnote w:type="continuationSeparator" w:id="0">
    <w:p w:rsidR="00B66576" w:rsidRDefault="00B66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7950"/>
    <w:multiLevelType w:val="hybridMultilevel"/>
    <w:tmpl w:val="F0DE28B6"/>
    <w:lvl w:ilvl="0" w:tplc="1BA4E328">
      <w:start w:val="20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67635"/>
    <w:multiLevelType w:val="hybridMultilevel"/>
    <w:tmpl w:val="2B2ED2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A329D5"/>
    <w:rsid w:val="000A6409"/>
    <w:rsid w:val="000B752B"/>
    <w:rsid w:val="000D676F"/>
    <w:rsid w:val="00111D21"/>
    <w:rsid w:val="00112981"/>
    <w:rsid w:val="00291383"/>
    <w:rsid w:val="002D2B89"/>
    <w:rsid w:val="0043053F"/>
    <w:rsid w:val="00441150"/>
    <w:rsid w:val="00487C1A"/>
    <w:rsid w:val="004B3049"/>
    <w:rsid w:val="00560F27"/>
    <w:rsid w:val="00565010"/>
    <w:rsid w:val="005A77B7"/>
    <w:rsid w:val="006B67DA"/>
    <w:rsid w:val="007E2CBA"/>
    <w:rsid w:val="0080219F"/>
    <w:rsid w:val="008F71D5"/>
    <w:rsid w:val="009B3465"/>
    <w:rsid w:val="00A329D5"/>
    <w:rsid w:val="00A43CD5"/>
    <w:rsid w:val="00AF7AB8"/>
    <w:rsid w:val="00B66576"/>
    <w:rsid w:val="00BF5BB6"/>
    <w:rsid w:val="00C00C3C"/>
    <w:rsid w:val="00C04B55"/>
    <w:rsid w:val="00C505FE"/>
    <w:rsid w:val="00C5246A"/>
    <w:rsid w:val="00CF49E0"/>
    <w:rsid w:val="00D45465"/>
    <w:rsid w:val="00D81688"/>
    <w:rsid w:val="00F976A1"/>
    <w:rsid w:val="00F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329D5"/>
    <w:pPr>
      <w:tabs>
        <w:tab w:val="center" w:pos="4536"/>
        <w:tab w:val="right" w:pos="9072"/>
      </w:tabs>
      <w:spacing w:after="0" w:line="240" w:lineRule="auto"/>
    </w:pPr>
    <w:rPr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A329D5"/>
  </w:style>
  <w:style w:type="character" w:styleId="LineNumber">
    <w:name w:val="line number"/>
    <w:basedOn w:val="DefaultParagraphFont"/>
    <w:uiPriority w:val="99"/>
    <w:semiHidden/>
    <w:unhideWhenUsed/>
    <w:rsid w:val="00A329D5"/>
  </w:style>
  <w:style w:type="paragraph" w:styleId="ListParagraph">
    <w:name w:val="List Paragraph"/>
    <w:basedOn w:val="Normal"/>
    <w:uiPriority w:val="34"/>
    <w:qFormat/>
    <w:rsid w:val="00A329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1D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329D5"/>
    <w:pPr>
      <w:tabs>
        <w:tab w:val="center" w:pos="4536"/>
        <w:tab w:val="right" w:pos="9072"/>
      </w:tabs>
      <w:spacing w:after="0" w:line="240" w:lineRule="auto"/>
    </w:pPr>
    <w:rPr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A329D5"/>
  </w:style>
  <w:style w:type="character" w:styleId="LineNumber">
    <w:name w:val="line number"/>
    <w:basedOn w:val="DefaultParagraphFont"/>
    <w:uiPriority w:val="99"/>
    <w:semiHidden/>
    <w:unhideWhenUsed/>
    <w:rsid w:val="00A329D5"/>
  </w:style>
  <w:style w:type="paragraph" w:styleId="ListParagraph">
    <w:name w:val="List Paragraph"/>
    <w:basedOn w:val="Normal"/>
    <w:uiPriority w:val="34"/>
    <w:qFormat/>
    <w:rsid w:val="00A329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1D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2099</Characters>
  <Application>Microsoft Office Word</Application>
  <DocSecurity>0</DocSecurity>
  <Lines>41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VUmc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 Canto, E. (Elisa)</dc:creator>
  <cp:lastModifiedBy>749797</cp:lastModifiedBy>
  <cp:revision>2</cp:revision>
  <dcterms:created xsi:type="dcterms:W3CDTF">2021-10-12T16:59:00Z</dcterms:created>
  <dcterms:modified xsi:type="dcterms:W3CDTF">2021-10-12T16:59:00Z</dcterms:modified>
</cp:coreProperties>
</file>