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C6" w:rsidRPr="00E94C34" w:rsidRDefault="000B7DC6" w:rsidP="000B7DC6">
      <w:pPr>
        <w:rPr>
          <w:rFonts w:asciiTheme="majorBidi" w:hAnsiTheme="majorBidi" w:cstheme="majorBidi"/>
        </w:rPr>
      </w:pPr>
      <w:r>
        <w:rPr>
          <w:rFonts w:asciiTheme="majorBidi" w:hAnsiTheme="majorBidi" w:cstheme="majorBidi"/>
          <w:b/>
          <w:bCs/>
        </w:rPr>
        <w:t>Additional</w:t>
      </w:r>
      <w:r w:rsidRPr="00E94C34">
        <w:rPr>
          <w:rFonts w:asciiTheme="majorBidi" w:hAnsiTheme="majorBidi" w:cstheme="majorBidi"/>
          <w:b/>
          <w:bCs/>
        </w:rPr>
        <w:t xml:space="preserve"> Material</w:t>
      </w:r>
    </w:p>
    <w:p w:rsidR="000B7DC6" w:rsidRPr="00E94C34" w:rsidRDefault="000B7DC6" w:rsidP="000B7DC6">
      <w:pPr>
        <w:rPr>
          <w:rFonts w:asciiTheme="majorBidi" w:hAnsiTheme="majorBidi" w:cstheme="majorBidi"/>
          <w:b/>
          <w:bCs/>
        </w:rPr>
      </w:pPr>
      <w:r>
        <w:rPr>
          <w:rFonts w:asciiTheme="majorBidi" w:hAnsiTheme="majorBidi" w:cstheme="majorBidi"/>
          <w:b/>
          <w:bCs/>
        </w:rPr>
        <w:t>Table A</w:t>
      </w:r>
      <w:r w:rsidRPr="00E94C34">
        <w:rPr>
          <w:rFonts w:asciiTheme="majorBidi" w:hAnsiTheme="majorBidi" w:cstheme="majorBidi"/>
          <w:b/>
          <w:bCs/>
        </w:rPr>
        <w:t>1</w:t>
      </w:r>
      <w:r>
        <w:rPr>
          <w:rFonts w:asciiTheme="majorBidi" w:hAnsiTheme="majorBidi" w:cstheme="majorBidi"/>
          <w:b/>
          <w:bCs/>
        </w:rPr>
        <w:t>.</w:t>
      </w:r>
      <w:r w:rsidRPr="00E94C34">
        <w:rPr>
          <w:rFonts w:asciiTheme="majorBidi" w:hAnsiTheme="majorBidi" w:cstheme="majorBidi"/>
          <w:b/>
          <w:bCs/>
        </w:rPr>
        <w:t xml:space="preserve"> Average mean intake (g/day) of the different food groups (as consumed)</w:t>
      </w:r>
      <w:r>
        <w:rPr>
          <w:rFonts w:asciiTheme="majorBidi" w:hAnsiTheme="majorBidi" w:cstheme="majorBidi"/>
          <w:b/>
          <w:bCs/>
        </w:rPr>
        <w:t xml:space="preserve"> per capita</w:t>
      </w:r>
      <w:r w:rsidRPr="00E94C34">
        <w:rPr>
          <w:rFonts w:asciiTheme="majorBidi" w:hAnsiTheme="majorBidi" w:cstheme="majorBidi"/>
          <w:b/>
          <w:bCs/>
        </w:rPr>
        <w:t xml:space="preserve">, by age </w:t>
      </w:r>
    </w:p>
    <w:tbl>
      <w:tblPr>
        <w:tblW w:w="11510" w:type="dxa"/>
        <w:jc w:val="center"/>
        <w:tblLook w:val="04A0" w:firstRow="1" w:lastRow="0" w:firstColumn="1" w:lastColumn="0" w:noHBand="0" w:noVBand="1"/>
      </w:tblPr>
      <w:tblGrid>
        <w:gridCol w:w="4442"/>
        <w:gridCol w:w="1668"/>
        <w:gridCol w:w="1798"/>
        <w:gridCol w:w="1802"/>
        <w:gridCol w:w="1800"/>
      </w:tblGrid>
      <w:tr w:rsidR="000B7DC6" w:rsidRPr="00B975BD" w:rsidTr="008077C4">
        <w:trPr>
          <w:trHeight w:val="316"/>
          <w:jc w:val="center"/>
        </w:trPr>
        <w:tc>
          <w:tcPr>
            <w:tcW w:w="444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Food Groups</w:t>
            </w:r>
          </w:p>
        </w:tc>
        <w:tc>
          <w:tcPr>
            <w:tcW w:w="706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B7DC6" w:rsidRPr="00B975BD" w:rsidRDefault="000B7DC6" w:rsidP="008077C4">
            <w:pPr>
              <w:spacing w:after="0" w:line="240" w:lineRule="auto"/>
              <w:jc w:val="center"/>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Age group (months)</w:t>
            </w:r>
          </w:p>
        </w:tc>
      </w:tr>
      <w:tr w:rsidR="000B7DC6" w:rsidRPr="00B975BD" w:rsidTr="008077C4">
        <w:trPr>
          <w:trHeight w:val="316"/>
          <w:jc w:val="center"/>
        </w:trPr>
        <w:tc>
          <w:tcPr>
            <w:tcW w:w="4442" w:type="dxa"/>
            <w:vMerge/>
            <w:tcBorders>
              <w:top w:val="single" w:sz="8" w:space="0" w:color="auto"/>
              <w:left w:val="single" w:sz="8" w:space="0" w:color="auto"/>
              <w:bottom w:val="single" w:sz="8" w:space="0" w:color="000000"/>
              <w:right w:val="single" w:sz="8" w:space="0" w:color="auto"/>
            </w:tcBorders>
            <w:vAlign w:val="center"/>
            <w:hideMark/>
          </w:tcPr>
          <w:p w:rsidR="000B7DC6" w:rsidRPr="00B975BD" w:rsidRDefault="000B7DC6" w:rsidP="008077C4">
            <w:pPr>
              <w:spacing w:after="0" w:line="240" w:lineRule="auto"/>
              <w:rPr>
                <w:rFonts w:ascii="Times New Roman" w:eastAsia="Times New Roman" w:hAnsi="Times New Roman" w:cs="Times New Roman"/>
                <w:b/>
                <w:bCs/>
                <w:color w:val="000000"/>
              </w:rPr>
            </w:pPr>
          </w:p>
        </w:tc>
        <w:tc>
          <w:tcPr>
            <w:tcW w:w="1668" w:type="dxa"/>
            <w:tcBorders>
              <w:top w:val="nil"/>
              <w:left w:val="nil"/>
              <w:bottom w:val="single" w:sz="8" w:space="0" w:color="auto"/>
              <w:right w:val="nil"/>
            </w:tcBorders>
            <w:shd w:val="clear" w:color="auto" w:fill="auto"/>
            <w:noWrap/>
            <w:vAlign w:val="bottom"/>
            <w:hideMark/>
          </w:tcPr>
          <w:p w:rsidR="000B7DC6" w:rsidRPr="00B975BD" w:rsidRDefault="000B7DC6" w:rsidP="008077C4">
            <w:pPr>
              <w:spacing w:after="0" w:line="240" w:lineRule="auto"/>
              <w:jc w:val="center"/>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0-5.9  (n=103)</w:t>
            </w:r>
          </w:p>
        </w:tc>
        <w:tc>
          <w:tcPr>
            <w:tcW w:w="1798" w:type="dxa"/>
            <w:tcBorders>
              <w:top w:val="nil"/>
              <w:left w:val="nil"/>
              <w:bottom w:val="single" w:sz="8" w:space="0" w:color="auto"/>
              <w:right w:val="nil"/>
            </w:tcBorders>
            <w:shd w:val="clear" w:color="auto" w:fill="auto"/>
            <w:noWrap/>
            <w:vAlign w:val="bottom"/>
            <w:hideMark/>
          </w:tcPr>
          <w:p w:rsidR="000B7DC6" w:rsidRPr="00B975BD" w:rsidRDefault="000B7DC6" w:rsidP="008077C4">
            <w:pPr>
              <w:spacing w:after="0" w:line="240" w:lineRule="auto"/>
              <w:jc w:val="center"/>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6-11.9  (n=148)</w:t>
            </w:r>
          </w:p>
        </w:tc>
        <w:tc>
          <w:tcPr>
            <w:tcW w:w="1802" w:type="dxa"/>
            <w:tcBorders>
              <w:top w:val="nil"/>
              <w:left w:val="nil"/>
              <w:bottom w:val="single" w:sz="8" w:space="0" w:color="auto"/>
              <w:right w:val="nil"/>
            </w:tcBorders>
            <w:shd w:val="clear" w:color="auto" w:fill="auto"/>
            <w:noWrap/>
            <w:vAlign w:val="bottom"/>
            <w:hideMark/>
          </w:tcPr>
          <w:p w:rsidR="000B7DC6" w:rsidRPr="00B975BD" w:rsidRDefault="000B7DC6" w:rsidP="008077C4">
            <w:pPr>
              <w:spacing w:after="0" w:line="240" w:lineRule="auto"/>
              <w:jc w:val="center"/>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12-23.9  (n=222)</w:t>
            </w:r>
          </w:p>
        </w:tc>
        <w:tc>
          <w:tcPr>
            <w:tcW w:w="1800" w:type="dxa"/>
            <w:tcBorders>
              <w:top w:val="nil"/>
              <w:left w:val="nil"/>
              <w:bottom w:val="single" w:sz="8" w:space="0" w:color="auto"/>
              <w:right w:val="single" w:sz="8" w:space="0" w:color="auto"/>
            </w:tcBorders>
            <w:shd w:val="clear" w:color="auto" w:fill="auto"/>
            <w:noWrap/>
            <w:vAlign w:val="bottom"/>
            <w:hideMark/>
          </w:tcPr>
          <w:p w:rsidR="000B7DC6" w:rsidRPr="00B975BD" w:rsidRDefault="000B7DC6" w:rsidP="008077C4">
            <w:pPr>
              <w:spacing w:after="0" w:line="240" w:lineRule="auto"/>
              <w:jc w:val="center"/>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24-47.9  (n=393)</w:t>
            </w:r>
          </w:p>
        </w:tc>
      </w:tr>
      <w:tr w:rsidR="000B7DC6" w:rsidRPr="00B975BD" w:rsidTr="008077C4">
        <w:trPr>
          <w:trHeight w:val="316"/>
          <w:jc w:val="center"/>
        </w:trPr>
        <w:tc>
          <w:tcPr>
            <w:tcW w:w="4442" w:type="dxa"/>
            <w:vMerge/>
            <w:tcBorders>
              <w:top w:val="single" w:sz="8" w:space="0" w:color="auto"/>
              <w:left w:val="single" w:sz="8" w:space="0" w:color="auto"/>
              <w:bottom w:val="single" w:sz="8" w:space="0" w:color="000000"/>
              <w:right w:val="single" w:sz="8" w:space="0" w:color="auto"/>
            </w:tcBorders>
            <w:vAlign w:val="center"/>
            <w:hideMark/>
          </w:tcPr>
          <w:p w:rsidR="000B7DC6" w:rsidRPr="00B975BD" w:rsidRDefault="000B7DC6" w:rsidP="008077C4">
            <w:pPr>
              <w:spacing w:after="0" w:line="240" w:lineRule="auto"/>
              <w:rPr>
                <w:rFonts w:ascii="Times New Roman" w:eastAsia="Times New Roman" w:hAnsi="Times New Roman" w:cs="Times New Roman"/>
                <w:b/>
                <w:bCs/>
                <w:color w:val="000000"/>
              </w:rPr>
            </w:pPr>
          </w:p>
        </w:tc>
        <w:tc>
          <w:tcPr>
            <w:tcW w:w="7068" w:type="dxa"/>
            <w:gridSpan w:val="4"/>
            <w:tcBorders>
              <w:top w:val="nil"/>
              <w:left w:val="nil"/>
              <w:bottom w:val="nil"/>
              <w:right w:val="single" w:sz="8" w:space="0" w:color="000000"/>
            </w:tcBorders>
            <w:shd w:val="clear" w:color="auto" w:fill="auto"/>
            <w:vAlign w:val="center"/>
            <w:hideMark/>
          </w:tcPr>
          <w:p w:rsidR="000B7DC6" w:rsidRPr="00B975BD" w:rsidRDefault="000B7DC6" w:rsidP="008077C4">
            <w:pPr>
              <w:spacing w:after="0" w:line="240" w:lineRule="auto"/>
              <w:jc w:val="center"/>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Mean ± SE</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Grain and grain products¹</w:t>
            </w:r>
          </w:p>
        </w:tc>
        <w:tc>
          <w:tcPr>
            <w:tcW w:w="1668" w:type="dxa"/>
            <w:tcBorders>
              <w:top w:val="single" w:sz="8" w:space="0" w:color="auto"/>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5.59 ± 1.89</w:t>
            </w:r>
          </w:p>
        </w:tc>
        <w:tc>
          <w:tcPr>
            <w:tcW w:w="1798" w:type="dxa"/>
            <w:tcBorders>
              <w:top w:val="single" w:sz="8" w:space="0" w:color="auto"/>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46.3 ± 5.01</w:t>
            </w:r>
          </w:p>
        </w:tc>
        <w:tc>
          <w:tcPr>
            <w:tcW w:w="1802" w:type="dxa"/>
            <w:tcBorders>
              <w:top w:val="single" w:sz="8" w:space="0" w:color="auto"/>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85.17 ± 6.00</w:t>
            </w:r>
          </w:p>
        </w:tc>
        <w:tc>
          <w:tcPr>
            <w:tcW w:w="1800" w:type="dxa"/>
            <w:tcBorders>
              <w:top w:val="single" w:sz="8" w:space="0" w:color="auto"/>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87.36 ± 4.43</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Fruits²</w:t>
            </w:r>
          </w:p>
        </w:tc>
        <w:tc>
          <w:tcPr>
            <w:tcW w:w="1668" w:type="dxa"/>
            <w:tcBorders>
              <w:top w:val="nil"/>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4.61 ± 2.29</w:t>
            </w:r>
          </w:p>
        </w:tc>
        <w:tc>
          <w:tcPr>
            <w:tcW w:w="1798"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68.78 ± 8.42</w:t>
            </w:r>
          </w:p>
        </w:tc>
        <w:tc>
          <w:tcPr>
            <w:tcW w:w="1802"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106.2 ± 9.39</w:t>
            </w:r>
          </w:p>
        </w:tc>
        <w:tc>
          <w:tcPr>
            <w:tcW w:w="1800" w:type="dxa"/>
            <w:tcBorders>
              <w:top w:val="nil"/>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188.08 ± 10.49</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Vegetables³</w:t>
            </w:r>
          </w:p>
        </w:tc>
        <w:tc>
          <w:tcPr>
            <w:tcW w:w="1668" w:type="dxa"/>
            <w:tcBorders>
              <w:top w:val="nil"/>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4.66 ± 4.66</w:t>
            </w:r>
          </w:p>
        </w:tc>
        <w:tc>
          <w:tcPr>
            <w:tcW w:w="1798"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25.16 ± 4.19</w:t>
            </w:r>
          </w:p>
        </w:tc>
        <w:tc>
          <w:tcPr>
            <w:tcW w:w="1802"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61.60 ± 6.60</w:t>
            </w:r>
          </w:p>
        </w:tc>
        <w:tc>
          <w:tcPr>
            <w:tcW w:w="1800" w:type="dxa"/>
            <w:tcBorders>
              <w:top w:val="nil"/>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101.10 ± 6.50</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Milk and milk products</w:t>
            </w:r>
            <w:r w:rsidRPr="00B975BD">
              <w:rPr>
                <w:rFonts w:ascii="Cambria Math" w:eastAsia="Times New Roman" w:hAnsi="Cambria Math" w:cs="Cambria Math"/>
                <w:b/>
                <w:bCs/>
                <w:color w:val="000000"/>
              </w:rPr>
              <w:t>⁴</w:t>
            </w:r>
          </w:p>
        </w:tc>
        <w:tc>
          <w:tcPr>
            <w:tcW w:w="1668" w:type="dxa"/>
            <w:tcBorders>
              <w:top w:val="nil"/>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472.23 ±  30.19</w:t>
            </w:r>
          </w:p>
        </w:tc>
        <w:tc>
          <w:tcPr>
            <w:tcW w:w="1798"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302.53 ± 20.75</w:t>
            </w:r>
          </w:p>
        </w:tc>
        <w:tc>
          <w:tcPr>
            <w:tcW w:w="1802"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170.06 ± 12.69</w:t>
            </w:r>
          </w:p>
        </w:tc>
        <w:tc>
          <w:tcPr>
            <w:tcW w:w="1800" w:type="dxa"/>
            <w:tcBorders>
              <w:top w:val="nil"/>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109.63 ± 6.67</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Meats and other protein sources</w:t>
            </w:r>
            <w:r w:rsidRPr="00B975BD">
              <w:rPr>
                <w:rFonts w:ascii="Cambria Math" w:eastAsia="Times New Roman" w:hAnsi="Cambria Math" w:cs="Cambria Math"/>
                <w:b/>
                <w:bCs/>
                <w:color w:val="000000"/>
              </w:rPr>
              <w:t>⁵</w:t>
            </w:r>
          </w:p>
        </w:tc>
        <w:tc>
          <w:tcPr>
            <w:tcW w:w="1668" w:type="dxa"/>
            <w:tcBorders>
              <w:top w:val="nil"/>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0.00 ±  0.00</w:t>
            </w:r>
          </w:p>
        </w:tc>
        <w:tc>
          <w:tcPr>
            <w:tcW w:w="1798"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6.85 ± 1.74</w:t>
            </w:r>
          </w:p>
        </w:tc>
        <w:tc>
          <w:tcPr>
            <w:tcW w:w="1802"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25.35 ± 3.21</w:t>
            </w:r>
          </w:p>
        </w:tc>
        <w:tc>
          <w:tcPr>
            <w:tcW w:w="1800" w:type="dxa"/>
            <w:tcBorders>
              <w:top w:val="nil"/>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59.89 ± 4.00</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Mixed dishes</w:t>
            </w:r>
            <w:r w:rsidRPr="00B975BD">
              <w:rPr>
                <w:rFonts w:ascii="Cambria Math" w:eastAsia="Times New Roman" w:hAnsi="Cambria Math" w:cs="Cambria Math"/>
                <w:b/>
                <w:bCs/>
                <w:color w:val="000000"/>
              </w:rPr>
              <w:t>⁶</w:t>
            </w:r>
          </w:p>
        </w:tc>
        <w:tc>
          <w:tcPr>
            <w:tcW w:w="1668" w:type="dxa"/>
            <w:tcBorders>
              <w:top w:val="nil"/>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0.89 ± 0.89</w:t>
            </w:r>
          </w:p>
        </w:tc>
        <w:tc>
          <w:tcPr>
            <w:tcW w:w="1798"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60.34 ± 8.20</w:t>
            </w:r>
          </w:p>
        </w:tc>
        <w:tc>
          <w:tcPr>
            <w:tcW w:w="1802"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131.87 ± 11.29</w:t>
            </w:r>
          </w:p>
        </w:tc>
        <w:tc>
          <w:tcPr>
            <w:tcW w:w="1800" w:type="dxa"/>
            <w:tcBorders>
              <w:top w:val="nil"/>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164.27 ± 9.25</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Savory snacks</w:t>
            </w:r>
            <w:r w:rsidRPr="00B975BD">
              <w:rPr>
                <w:rFonts w:ascii="Cambria Math" w:eastAsia="Times New Roman" w:hAnsi="Cambria Math" w:cs="Cambria Math"/>
                <w:b/>
                <w:bCs/>
                <w:color w:val="000000"/>
              </w:rPr>
              <w:t>⁷</w:t>
            </w:r>
          </w:p>
        </w:tc>
        <w:tc>
          <w:tcPr>
            <w:tcW w:w="1668" w:type="dxa"/>
            <w:tcBorders>
              <w:top w:val="nil"/>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0.00 ±  0.00</w:t>
            </w:r>
          </w:p>
        </w:tc>
        <w:tc>
          <w:tcPr>
            <w:tcW w:w="1798"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1.73 ± 0.53</w:t>
            </w:r>
          </w:p>
        </w:tc>
        <w:tc>
          <w:tcPr>
            <w:tcW w:w="1802"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7.18 ± 0.97</w:t>
            </w:r>
          </w:p>
        </w:tc>
        <w:tc>
          <w:tcPr>
            <w:tcW w:w="1800" w:type="dxa"/>
            <w:tcBorders>
              <w:top w:val="nil"/>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15.65 ± 1.40</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Sweets, sweetened beverages, and desserts</w:t>
            </w:r>
            <w:r w:rsidRPr="00B975BD">
              <w:rPr>
                <w:rFonts w:ascii="Cambria Math" w:eastAsia="Times New Roman" w:hAnsi="Cambria Math" w:cs="Cambria Math"/>
                <w:b/>
                <w:bCs/>
                <w:color w:val="000000"/>
              </w:rPr>
              <w:t>⁸</w:t>
            </w:r>
          </w:p>
        </w:tc>
        <w:tc>
          <w:tcPr>
            <w:tcW w:w="1668" w:type="dxa"/>
            <w:tcBorders>
              <w:top w:val="nil"/>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3.94 ±  2.94</w:t>
            </w:r>
          </w:p>
        </w:tc>
        <w:tc>
          <w:tcPr>
            <w:tcW w:w="1798"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69.91 ± 10.52</w:t>
            </w:r>
          </w:p>
        </w:tc>
        <w:tc>
          <w:tcPr>
            <w:tcW w:w="1802"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162.41 ± 13.35</w:t>
            </w:r>
          </w:p>
        </w:tc>
        <w:tc>
          <w:tcPr>
            <w:tcW w:w="1800" w:type="dxa"/>
            <w:tcBorders>
              <w:top w:val="nil"/>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255.8 ± 12.65</w:t>
            </w:r>
          </w:p>
        </w:tc>
      </w:tr>
      <w:tr w:rsidR="000B7DC6" w:rsidRPr="00B975BD" w:rsidTr="008077C4">
        <w:trPr>
          <w:trHeight w:val="300"/>
          <w:jc w:val="center"/>
        </w:trPr>
        <w:tc>
          <w:tcPr>
            <w:tcW w:w="4442" w:type="dxa"/>
            <w:tcBorders>
              <w:top w:val="nil"/>
              <w:left w:val="single" w:sz="8" w:space="0" w:color="auto"/>
              <w:bottom w:val="nil"/>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Fats and oils</w:t>
            </w:r>
            <w:r w:rsidRPr="00B975BD">
              <w:rPr>
                <w:rFonts w:ascii="Cambria Math" w:eastAsia="Times New Roman" w:hAnsi="Cambria Math" w:cs="Cambria Math"/>
                <w:b/>
                <w:bCs/>
                <w:color w:val="000000"/>
              </w:rPr>
              <w:t>⁹</w:t>
            </w:r>
          </w:p>
        </w:tc>
        <w:tc>
          <w:tcPr>
            <w:tcW w:w="1668" w:type="dxa"/>
            <w:tcBorders>
              <w:top w:val="nil"/>
              <w:left w:val="single" w:sz="8" w:space="0" w:color="auto"/>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0.36 ± 0.27</w:t>
            </w:r>
          </w:p>
        </w:tc>
        <w:tc>
          <w:tcPr>
            <w:tcW w:w="1798"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8.77 ± 1.11</w:t>
            </w:r>
          </w:p>
        </w:tc>
        <w:tc>
          <w:tcPr>
            <w:tcW w:w="1802" w:type="dxa"/>
            <w:tcBorders>
              <w:top w:val="nil"/>
              <w:left w:val="nil"/>
              <w:bottom w:val="nil"/>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12.61 ± 1.06</w:t>
            </w:r>
          </w:p>
        </w:tc>
        <w:tc>
          <w:tcPr>
            <w:tcW w:w="1800" w:type="dxa"/>
            <w:tcBorders>
              <w:top w:val="nil"/>
              <w:left w:val="nil"/>
              <w:bottom w:val="nil"/>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14.62 ± 1.17</w:t>
            </w:r>
          </w:p>
        </w:tc>
      </w:tr>
      <w:tr w:rsidR="000B7DC6" w:rsidRPr="00B975BD" w:rsidTr="008077C4">
        <w:trPr>
          <w:trHeight w:val="316"/>
          <w:jc w:val="center"/>
        </w:trPr>
        <w:tc>
          <w:tcPr>
            <w:tcW w:w="4442" w:type="dxa"/>
            <w:tcBorders>
              <w:top w:val="nil"/>
              <w:left w:val="single" w:sz="8" w:space="0" w:color="auto"/>
              <w:bottom w:val="single" w:sz="8" w:space="0" w:color="auto"/>
              <w:right w:val="nil"/>
            </w:tcBorders>
            <w:shd w:val="clear" w:color="auto" w:fill="auto"/>
            <w:noWrap/>
            <w:vAlign w:val="bottom"/>
            <w:hideMark/>
          </w:tcPr>
          <w:p w:rsidR="000B7DC6" w:rsidRPr="00B975BD" w:rsidRDefault="000B7DC6" w:rsidP="008077C4">
            <w:pPr>
              <w:spacing w:after="0" w:line="240" w:lineRule="auto"/>
              <w:rPr>
                <w:rFonts w:ascii="Times New Roman" w:eastAsia="Times New Roman" w:hAnsi="Times New Roman" w:cs="Times New Roman"/>
                <w:b/>
                <w:bCs/>
                <w:color w:val="000000"/>
              </w:rPr>
            </w:pPr>
            <w:r w:rsidRPr="00B975BD">
              <w:rPr>
                <w:rFonts w:ascii="Times New Roman" w:eastAsia="Times New Roman" w:hAnsi="Times New Roman" w:cs="Times New Roman"/>
                <w:b/>
                <w:bCs/>
                <w:color w:val="000000"/>
              </w:rPr>
              <w:t>Condiments and sauce</w:t>
            </w:r>
            <w:r w:rsidRPr="009A7579">
              <w:rPr>
                <w:rFonts w:asciiTheme="majorBidi" w:eastAsia="Times New Roman" w:hAnsiTheme="majorBidi" w:cstheme="majorBidi"/>
                <w:b/>
                <w:bCs/>
                <w:color w:val="000000"/>
              </w:rPr>
              <w:t>s¹⁰</w:t>
            </w:r>
          </w:p>
        </w:tc>
        <w:tc>
          <w:tcPr>
            <w:tcW w:w="1668" w:type="dxa"/>
            <w:tcBorders>
              <w:top w:val="nil"/>
              <w:left w:val="single" w:sz="8" w:space="0" w:color="auto"/>
              <w:bottom w:val="single" w:sz="8" w:space="0" w:color="auto"/>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0.00 ± 0.00</w:t>
            </w:r>
          </w:p>
        </w:tc>
        <w:tc>
          <w:tcPr>
            <w:tcW w:w="1798" w:type="dxa"/>
            <w:tcBorders>
              <w:top w:val="nil"/>
              <w:left w:val="nil"/>
              <w:bottom w:val="single" w:sz="8" w:space="0" w:color="auto"/>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0.02 ± 0.01</w:t>
            </w:r>
          </w:p>
        </w:tc>
        <w:tc>
          <w:tcPr>
            <w:tcW w:w="1802" w:type="dxa"/>
            <w:tcBorders>
              <w:top w:val="nil"/>
              <w:left w:val="nil"/>
              <w:bottom w:val="single" w:sz="8" w:space="0" w:color="auto"/>
              <w:right w:val="nil"/>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0.50 ± 0.22</w:t>
            </w:r>
          </w:p>
        </w:tc>
        <w:tc>
          <w:tcPr>
            <w:tcW w:w="1800" w:type="dxa"/>
            <w:tcBorders>
              <w:top w:val="nil"/>
              <w:left w:val="nil"/>
              <w:bottom w:val="single" w:sz="8" w:space="0" w:color="auto"/>
              <w:right w:val="single" w:sz="8" w:space="0" w:color="auto"/>
            </w:tcBorders>
            <w:shd w:val="clear" w:color="auto" w:fill="auto"/>
            <w:noWrap/>
            <w:vAlign w:val="center"/>
            <w:hideMark/>
          </w:tcPr>
          <w:p w:rsidR="000B7DC6" w:rsidRPr="00B975BD" w:rsidRDefault="000B7DC6" w:rsidP="008077C4">
            <w:pPr>
              <w:spacing w:after="0" w:line="240" w:lineRule="auto"/>
              <w:jc w:val="center"/>
              <w:rPr>
                <w:rFonts w:ascii="Times New Roman" w:eastAsia="Times New Roman" w:hAnsi="Times New Roman" w:cs="Times New Roman"/>
                <w:color w:val="000000"/>
              </w:rPr>
            </w:pPr>
            <w:r w:rsidRPr="00B975BD">
              <w:rPr>
                <w:rFonts w:ascii="Times New Roman" w:eastAsia="Times New Roman" w:hAnsi="Times New Roman" w:cs="Times New Roman"/>
                <w:color w:val="000000"/>
              </w:rPr>
              <w:t>2.29 ± 0.51</w:t>
            </w:r>
          </w:p>
        </w:tc>
      </w:tr>
    </w:tbl>
    <w:p w:rsidR="000B7DC6" w:rsidRPr="009A7579" w:rsidRDefault="000B7DC6" w:rsidP="000B7DC6">
      <w:pPr>
        <w:autoSpaceDE w:val="0"/>
        <w:autoSpaceDN w:val="0"/>
        <w:adjustRightInd w:val="0"/>
        <w:spacing w:after="0" w:line="240" w:lineRule="auto"/>
        <w:rPr>
          <w:rFonts w:asciiTheme="majorBidi" w:hAnsiTheme="majorBidi" w:cstheme="majorBidi"/>
          <w:sz w:val="18"/>
          <w:szCs w:val="18"/>
        </w:rPr>
      </w:pPr>
      <w:r w:rsidRPr="009A7579">
        <w:rPr>
          <w:rFonts w:asciiTheme="majorBidi" w:hAnsiTheme="majorBidi" w:cstheme="majorBidi"/>
          <w:sz w:val="18"/>
          <w:szCs w:val="18"/>
          <w:vertAlign w:val="superscript"/>
        </w:rPr>
        <w:t>1</w:t>
      </w:r>
      <w:r w:rsidRPr="009A7579">
        <w:rPr>
          <w:rFonts w:asciiTheme="majorBidi" w:hAnsiTheme="majorBidi" w:cstheme="majorBidi"/>
          <w:sz w:val="18"/>
          <w:szCs w:val="18"/>
        </w:rPr>
        <w:t xml:space="preserve"> Includes bread, rolls, pita, </w:t>
      </w:r>
      <w:proofErr w:type="spellStart"/>
      <w:r w:rsidRPr="009A7579">
        <w:rPr>
          <w:rFonts w:asciiTheme="majorBidi" w:hAnsiTheme="majorBidi" w:cstheme="majorBidi"/>
          <w:sz w:val="18"/>
          <w:szCs w:val="18"/>
        </w:rPr>
        <w:t>saj</w:t>
      </w:r>
      <w:proofErr w:type="spellEnd"/>
      <w:r w:rsidRPr="009A7579">
        <w:rPr>
          <w:rFonts w:asciiTheme="majorBidi" w:hAnsiTheme="majorBidi" w:cstheme="majorBidi"/>
          <w:sz w:val="18"/>
          <w:szCs w:val="18"/>
        </w:rPr>
        <w:t xml:space="preserve">, baby food cereals/grains, baby food finger food, cereals, crackers, pretzels, </w:t>
      </w:r>
      <w:proofErr w:type="spellStart"/>
      <w:r w:rsidRPr="009A7579">
        <w:rPr>
          <w:rFonts w:asciiTheme="majorBidi" w:hAnsiTheme="majorBidi" w:cstheme="majorBidi"/>
          <w:sz w:val="18"/>
          <w:szCs w:val="18"/>
        </w:rPr>
        <w:t>kaak</w:t>
      </w:r>
      <w:proofErr w:type="spellEnd"/>
      <w:r w:rsidRPr="009A7579">
        <w:rPr>
          <w:rFonts w:asciiTheme="majorBidi" w:hAnsiTheme="majorBidi" w:cstheme="majorBidi"/>
          <w:sz w:val="18"/>
          <w:szCs w:val="18"/>
        </w:rPr>
        <w:t>, pancakes, French toast, pasta, rice, and other grains</w:t>
      </w:r>
      <w:r w:rsidR="009A7579" w:rsidRPr="009A7579">
        <w:rPr>
          <w:rFonts w:asciiTheme="majorBidi" w:hAnsiTheme="majorBidi" w:cstheme="majorBidi"/>
          <w:sz w:val="18"/>
          <w:szCs w:val="18"/>
        </w:rPr>
        <w:t>.</w:t>
      </w:r>
      <w:r w:rsidRPr="009A7579">
        <w:rPr>
          <w:rFonts w:asciiTheme="majorBidi" w:hAnsiTheme="majorBidi" w:cstheme="majorBidi"/>
          <w:sz w:val="18"/>
          <w:szCs w:val="18"/>
        </w:rPr>
        <w:br/>
      </w:r>
      <w:r w:rsidRPr="009A7579">
        <w:rPr>
          <w:rFonts w:asciiTheme="majorBidi" w:hAnsiTheme="majorBidi" w:cstheme="majorBidi"/>
          <w:sz w:val="18"/>
          <w:szCs w:val="18"/>
          <w:vertAlign w:val="superscript"/>
        </w:rPr>
        <w:t>2</w:t>
      </w:r>
      <w:r w:rsidRPr="009A7579">
        <w:rPr>
          <w:rFonts w:asciiTheme="majorBidi" w:hAnsiTheme="majorBidi" w:cstheme="majorBidi"/>
          <w:sz w:val="18"/>
          <w:szCs w:val="18"/>
        </w:rPr>
        <w:t xml:space="preserve"> Includes baby food fruits, canned, dried, and raw fruits, 100% baby food juices, and other 100% fruit juices</w:t>
      </w:r>
      <w:r w:rsidR="009A7579" w:rsidRPr="009A7579">
        <w:rPr>
          <w:rFonts w:asciiTheme="majorBidi" w:hAnsiTheme="majorBidi" w:cstheme="majorBidi"/>
          <w:sz w:val="18"/>
          <w:szCs w:val="18"/>
        </w:rPr>
        <w:t>.</w:t>
      </w:r>
      <w:r w:rsidRPr="009A7579">
        <w:rPr>
          <w:rFonts w:asciiTheme="majorBidi" w:hAnsiTheme="majorBidi" w:cstheme="majorBidi"/>
          <w:sz w:val="18"/>
          <w:szCs w:val="18"/>
        </w:rPr>
        <w:br/>
      </w:r>
      <w:r w:rsidRPr="009A7579">
        <w:rPr>
          <w:rFonts w:asciiTheme="majorBidi" w:hAnsiTheme="majorBidi" w:cstheme="majorBidi"/>
          <w:sz w:val="18"/>
          <w:szCs w:val="18"/>
          <w:vertAlign w:val="superscript"/>
        </w:rPr>
        <w:t>3</w:t>
      </w:r>
      <w:r w:rsidRPr="009A7579">
        <w:rPr>
          <w:rFonts w:asciiTheme="majorBidi" w:hAnsiTheme="majorBidi" w:cstheme="majorBidi"/>
          <w:sz w:val="18"/>
          <w:szCs w:val="18"/>
        </w:rPr>
        <w:t xml:space="preserve"> Includes baby food vegetables, canned, cooked and raw vegetables, white potatoes, and 100% vegetable juice</w:t>
      </w:r>
      <w:r w:rsidR="009A7579" w:rsidRPr="009A7579">
        <w:rPr>
          <w:rFonts w:asciiTheme="majorBidi" w:hAnsiTheme="majorBidi" w:cstheme="majorBidi"/>
          <w:sz w:val="18"/>
          <w:szCs w:val="18"/>
        </w:rPr>
        <w:t>.</w:t>
      </w:r>
      <w:r w:rsidRPr="009A7579">
        <w:rPr>
          <w:rFonts w:asciiTheme="majorBidi" w:hAnsiTheme="majorBidi" w:cstheme="majorBidi"/>
          <w:sz w:val="18"/>
          <w:szCs w:val="18"/>
        </w:rPr>
        <w:br/>
      </w:r>
      <w:r w:rsidRPr="009A7579">
        <w:rPr>
          <w:rFonts w:asciiTheme="majorBidi" w:hAnsiTheme="majorBidi" w:cstheme="majorBidi"/>
          <w:sz w:val="18"/>
          <w:szCs w:val="18"/>
          <w:vertAlign w:val="superscript"/>
        </w:rPr>
        <w:t>4</w:t>
      </w:r>
      <w:r w:rsidRPr="009A7579">
        <w:rPr>
          <w:rFonts w:asciiTheme="majorBidi" w:hAnsiTheme="majorBidi" w:cstheme="majorBidi"/>
          <w:sz w:val="18"/>
          <w:szCs w:val="18"/>
        </w:rPr>
        <w:t xml:space="preserve"> Includes any milk (breast milk, infant formula, cow’s milk, and goat’s milk) as well as d</w:t>
      </w:r>
      <w:r w:rsidR="009A7579" w:rsidRPr="009A7579">
        <w:rPr>
          <w:rFonts w:asciiTheme="majorBidi" w:hAnsiTheme="majorBidi" w:cstheme="majorBidi"/>
          <w:sz w:val="18"/>
          <w:szCs w:val="18"/>
        </w:rPr>
        <w:t>airy foods, cheeses, and yogurt.</w:t>
      </w:r>
    </w:p>
    <w:p w:rsidR="000B7DC6" w:rsidRPr="009A7579" w:rsidRDefault="000B7DC6" w:rsidP="000B7DC6">
      <w:pPr>
        <w:autoSpaceDE w:val="0"/>
        <w:autoSpaceDN w:val="0"/>
        <w:adjustRightInd w:val="0"/>
        <w:spacing w:after="0" w:line="240" w:lineRule="auto"/>
        <w:rPr>
          <w:rFonts w:asciiTheme="majorBidi" w:hAnsiTheme="majorBidi" w:cstheme="majorBidi"/>
          <w:sz w:val="18"/>
          <w:szCs w:val="18"/>
        </w:rPr>
      </w:pPr>
      <w:r w:rsidRPr="009A7579">
        <w:rPr>
          <w:rFonts w:asciiTheme="majorBidi" w:hAnsiTheme="majorBidi" w:cstheme="majorBidi"/>
          <w:sz w:val="18"/>
          <w:szCs w:val="18"/>
        </w:rPr>
        <w:t>⁵ Includes any baby food and non-baby food meats, dried beans, peas and legumes, eggs, peanut butter, nuts and seeds</w:t>
      </w:r>
      <w:r w:rsidR="009A7579" w:rsidRPr="009A7579">
        <w:rPr>
          <w:rFonts w:asciiTheme="majorBidi" w:hAnsiTheme="majorBidi" w:cstheme="majorBidi"/>
          <w:sz w:val="18"/>
          <w:szCs w:val="18"/>
        </w:rPr>
        <w:t>.</w:t>
      </w:r>
      <w:r w:rsidRPr="009A7579">
        <w:rPr>
          <w:rFonts w:asciiTheme="majorBidi" w:hAnsiTheme="majorBidi" w:cstheme="majorBidi"/>
          <w:sz w:val="18"/>
          <w:szCs w:val="18"/>
        </w:rPr>
        <w:t xml:space="preserve"> </w:t>
      </w:r>
    </w:p>
    <w:p w:rsidR="000B7DC6" w:rsidRPr="009A7579" w:rsidRDefault="000B7DC6" w:rsidP="000B7DC6">
      <w:pPr>
        <w:autoSpaceDE w:val="0"/>
        <w:autoSpaceDN w:val="0"/>
        <w:adjustRightInd w:val="0"/>
        <w:spacing w:after="0" w:line="240" w:lineRule="auto"/>
        <w:rPr>
          <w:rFonts w:asciiTheme="majorBidi" w:hAnsiTheme="majorBidi" w:cstheme="majorBidi"/>
          <w:sz w:val="18"/>
          <w:szCs w:val="18"/>
        </w:rPr>
      </w:pPr>
      <w:r w:rsidRPr="009A7579">
        <w:rPr>
          <w:rFonts w:asciiTheme="majorBidi" w:hAnsiTheme="majorBidi" w:cstheme="majorBidi"/>
          <w:color w:val="000000" w:themeColor="text1"/>
          <w:sz w:val="18"/>
          <w:szCs w:val="18"/>
          <w:vertAlign w:val="superscript"/>
        </w:rPr>
        <w:t>6</w:t>
      </w:r>
      <w:r w:rsidRPr="009A7579">
        <w:rPr>
          <w:rFonts w:asciiTheme="majorBidi" w:hAnsiTheme="majorBidi" w:cstheme="majorBidi"/>
          <w:color w:val="000000" w:themeColor="text1"/>
          <w:sz w:val="18"/>
          <w:szCs w:val="18"/>
        </w:rPr>
        <w:t xml:space="preserve"> Includes </w:t>
      </w:r>
      <w:r w:rsidRPr="009A7579">
        <w:rPr>
          <w:rFonts w:asciiTheme="majorBidi" w:hAnsiTheme="majorBidi" w:cstheme="majorBidi"/>
          <w:sz w:val="18"/>
          <w:szCs w:val="18"/>
        </w:rPr>
        <w:t xml:space="preserve">all yogurt, grain, and meat based mixed dishes such as sandwiches, macaroni and cheese, spaghetti and lasagna, sandwiches, beans and rice, pizzas, </w:t>
      </w:r>
      <w:proofErr w:type="spellStart"/>
      <w:r w:rsidRPr="009A7579">
        <w:rPr>
          <w:rFonts w:asciiTheme="majorBidi" w:hAnsiTheme="majorBidi" w:cstheme="majorBidi"/>
          <w:sz w:val="18"/>
          <w:szCs w:val="18"/>
        </w:rPr>
        <w:t>Mahashi</w:t>
      </w:r>
      <w:proofErr w:type="spellEnd"/>
      <w:r w:rsidRPr="009A7579">
        <w:rPr>
          <w:rFonts w:asciiTheme="majorBidi" w:hAnsiTheme="majorBidi" w:cstheme="majorBidi"/>
          <w:sz w:val="18"/>
          <w:szCs w:val="18"/>
        </w:rPr>
        <w:t>, and soups</w:t>
      </w:r>
      <w:r w:rsidR="009A7579" w:rsidRPr="009A7579">
        <w:rPr>
          <w:rFonts w:asciiTheme="majorBidi" w:hAnsiTheme="majorBidi" w:cstheme="majorBidi"/>
          <w:sz w:val="18"/>
          <w:szCs w:val="18"/>
        </w:rPr>
        <w:t>.</w:t>
      </w:r>
      <w:r w:rsidRPr="009A7579">
        <w:rPr>
          <w:rFonts w:asciiTheme="majorBidi" w:hAnsiTheme="majorBidi" w:cstheme="majorBidi"/>
          <w:sz w:val="18"/>
          <w:szCs w:val="18"/>
        </w:rPr>
        <w:br/>
      </w:r>
      <w:r w:rsidRPr="009A7579">
        <w:rPr>
          <w:rFonts w:asciiTheme="majorBidi" w:hAnsiTheme="majorBidi" w:cstheme="majorBidi"/>
          <w:sz w:val="18"/>
          <w:szCs w:val="18"/>
          <w:vertAlign w:val="superscript"/>
        </w:rPr>
        <w:t>7</w:t>
      </w:r>
      <w:r w:rsidRPr="009A7579">
        <w:rPr>
          <w:rFonts w:asciiTheme="majorBidi" w:hAnsiTheme="majorBidi" w:cstheme="majorBidi"/>
          <w:sz w:val="18"/>
          <w:szCs w:val="18"/>
        </w:rPr>
        <w:t xml:space="preserve"> Includes popcorn, potato chips, and corn chips</w:t>
      </w:r>
      <w:r w:rsidR="009A7579" w:rsidRPr="009A7579">
        <w:rPr>
          <w:rFonts w:asciiTheme="majorBidi" w:hAnsiTheme="majorBidi" w:cstheme="majorBidi"/>
          <w:sz w:val="18"/>
          <w:szCs w:val="18"/>
        </w:rPr>
        <w:t>.</w:t>
      </w:r>
      <w:r w:rsidRPr="009A7579">
        <w:rPr>
          <w:rFonts w:asciiTheme="majorBidi" w:hAnsiTheme="majorBidi" w:cstheme="majorBidi"/>
          <w:sz w:val="18"/>
          <w:szCs w:val="18"/>
        </w:rPr>
        <w:br/>
      </w:r>
      <w:r w:rsidRPr="009A7579">
        <w:rPr>
          <w:rFonts w:asciiTheme="majorBidi" w:hAnsiTheme="majorBidi" w:cstheme="majorBidi"/>
          <w:sz w:val="18"/>
          <w:szCs w:val="18"/>
          <w:vertAlign w:val="superscript"/>
        </w:rPr>
        <w:t>8</w:t>
      </w:r>
      <w:r w:rsidRPr="009A7579">
        <w:rPr>
          <w:rFonts w:asciiTheme="majorBidi" w:hAnsiTheme="majorBidi" w:cstheme="majorBidi"/>
          <w:sz w:val="18"/>
          <w:szCs w:val="18"/>
        </w:rPr>
        <w:t xml:space="preserve"> Includes baby food desserts and cookies, non-baby food dessert items (cakes, pies, cookies, bars, brownies, biscuits, pastries, muffins, and traditional desserts), ice cream and dairy desserts, puddings, candy, cereal and nutrition bars, gelatins, ices, and sorbets, sugars, syrups, preserves, and jelly, fruit drinks and other sugar sweetened beverages. </w:t>
      </w:r>
    </w:p>
    <w:p w:rsidR="000B7DC6" w:rsidRPr="009A7579" w:rsidRDefault="000B7DC6" w:rsidP="000B7DC6">
      <w:pPr>
        <w:autoSpaceDE w:val="0"/>
        <w:autoSpaceDN w:val="0"/>
        <w:adjustRightInd w:val="0"/>
        <w:spacing w:after="0" w:line="240" w:lineRule="auto"/>
        <w:rPr>
          <w:rFonts w:asciiTheme="majorBidi" w:hAnsiTheme="majorBidi" w:cstheme="majorBidi"/>
          <w:sz w:val="18"/>
          <w:szCs w:val="18"/>
        </w:rPr>
      </w:pPr>
      <w:r w:rsidRPr="009A7579">
        <w:rPr>
          <w:rFonts w:asciiTheme="majorBidi" w:hAnsiTheme="majorBidi" w:cstheme="majorBidi"/>
          <w:sz w:val="18"/>
          <w:szCs w:val="18"/>
        </w:rPr>
        <w:t>⁹ Includes butter, margarine, animal fats, dressings, oils, and olives</w:t>
      </w:r>
      <w:r w:rsidR="009A7579" w:rsidRPr="009A7579">
        <w:rPr>
          <w:rFonts w:asciiTheme="majorBidi" w:hAnsiTheme="majorBidi" w:cstheme="majorBidi"/>
          <w:sz w:val="18"/>
          <w:szCs w:val="18"/>
        </w:rPr>
        <w:t>.</w:t>
      </w:r>
    </w:p>
    <w:p w:rsidR="000B7DC6" w:rsidRPr="009A7579" w:rsidRDefault="000B7DC6" w:rsidP="000B7DC6">
      <w:pPr>
        <w:autoSpaceDE w:val="0"/>
        <w:autoSpaceDN w:val="0"/>
        <w:adjustRightInd w:val="0"/>
        <w:spacing w:after="0" w:line="240" w:lineRule="auto"/>
        <w:rPr>
          <w:rFonts w:asciiTheme="majorBidi" w:hAnsiTheme="majorBidi" w:cstheme="majorBidi"/>
          <w:sz w:val="18"/>
          <w:szCs w:val="18"/>
        </w:rPr>
      </w:pPr>
      <w:r w:rsidRPr="009A7579">
        <w:rPr>
          <w:rFonts w:asciiTheme="majorBidi" w:hAnsiTheme="majorBidi" w:cstheme="majorBidi"/>
          <w:sz w:val="18"/>
          <w:szCs w:val="18"/>
        </w:rPr>
        <w:t>¹⁰ Includes condiments, herbs, seasonings, gravies, and sauces</w:t>
      </w:r>
      <w:r w:rsidR="009A7579" w:rsidRPr="009A7579">
        <w:rPr>
          <w:rFonts w:asciiTheme="majorBidi" w:hAnsiTheme="majorBidi" w:cstheme="majorBidi"/>
          <w:sz w:val="18"/>
          <w:szCs w:val="18"/>
        </w:rPr>
        <w:t>.</w:t>
      </w:r>
    </w:p>
    <w:p w:rsidR="009A7579" w:rsidRPr="009A7579" w:rsidRDefault="009A7579" w:rsidP="000B7DC6">
      <w:pPr>
        <w:autoSpaceDE w:val="0"/>
        <w:autoSpaceDN w:val="0"/>
        <w:adjustRightInd w:val="0"/>
        <w:spacing w:after="0" w:line="240" w:lineRule="auto"/>
        <w:rPr>
          <w:rFonts w:asciiTheme="majorBidi" w:hAnsiTheme="majorBidi" w:cstheme="majorBidi"/>
          <w:sz w:val="18"/>
          <w:szCs w:val="18"/>
        </w:rPr>
      </w:pPr>
      <w:r w:rsidRPr="009A7579">
        <w:rPr>
          <w:rFonts w:asciiTheme="majorBidi" w:hAnsiTheme="majorBidi" w:cstheme="majorBidi"/>
          <w:b/>
          <w:bCs/>
          <w:sz w:val="18"/>
          <w:szCs w:val="18"/>
        </w:rPr>
        <w:t>Abbreviations:</w:t>
      </w:r>
      <w:r w:rsidRPr="009A7579">
        <w:rPr>
          <w:rFonts w:asciiTheme="majorBidi" w:hAnsiTheme="majorBidi" w:cstheme="majorBidi"/>
          <w:sz w:val="18"/>
          <w:szCs w:val="18"/>
        </w:rPr>
        <w:t xml:space="preserve"> g: grams; n: sample size; SE: standard error.</w:t>
      </w:r>
    </w:p>
    <w:p w:rsidR="000B7DC6" w:rsidRPr="009A7579" w:rsidRDefault="000B7DC6" w:rsidP="000B7DC6">
      <w:pPr>
        <w:rPr>
          <w:rFonts w:asciiTheme="majorBidi" w:hAnsiTheme="majorBidi" w:cstheme="majorBidi"/>
          <w:sz w:val="18"/>
          <w:szCs w:val="18"/>
        </w:rPr>
      </w:pPr>
    </w:p>
    <w:p w:rsidR="000B7DC6" w:rsidRPr="009A7579"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Default="000B7DC6" w:rsidP="000B7DC6">
      <w:pPr>
        <w:rPr>
          <w:rFonts w:asciiTheme="majorBidi" w:hAnsiTheme="majorBidi" w:cstheme="majorBidi"/>
          <w:sz w:val="18"/>
          <w:szCs w:val="18"/>
        </w:rPr>
      </w:pPr>
    </w:p>
    <w:p w:rsidR="000B7DC6" w:rsidRPr="00E94C34" w:rsidRDefault="000B7DC6" w:rsidP="000B7DC6">
      <w:pPr>
        <w:rPr>
          <w:rFonts w:asciiTheme="majorBidi" w:hAnsiTheme="majorBidi" w:cstheme="majorBidi"/>
          <w:b/>
          <w:bCs/>
        </w:rPr>
      </w:pPr>
      <w:r>
        <w:rPr>
          <w:rFonts w:asciiTheme="majorBidi" w:hAnsiTheme="majorBidi" w:cstheme="majorBidi"/>
          <w:b/>
          <w:bCs/>
        </w:rPr>
        <w:lastRenderedPageBreak/>
        <w:t>Table A</w:t>
      </w:r>
      <w:r w:rsidRPr="00E94C34">
        <w:rPr>
          <w:rFonts w:asciiTheme="majorBidi" w:hAnsiTheme="majorBidi" w:cstheme="majorBidi"/>
          <w:b/>
          <w:bCs/>
        </w:rPr>
        <w:t>2</w:t>
      </w:r>
      <w:r>
        <w:rPr>
          <w:rFonts w:asciiTheme="majorBidi" w:hAnsiTheme="majorBidi" w:cstheme="majorBidi"/>
          <w:b/>
          <w:bCs/>
        </w:rPr>
        <w:t>.</w:t>
      </w:r>
      <w:r w:rsidRPr="00E94C34">
        <w:rPr>
          <w:rFonts w:asciiTheme="majorBidi" w:hAnsiTheme="majorBidi" w:cstheme="majorBidi"/>
          <w:b/>
          <w:bCs/>
        </w:rPr>
        <w:t xml:space="preserve"> Average mean intake of the different food groups (after disaggregation of composite recipes), by age </w:t>
      </w:r>
      <w:r>
        <w:rPr>
          <w:rFonts w:asciiTheme="majorBidi" w:hAnsiTheme="majorBidi" w:cstheme="majorBidi"/>
          <w:b/>
          <w:bCs/>
        </w:rPr>
        <w:t>group</w:t>
      </w:r>
    </w:p>
    <w:tbl>
      <w:tblPr>
        <w:tblW w:w="7435" w:type="dxa"/>
        <w:tblLook w:val="04A0" w:firstRow="1" w:lastRow="0" w:firstColumn="1" w:lastColumn="0" w:noHBand="0" w:noVBand="1"/>
      </w:tblPr>
      <w:tblGrid>
        <w:gridCol w:w="3932"/>
        <w:gridCol w:w="1781"/>
        <w:gridCol w:w="1722"/>
      </w:tblGrid>
      <w:tr w:rsidR="000B7DC6" w:rsidRPr="002F51F8" w:rsidTr="008077C4">
        <w:trPr>
          <w:trHeight w:val="316"/>
        </w:trPr>
        <w:tc>
          <w:tcPr>
            <w:tcW w:w="3932" w:type="dxa"/>
            <w:vMerge w:val="restart"/>
            <w:tcBorders>
              <w:top w:val="single" w:sz="8" w:space="0" w:color="auto"/>
              <w:left w:val="single" w:sz="8" w:space="0" w:color="auto"/>
              <w:bottom w:val="nil"/>
              <w:right w:val="single" w:sz="8" w:space="0" w:color="auto"/>
            </w:tcBorders>
            <w:shd w:val="clear" w:color="auto" w:fill="auto"/>
            <w:noWrap/>
            <w:vAlign w:val="bottom"/>
            <w:hideMark/>
          </w:tcPr>
          <w:p w:rsidR="000B7DC6" w:rsidRPr="002F51F8" w:rsidRDefault="000B7DC6" w:rsidP="008077C4">
            <w:pPr>
              <w:spacing w:after="0" w:line="240" w:lineRule="auto"/>
              <w:rPr>
                <w:rFonts w:asciiTheme="majorBidi" w:eastAsia="Times New Roman" w:hAnsiTheme="majorBidi" w:cstheme="majorBidi"/>
                <w:b/>
                <w:bCs/>
                <w:color w:val="000000"/>
              </w:rPr>
            </w:pPr>
            <w:r w:rsidRPr="002F51F8">
              <w:rPr>
                <w:rFonts w:asciiTheme="majorBidi" w:eastAsia="Times New Roman" w:hAnsiTheme="majorBidi" w:cstheme="majorBidi"/>
                <w:b/>
                <w:bCs/>
                <w:color w:val="000000"/>
              </w:rPr>
              <w:t>Food group</w:t>
            </w:r>
          </w:p>
        </w:tc>
        <w:tc>
          <w:tcPr>
            <w:tcW w:w="3503" w:type="dxa"/>
            <w:gridSpan w:val="2"/>
            <w:tcBorders>
              <w:top w:val="single" w:sz="8" w:space="0" w:color="auto"/>
              <w:left w:val="nil"/>
              <w:bottom w:val="single" w:sz="8" w:space="0" w:color="auto"/>
              <w:right w:val="single" w:sz="8" w:space="0" w:color="000000"/>
            </w:tcBorders>
            <w:shd w:val="clear" w:color="auto" w:fill="auto"/>
            <w:noWrap/>
            <w:vAlign w:val="bottom"/>
            <w:hideMark/>
          </w:tcPr>
          <w:p w:rsidR="000B7DC6" w:rsidRPr="002F51F8" w:rsidRDefault="000B7DC6" w:rsidP="008077C4">
            <w:pPr>
              <w:spacing w:after="0" w:line="240" w:lineRule="auto"/>
              <w:jc w:val="center"/>
              <w:rPr>
                <w:rFonts w:asciiTheme="majorBidi" w:eastAsia="Times New Roman" w:hAnsiTheme="majorBidi" w:cstheme="majorBidi"/>
                <w:b/>
                <w:bCs/>
              </w:rPr>
            </w:pPr>
            <w:r w:rsidRPr="002F51F8">
              <w:rPr>
                <w:rFonts w:asciiTheme="majorBidi" w:eastAsia="Times New Roman" w:hAnsiTheme="majorBidi" w:cstheme="majorBidi"/>
                <w:b/>
                <w:bCs/>
              </w:rPr>
              <w:t>Age group (months)</w:t>
            </w:r>
          </w:p>
        </w:tc>
      </w:tr>
      <w:tr w:rsidR="000B7DC6" w:rsidRPr="002F51F8" w:rsidTr="008077C4">
        <w:trPr>
          <w:trHeight w:val="316"/>
        </w:trPr>
        <w:tc>
          <w:tcPr>
            <w:tcW w:w="3932" w:type="dxa"/>
            <w:vMerge/>
            <w:tcBorders>
              <w:top w:val="single" w:sz="8" w:space="0" w:color="auto"/>
              <w:left w:val="single" w:sz="8" w:space="0" w:color="auto"/>
              <w:bottom w:val="nil"/>
              <w:right w:val="single" w:sz="8" w:space="0" w:color="auto"/>
            </w:tcBorders>
            <w:vAlign w:val="center"/>
            <w:hideMark/>
          </w:tcPr>
          <w:p w:rsidR="000B7DC6" w:rsidRPr="002F51F8" w:rsidRDefault="000B7DC6" w:rsidP="008077C4">
            <w:pPr>
              <w:spacing w:after="0" w:line="240" w:lineRule="auto"/>
              <w:rPr>
                <w:rFonts w:asciiTheme="majorBidi" w:eastAsia="Times New Roman" w:hAnsiTheme="majorBidi" w:cstheme="majorBidi"/>
                <w:b/>
                <w:bCs/>
                <w:color w:val="000000"/>
              </w:rPr>
            </w:pPr>
          </w:p>
        </w:tc>
        <w:tc>
          <w:tcPr>
            <w:tcW w:w="1781" w:type="dxa"/>
            <w:tcBorders>
              <w:top w:val="nil"/>
              <w:left w:val="nil"/>
              <w:bottom w:val="single" w:sz="8" w:space="0" w:color="auto"/>
              <w:right w:val="nil"/>
            </w:tcBorders>
            <w:shd w:val="clear" w:color="auto" w:fill="auto"/>
            <w:noWrap/>
            <w:vAlign w:val="bottom"/>
            <w:hideMark/>
          </w:tcPr>
          <w:p w:rsidR="000B7DC6" w:rsidRPr="002F51F8" w:rsidRDefault="000B7DC6" w:rsidP="008077C4">
            <w:pPr>
              <w:spacing w:after="0" w:line="240" w:lineRule="auto"/>
              <w:jc w:val="center"/>
              <w:rPr>
                <w:rFonts w:asciiTheme="majorBidi" w:eastAsia="Times New Roman" w:hAnsiTheme="majorBidi" w:cstheme="majorBidi"/>
                <w:b/>
                <w:bCs/>
                <w:color w:val="000000"/>
              </w:rPr>
            </w:pPr>
            <w:r w:rsidRPr="002F51F8">
              <w:rPr>
                <w:rFonts w:asciiTheme="majorBidi" w:eastAsia="Times New Roman" w:hAnsiTheme="majorBidi" w:cstheme="majorBidi"/>
                <w:b/>
                <w:bCs/>
                <w:color w:val="000000"/>
              </w:rPr>
              <w:t>12-23.9  (n=222)</w:t>
            </w:r>
          </w:p>
        </w:tc>
        <w:tc>
          <w:tcPr>
            <w:tcW w:w="1722" w:type="dxa"/>
            <w:tcBorders>
              <w:top w:val="nil"/>
              <w:left w:val="single" w:sz="8" w:space="0" w:color="auto"/>
              <w:bottom w:val="nil"/>
              <w:right w:val="single" w:sz="8" w:space="0" w:color="auto"/>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b/>
                <w:bCs/>
              </w:rPr>
            </w:pPr>
            <w:r w:rsidRPr="002F51F8">
              <w:rPr>
                <w:rFonts w:asciiTheme="majorBidi" w:eastAsia="Times New Roman" w:hAnsiTheme="majorBidi" w:cstheme="majorBidi"/>
                <w:b/>
                <w:bCs/>
              </w:rPr>
              <w:t>24-47.9 (n=393)</w:t>
            </w:r>
          </w:p>
        </w:tc>
      </w:tr>
      <w:tr w:rsidR="000B7DC6" w:rsidRPr="002F51F8" w:rsidTr="008077C4">
        <w:trPr>
          <w:trHeight w:val="316"/>
        </w:trPr>
        <w:tc>
          <w:tcPr>
            <w:tcW w:w="3932" w:type="dxa"/>
            <w:vMerge/>
            <w:tcBorders>
              <w:top w:val="single" w:sz="8" w:space="0" w:color="auto"/>
              <w:left w:val="single" w:sz="8" w:space="0" w:color="auto"/>
              <w:bottom w:val="nil"/>
              <w:right w:val="single" w:sz="8" w:space="0" w:color="auto"/>
            </w:tcBorders>
            <w:vAlign w:val="center"/>
            <w:hideMark/>
          </w:tcPr>
          <w:p w:rsidR="000B7DC6" w:rsidRPr="002F51F8" w:rsidRDefault="000B7DC6" w:rsidP="008077C4">
            <w:pPr>
              <w:spacing w:after="0" w:line="240" w:lineRule="auto"/>
              <w:rPr>
                <w:rFonts w:asciiTheme="majorBidi" w:eastAsia="Times New Roman" w:hAnsiTheme="majorBidi" w:cstheme="majorBidi"/>
                <w:b/>
                <w:bCs/>
                <w:color w:val="000000"/>
              </w:rPr>
            </w:pPr>
          </w:p>
        </w:tc>
        <w:tc>
          <w:tcPr>
            <w:tcW w:w="3503" w:type="dxa"/>
            <w:gridSpan w:val="2"/>
            <w:tcBorders>
              <w:top w:val="single" w:sz="8" w:space="0" w:color="auto"/>
              <w:left w:val="nil"/>
              <w:bottom w:val="nil"/>
              <w:right w:val="single" w:sz="8" w:space="0" w:color="000000"/>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b/>
                <w:bCs/>
              </w:rPr>
            </w:pPr>
            <w:r w:rsidRPr="002F51F8">
              <w:rPr>
                <w:rFonts w:asciiTheme="majorBidi" w:eastAsia="Times New Roman" w:hAnsiTheme="majorBidi" w:cstheme="majorBidi"/>
                <w:b/>
                <w:bCs/>
              </w:rPr>
              <w:t>Mean ± SE</w:t>
            </w:r>
          </w:p>
        </w:tc>
      </w:tr>
      <w:tr w:rsidR="000B7DC6" w:rsidRPr="002F51F8" w:rsidTr="008077C4">
        <w:trPr>
          <w:trHeight w:val="301"/>
        </w:trPr>
        <w:tc>
          <w:tcPr>
            <w:tcW w:w="3932" w:type="dxa"/>
            <w:tcBorders>
              <w:top w:val="single" w:sz="8" w:space="0" w:color="auto"/>
              <w:left w:val="single" w:sz="8" w:space="0" w:color="auto"/>
              <w:bottom w:val="nil"/>
              <w:right w:val="nil"/>
            </w:tcBorders>
            <w:shd w:val="clear" w:color="auto" w:fill="auto"/>
            <w:noWrap/>
            <w:vAlign w:val="center"/>
            <w:hideMark/>
          </w:tcPr>
          <w:p w:rsidR="000B7DC6" w:rsidRPr="004E023E" w:rsidRDefault="000B7DC6" w:rsidP="008077C4">
            <w:pPr>
              <w:spacing w:after="0" w:line="240" w:lineRule="auto"/>
              <w:rPr>
                <w:rFonts w:asciiTheme="majorBidi" w:eastAsia="Times New Roman" w:hAnsiTheme="majorBidi" w:cstheme="majorBidi"/>
                <w:b/>
                <w:bCs/>
              </w:rPr>
            </w:pPr>
            <w:r w:rsidRPr="004E023E">
              <w:rPr>
                <w:rFonts w:asciiTheme="majorBidi" w:eastAsia="Times New Roman" w:hAnsiTheme="majorBidi" w:cstheme="majorBidi"/>
                <w:b/>
                <w:bCs/>
              </w:rPr>
              <w:t>Milk/dairy, cups</w:t>
            </w:r>
          </w:p>
        </w:tc>
        <w:tc>
          <w:tcPr>
            <w:tcW w:w="1781" w:type="dxa"/>
            <w:tcBorders>
              <w:top w:val="single" w:sz="8" w:space="0" w:color="auto"/>
              <w:left w:val="single" w:sz="8" w:space="0" w:color="auto"/>
              <w:bottom w:val="nil"/>
              <w:right w:val="nil"/>
            </w:tcBorders>
            <w:shd w:val="clear" w:color="auto" w:fill="auto"/>
            <w:noWrap/>
            <w:vAlign w:val="center"/>
            <w:hideMark/>
          </w:tcPr>
          <w:p w:rsidR="000B7DC6" w:rsidRPr="004E023E" w:rsidRDefault="000B7DC6" w:rsidP="008077C4">
            <w:pPr>
              <w:spacing w:after="0" w:line="240" w:lineRule="auto"/>
              <w:jc w:val="center"/>
              <w:rPr>
                <w:rFonts w:asciiTheme="majorBidi" w:eastAsia="Times New Roman" w:hAnsiTheme="majorBidi" w:cstheme="majorBidi"/>
              </w:rPr>
            </w:pPr>
            <w:r w:rsidRPr="004E023E">
              <w:rPr>
                <w:rFonts w:asciiTheme="majorBidi" w:eastAsia="Times New Roman" w:hAnsiTheme="majorBidi" w:cstheme="majorBidi"/>
              </w:rPr>
              <w:t>2.1 ± 0.1</w:t>
            </w:r>
          </w:p>
        </w:tc>
        <w:tc>
          <w:tcPr>
            <w:tcW w:w="1722" w:type="dxa"/>
            <w:tcBorders>
              <w:top w:val="single" w:sz="8" w:space="0" w:color="auto"/>
              <w:left w:val="nil"/>
              <w:bottom w:val="nil"/>
              <w:right w:val="single" w:sz="8" w:space="0" w:color="auto"/>
            </w:tcBorders>
            <w:shd w:val="clear" w:color="auto" w:fill="auto"/>
            <w:noWrap/>
            <w:vAlign w:val="center"/>
            <w:hideMark/>
          </w:tcPr>
          <w:p w:rsidR="000B7DC6" w:rsidRPr="004E023E" w:rsidRDefault="000B7DC6" w:rsidP="008077C4">
            <w:pPr>
              <w:spacing w:after="0" w:line="240" w:lineRule="auto"/>
              <w:jc w:val="center"/>
              <w:rPr>
                <w:rFonts w:asciiTheme="majorBidi" w:eastAsia="Times New Roman" w:hAnsiTheme="majorBidi" w:cstheme="majorBidi"/>
              </w:rPr>
            </w:pPr>
            <w:r w:rsidRPr="004E023E">
              <w:rPr>
                <w:rFonts w:asciiTheme="majorBidi" w:eastAsia="Times New Roman" w:hAnsiTheme="majorBidi" w:cstheme="majorBidi"/>
              </w:rPr>
              <w:t>2.</w:t>
            </w:r>
            <w:r>
              <w:rPr>
                <w:rFonts w:asciiTheme="majorBidi" w:eastAsia="Times New Roman" w:hAnsiTheme="majorBidi" w:cstheme="majorBidi"/>
              </w:rPr>
              <w:t>3</w:t>
            </w:r>
            <w:r w:rsidRPr="004E023E">
              <w:rPr>
                <w:rFonts w:asciiTheme="majorBidi" w:eastAsia="Times New Roman" w:hAnsiTheme="majorBidi" w:cstheme="majorBidi"/>
              </w:rPr>
              <w:t xml:space="preserve">  ± 0.1</w:t>
            </w:r>
          </w:p>
        </w:tc>
      </w:tr>
      <w:tr w:rsidR="000B7DC6" w:rsidRPr="002F51F8" w:rsidTr="008077C4">
        <w:trPr>
          <w:trHeight w:val="301"/>
        </w:trPr>
        <w:tc>
          <w:tcPr>
            <w:tcW w:w="3932" w:type="dxa"/>
            <w:tcBorders>
              <w:top w:val="nil"/>
              <w:left w:val="single" w:sz="8" w:space="0" w:color="auto"/>
              <w:bottom w:val="nil"/>
              <w:right w:val="nil"/>
            </w:tcBorders>
            <w:shd w:val="clear" w:color="auto" w:fill="auto"/>
            <w:noWrap/>
            <w:vAlign w:val="center"/>
            <w:hideMark/>
          </w:tcPr>
          <w:p w:rsidR="000B7DC6" w:rsidRPr="002F51F8" w:rsidRDefault="000B7DC6" w:rsidP="008077C4">
            <w:pPr>
              <w:spacing w:after="0" w:line="240" w:lineRule="auto"/>
              <w:rPr>
                <w:rFonts w:asciiTheme="majorBidi" w:eastAsia="Times New Roman" w:hAnsiTheme="majorBidi" w:cstheme="majorBidi"/>
                <w:b/>
                <w:bCs/>
              </w:rPr>
            </w:pPr>
            <w:r w:rsidRPr="002F51F8">
              <w:rPr>
                <w:rFonts w:asciiTheme="majorBidi" w:eastAsia="Times New Roman" w:hAnsiTheme="majorBidi" w:cstheme="majorBidi"/>
                <w:b/>
                <w:bCs/>
              </w:rPr>
              <w:t>Lean meat/beans, grams</w:t>
            </w:r>
          </w:p>
        </w:tc>
        <w:tc>
          <w:tcPr>
            <w:tcW w:w="1781" w:type="dxa"/>
            <w:tcBorders>
              <w:top w:val="nil"/>
              <w:left w:val="single" w:sz="8" w:space="0" w:color="auto"/>
              <w:bottom w:val="nil"/>
              <w:right w:val="nil"/>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rPr>
            </w:pPr>
            <w:r w:rsidRPr="002F51F8">
              <w:rPr>
                <w:rFonts w:asciiTheme="majorBidi" w:eastAsia="Times New Roman" w:hAnsiTheme="majorBidi" w:cstheme="majorBidi"/>
              </w:rPr>
              <w:t>52.6  ± 5.5</w:t>
            </w:r>
          </w:p>
        </w:tc>
        <w:tc>
          <w:tcPr>
            <w:tcW w:w="1722" w:type="dxa"/>
            <w:tcBorders>
              <w:top w:val="nil"/>
              <w:left w:val="nil"/>
              <w:bottom w:val="nil"/>
              <w:right w:val="single" w:sz="8" w:space="0" w:color="auto"/>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rPr>
            </w:pPr>
            <w:r w:rsidRPr="002F51F8">
              <w:rPr>
                <w:rFonts w:asciiTheme="majorBidi" w:eastAsia="Times New Roman" w:hAnsiTheme="majorBidi" w:cstheme="majorBidi"/>
              </w:rPr>
              <w:t>94.7 ± 5.0</w:t>
            </w:r>
          </w:p>
        </w:tc>
      </w:tr>
      <w:tr w:rsidR="000B7DC6" w:rsidRPr="002F51F8" w:rsidTr="008077C4">
        <w:trPr>
          <w:trHeight w:val="301"/>
        </w:trPr>
        <w:tc>
          <w:tcPr>
            <w:tcW w:w="3932" w:type="dxa"/>
            <w:tcBorders>
              <w:top w:val="nil"/>
              <w:left w:val="single" w:sz="8" w:space="0" w:color="auto"/>
              <w:bottom w:val="nil"/>
              <w:right w:val="nil"/>
            </w:tcBorders>
            <w:shd w:val="clear" w:color="auto" w:fill="auto"/>
            <w:noWrap/>
            <w:vAlign w:val="center"/>
            <w:hideMark/>
          </w:tcPr>
          <w:p w:rsidR="000B7DC6" w:rsidRPr="002F51F8" w:rsidRDefault="000B7DC6" w:rsidP="008077C4">
            <w:pPr>
              <w:spacing w:after="0" w:line="240" w:lineRule="auto"/>
              <w:rPr>
                <w:rFonts w:asciiTheme="majorBidi" w:eastAsia="Times New Roman" w:hAnsiTheme="majorBidi" w:cstheme="majorBidi"/>
                <w:b/>
                <w:bCs/>
              </w:rPr>
            </w:pPr>
            <w:r w:rsidRPr="002F51F8">
              <w:rPr>
                <w:rFonts w:asciiTheme="majorBidi" w:eastAsia="Times New Roman" w:hAnsiTheme="majorBidi" w:cstheme="majorBidi"/>
                <w:b/>
                <w:bCs/>
              </w:rPr>
              <w:t>Fruits, grams</w:t>
            </w:r>
          </w:p>
        </w:tc>
        <w:tc>
          <w:tcPr>
            <w:tcW w:w="1781" w:type="dxa"/>
            <w:tcBorders>
              <w:top w:val="nil"/>
              <w:left w:val="single" w:sz="8" w:space="0" w:color="auto"/>
              <w:bottom w:val="nil"/>
              <w:right w:val="nil"/>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rPr>
            </w:pPr>
            <w:r w:rsidRPr="002F51F8">
              <w:rPr>
                <w:rFonts w:asciiTheme="majorBidi" w:eastAsia="Times New Roman" w:hAnsiTheme="majorBidi" w:cstheme="majorBidi"/>
              </w:rPr>
              <w:t>107.3 ± 9.4</w:t>
            </w:r>
          </w:p>
        </w:tc>
        <w:tc>
          <w:tcPr>
            <w:tcW w:w="1722" w:type="dxa"/>
            <w:tcBorders>
              <w:top w:val="nil"/>
              <w:left w:val="nil"/>
              <w:bottom w:val="nil"/>
              <w:right w:val="single" w:sz="8" w:space="0" w:color="auto"/>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rPr>
            </w:pPr>
            <w:r w:rsidRPr="002F51F8">
              <w:rPr>
                <w:rFonts w:asciiTheme="majorBidi" w:eastAsia="Times New Roman" w:hAnsiTheme="majorBidi" w:cstheme="majorBidi"/>
              </w:rPr>
              <w:t>190.9  ± 10.5</w:t>
            </w:r>
          </w:p>
        </w:tc>
      </w:tr>
      <w:tr w:rsidR="000B7DC6" w:rsidRPr="002F51F8" w:rsidTr="008077C4">
        <w:trPr>
          <w:trHeight w:val="301"/>
        </w:trPr>
        <w:tc>
          <w:tcPr>
            <w:tcW w:w="3932" w:type="dxa"/>
            <w:tcBorders>
              <w:top w:val="nil"/>
              <w:left w:val="single" w:sz="8" w:space="0" w:color="auto"/>
              <w:bottom w:val="nil"/>
              <w:right w:val="nil"/>
            </w:tcBorders>
            <w:shd w:val="clear" w:color="auto" w:fill="auto"/>
            <w:noWrap/>
            <w:vAlign w:val="center"/>
            <w:hideMark/>
          </w:tcPr>
          <w:p w:rsidR="000B7DC6" w:rsidRPr="002F51F8" w:rsidRDefault="000B7DC6" w:rsidP="008077C4">
            <w:pPr>
              <w:spacing w:after="0" w:line="240" w:lineRule="auto"/>
              <w:rPr>
                <w:rFonts w:asciiTheme="majorBidi" w:eastAsia="Times New Roman" w:hAnsiTheme="majorBidi" w:cstheme="majorBidi"/>
                <w:b/>
                <w:bCs/>
              </w:rPr>
            </w:pPr>
            <w:r w:rsidRPr="002F51F8">
              <w:rPr>
                <w:rFonts w:asciiTheme="majorBidi" w:eastAsia="Times New Roman" w:hAnsiTheme="majorBidi" w:cstheme="majorBidi"/>
                <w:b/>
                <w:bCs/>
              </w:rPr>
              <w:t>Vegetables, grams</w:t>
            </w:r>
          </w:p>
        </w:tc>
        <w:tc>
          <w:tcPr>
            <w:tcW w:w="1781" w:type="dxa"/>
            <w:tcBorders>
              <w:top w:val="nil"/>
              <w:left w:val="single" w:sz="8" w:space="0" w:color="auto"/>
              <w:bottom w:val="nil"/>
              <w:right w:val="nil"/>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rPr>
            </w:pPr>
            <w:r w:rsidRPr="002F51F8">
              <w:rPr>
                <w:rFonts w:asciiTheme="majorBidi" w:eastAsia="Times New Roman" w:hAnsiTheme="majorBidi" w:cstheme="majorBidi"/>
              </w:rPr>
              <w:t>102.7  ± 7.6</w:t>
            </w:r>
          </w:p>
        </w:tc>
        <w:tc>
          <w:tcPr>
            <w:tcW w:w="1722" w:type="dxa"/>
            <w:tcBorders>
              <w:top w:val="nil"/>
              <w:left w:val="nil"/>
              <w:bottom w:val="nil"/>
              <w:right w:val="single" w:sz="8" w:space="0" w:color="auto"/>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rPr>
            </w:pPr>
            <w:r w:rsidRPr="002F51F8">
              <w:rPr>
                <w:rFonts w:asciiTheme="majorBidi" w:eastAsia="Times New Roman" w:hAnsiTheme="majorBidi" w:cstheme="majorBidi"/>
              </w:rPr>
              <w:t>138.1  ± 6.4</w:t>
            </w:r>
          </w:p>
        </w:tc>
      </w:tr>
      <w:tr w:rsidR="000B7DC6" w:rsidRPr="002F51F8" w:rsidTr="008077C4">
        <w:trPr>
          <w:trHeight w:val="316"/>
        </w:trPr>
        <w:tc>
          <w:tcPr>
            <w:tcW w:w="3932" w:type="dxa"/>
            <w:tcBorders>
              <w:top w:val="nil"/>
              <w:left w:val="single" w:sz="8" w:space="0" w:color="auto"/>
              <w:bottom w:val="single" w:sz="8" w:space="0" w:color="auto"/>
              <w:right w:val="nil"/>
            </w:tcBorders>
            <w:shd w:val="clear" w:color="auto" w:fill="auto"/>
            <w:noWrap/>
            <w:vAlign w:val="center"/>
            <w:hideMark/>
          </w:tcPr>
          <w:p w:rsidR="000B7DC6" w:rsidRPr="002F51F8" w:rsidRDefault="000B7DC6" w:rsidP="008077C4">
            <w:pPr>
              <w:spacing w:after="0" w:line="240" w:lineRule="auto"/>
              <w:rPr>
                <w:rFonts w:asciiTheme="majorBidi" w:eastAsia="Times New Roman" w:hAnsiTheme="majorBidi" w:cstheme="majorBidi"/>
                <w:b/>
                <w:bCs/>
              </w:rPr>
            </w:pPr>
            <w:r w:rsidRPr="002F51F8">
              <w:rPr>
                <w:rFonts w:asciiTheme="majorBidi" w:eastAsia="Times New Roman" w:hAnsiTheme="majorBidi" w:cstheme="majorBidi"/>
                <w:b/>
                <w:bCs/>
              </w:rPr>
              <w:t>Grains, grams</w:t>
            </w:r>
          </w:p>
        </w:tc>
        <w:tc>
          <w:tcPr>
            <w:tcW w:w="1781" w:type="dxa"/>
            <w:tcBorders>
              <w:top w:val="nil"/>
              <w:left w:val="single" w:sz="8" w:space="0" w:color="auto"/>
              <w:bottom w:val="single" w:sz="8" w:space="0" w:color="auto"/>
              <w:right w:val="nil"/>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rPr>
            </w:pPr>
            <w:r w:rsidRPr="002F51F8">
              <w:rPr>
                <w:rFonts w:asciiTheme="majorBidi" w:eastAsia="Times New Roman" w:hAnsiTheme="majorBidi" w:cstheme="majorBidi"/>
              </w:rPr>
              <w:t>109.4  ± 5.9</w:t>
            </w:r>
          </w:p>
        </w:tc>
        <w:tc>
          <w:tcPr>
            <w:tcW w:w="1722" w:type="dxa"/>
            <w:tcBorders>
              <w:top w:val="nil"/>
              <w:left w:val="nil"/>
              <w:bottom w:val="single" w:sz="8" w:space="0" w:color="auto"/>
              <w:right w:val="single" w:sz="8" w:space="0" w:color="auto"/>
            </w:tcBorders>
            <w:shd w:val="clear" w:color="auto" w:fill="auto"/>
            <w:noWrap/>
            <w:vAlign w:val="center"/>
            <w:hideMark/>
          </w:tcPr>
          <w:p w:rsidR="000B7DC6" w:rsidRPr="002F51F8" w:rsidRDefault="000B7DC6" w:rsidP="008077C4">
            <w:pPr>
              <w:spacing w:after="0" w:line="240" w:lineRule="auto"/>
              <w:jc w:val="center"/>
              <w:rPr>
                <w:rFonts w:asciiTheme="majorBidi" w:eastAsia="Times New Roman" w:hAnsiTheme="majorBidi" w:cstheme="majorBidi"/>
              </w:rPr>
            </w:pPr>
            <w:r w:rsidRPr="002F51F8">
              <w:rPr>
                <w:rFonts w:asciiTheme="majorBidi" w:eastAsia="Times New Roman" w:hAnsiTheme="majorBidi" w:cstheme="majorBidi"/>
              </w:rPr>
              <w:t>124.8  ± 4.6</w:t>
            </w:r>
          </w:p>
        </w:tc>
      </w:tr>
    </w:tbl>
    <w:p w:rsidR="000B7DC6" w:rsidRPr="009A7579" w:rsidRDefault="009A7579" w:rsidP="000B7DC6">
      <w:pPr>
        <w:pStyle w:val="EndNoteBibliography"/>
        <w:ind w:left="720" w:hanging="720"/>
        <w:rPr>
          <w:rFonts w:asciiTheme="majorBidi" w:hAnsiTheme="majorBidi" w:cstheme="majorBidi"/>
          <w:sz w:val="18"/>
          <w:szCs w:val="18"/>
        </w:rPr>
      </w:pPr>
      <w:bookmarkStart w:id="0" w:name="_GoBack"/>
      <w:r w:rsidRPr="009A7579">
        <w:rPr>
          <w:rFonts w:asciiTheme="majorBidi" w:hAnsiTheme="majorBidi" w:cstheme="majorBidi"/>
          <w:b/>
          <w:bCs/>
          <w:sz w:val="18"/>
          <w:szCs w:val="18"/>
        </w:rPr>
        <w:t>Abbreviations:</w:t>
      </w:r>
      <w:r w:rsidRPr="009A7579">
        <w:rPr>
          <w:rFonts w:asciiTheme="majorBidi" w:hAnsiTheme="majorBidi" w:cstheme="majorBidi"/>
          <w:sz w:val="18"/>
          <w:szCs w:val="18"/>
        </w:rPr>
        <w:t xml:space="preserve"> n: sample size; SE: standard error.</w:t>
      </w:r>
      <w:r w:rsidR="000B7DC6" w:rsidRPr="009A7579">
        <w:rPr>
          <w:rFonts w:asciiTheme="majorBidi" w:hAnsiTheme="majorBidi" w:cstheme="majorBidi"/>
          <w:sz w:val="18"/>
          <w:szCs w:val="18"/>
        </w:rPr>
        <w:fldChar w:fldCharType="begin"/>
      </w:r>
      <w:r w:rsidR="000B7DC6" w:rsidRPr="009A7579">
        <w:rPr>
          <w:rFonts w:asciiTheme="majorBidi" w:hAnsiTheme="majorBidi" w:cstheme="majorBidi"/>
          <w:sz w:val="18"/>
          <w:szCs w:val="18"/>
        </w:rPr>
        <w:instrText xml:space="preserve"> ADDIN EN.REFLIST </w:instrText>
      </w:r>
      <w:r w:rsidR="000B7DC6" w:rsidRPr="009A7579">
        <w:rPr>
          <w:rFonts w:asciiTheme="majorBidi" w:hAnsiTheme="majorBidi" w:cstheme="majorBidi"/>
          <w:sz w:val="18"/>
          <w:szCs w:val="18"/>
        </w:rPr>
        <w:fldChar w:fldCharType="separate"/>
      </w:r>
    </w:p>
    <w:p w:rsidR="00291783" w:rsidRDefault="000B7DC6" w:rsidP="000B7DC6">
      <w:r w:rsidRPr="009A7579">
        <w:rPr>
          <w:rFonts w:asciiTheme="majorBidi" w:hAnsiTheme="majorBidi" w:cstheme="majorBidi"/>
          <w:sz w:val="18"/>
          <w:szCs w:val="18"/>
        </w:rPr>
        <w:fldChar w:fldCharType="end"/>
      </w:r>
      <w:bookmarkEnd w:id="0"/>
    </w:p>
    <w:sectPr w:rsidR="00291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C6"/>
    <w:rsid w:val="000B7DC6"/>
    <w:rsid w:val="00291783"/>
    <w:rsid w:val="009A75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8569"/>
  <w15:chartTrackingRefBased/>
  <w15:docId w15:val="{35A5CDAB-2447-4B44-90BE-B0F3A466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D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0B7DC6"/>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0B7DC6"/>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Taktouk</dc:creator>
  <cp:keywords/>
  <dc:description/>
  <cp:lastModifiedBy>Mandy Taktouk</cp:lastModifiedBy>
  <cp:revision>2</cp:revision>
  <dcterms:created xsi:type="dcterms:W3CDTF">2021-01-24T15:40:00Z</dcterms:created>
  <dcterms:modified xsi:type="dcterms:W3CDTF">2021-01-24T16:20:00Z</dcterms:modified>
</cp:coreProperties>
</file>