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8A14C" w14:textId="441CB571" w:rsidR="00C74860" w:rsidRDefault="00C74860">
      <w:r>
        <w:t>Supplementary material</w:t>
      </w:r>
    </w:p>
    <w:p w14:paraId="1C69877F" w14:textId="77777777" w:rsidR="00E552BF" w:rsidRDefault="00E552BF"/>
    <w:p w14:paraId="71DB0A8D" w14:textId="77777777" w:rsidR="00C74860" w:rsidRPr="005456DA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t>Figure 1</w:t>
      </w:r>
      <w:r w:rsidRPr="005456DA">
        <w:rPr>
          <w:rFonts w:ascii="Calibri Light" w:hAnsi="Calibri Light" w:cs="Calibri Light"/>
          <w:sz w:val="18"/>
          <w:szCs w:val="18"/>
        </w:rPr>
        <w:t xml:space="preserve">. Likert plot of </w:t>
      </w:r>
      <w:r>
        <w:rPr>
          <w:rFonts w:ascii="Calibri Light" w:hAnsi="Calibri Light" w:cs="Calibri Light"/>
          <w:sz w:val="18"/>
          <w:szCs w:val="18"/>
        </w:rPr>
        <w:t xml:space="preserve">SHED’s </w:t>
      </w:r>
      <w:r w:rsidRPr="005456DA">
        <w:rPr>
          <w:rFonts w:ascii="Calibri Light" w:hAnsi="Calibri Light" w:cs="Calibri Light"/>
          <w:sz w:val="18"/>
          <w:szCs w:val="18"/>
        </w:rPr>
        <w:t>healthy eating domain</w:t>
      </w:r>
    </w:p>
    <w:p w14:paraId="7B30A693" w14:textId="77777777" w:rsidR="00C74860" w:rsidRDefault="00C74860" w:rsidP="00C74860">
      <w:r w:rsidRPr="000507A2">
        <w:rPr>
          <w:noProof/>
          <w:lang w:val="el-GR" w:eastAsia="el-GR"/>
        </w:rPr>
        <w:drawing>
          <wp:inline distT="0" distB="0" distL="0" distR="0" wp14:anchorId="5BD07ABA" wp14:editId="06CAB94E">
            <wp:extent cx="5591629" cy="2493987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970" cy="24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5036" w14:textId="77777777" w:rsidR="00C74860" w:rsidRDefault="00C74860" w:rsidP="00C74860"/>
    <w:p w14:paraId="6495CDCB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26D8F65E" w14:textId="77777777" w:rsidR="00C74860" w:rsidRDefault="00C74860" w:rsidP="00C74860">
      <w:pPr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6C704A50" w14:textId="77777777" w:rsidR="00C74860" w:rsidRPr="005456DA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Figure </w:t>
      </w:r>
      <w:r>
        <w:rPr>
          <w:rFonts w:ascii="Calibri Light" w:hAnsi="Calibri Light" w:cs="Calibri Light"/>
          <w:b/>
          <w:bCs/>
          <w:sz w:val="18"/>
          <w:szCs w:val="18"/>
        </w:rPr>
        <w:t>2</w:t>
      </w:r>
      <w:r w:rsidRPr="005456DA">
        <w:rPr>
          <w:rFonts w:ascii="Calibri Light" w:hAnsi="Calibri Light" w:cs="Calibri Light"/>
          <w:b/>
          <w:bCs/>
          <w:sz w:val="18"/>
          <w:szCs w:val="18"/>
        </w:rPr>
        <w:t>.</w:t>
      </w:r>
      <w:r w:rsidRPr="005456DA">
        <w:rPr>
          <w:rFonts w:ascii="Calibri Light" w:hAnsi="Calibri Light" w:cs="Calibri Light"/>
          <w:sz w:val="18"/>
          <w:szCs w:val="18"/>
        </w:rPr>
        <w:t xml:space="preserve"> Likert plot of </w:t>
      </w:r>
      <w:r>
        <w:rPr>
          <w:rFonts w:ascii="Calibri Light" w:hAnsi="Calibri Light" w:cs="Calibri Light"/>
          <w:sz w:val="18"/>
          <w:szCs w:val="18"/>
        </w:rPr>
        <w:t>SHED’s sustainable</w:t>
      </w:r>
      <w:r w:rsidRPr="005456DA">
        <w:rPr>
          <w:rFonts w:ascii="Calibri Light" w:hAnsi="Calibri Light" w:cs="Calibri Light"/>
          <w:sz w:val="18"/>
          <w:szCs w:val="18"/>
        </w:rPr>
        <w:t xml:space="preserve"> eating domain</w:t>
      </w:r>
    </w:p>
    <w:p w14:paraId="2ADFDAEC" w14:textId="77777777" w:rsidR="00C74860" w:rsidRDefault="00C74860" w:rsidP="00C74860">
      <w:r w:rsidRPr="005456DA">
        <w:rPr>
          <w:noProof/>
          <w:lang w:val="el-GR" w:eastAsia="el-GR"/>
        </w:rPr>
        <w:drawing>
          <wp:inline distT="0" distB="0" distL="0" distR="0" wp14:anchorId="0E7DE606" wp14:editId="19F9CFC6">
            <wp:extent cx="5848894" cy="2554514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415" cy="255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4CA46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68DE4CF3" w14:textId="77777777" w:rsidR="00C74860" w:rsidRDefault="00C74860" w:rsidP="00C74860"/>
    <w:p w14:paraId="333AEF7A" w14:textId="77777777" w:rsidR="00C74860" w:rsidRDefault="00C74860" w:rsidP="00C74860">
      <w:pPr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7701F60E" w14:textId="77777777" w:rsidR="00C74860" w:rsidRPr="005456DA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Figure </w:t>
      </w:r>
      <w:r>
        <w:rPr>
          <w:rFonts w:ascii="Calibri Light" w:hAnsi="Calibri Light" w:cs="Calibri Light"/>
          <w:b/>
          <w:bCs/>
          <w:sz w:val="18"/>
          <w:szCs w:val="18"/>
        </w:rPr>
        <w:t>3</w:t>
      </w:r>
      <w:r w:rsidRPr="005456DA">
        <w:rPr>
          <w:rFonts w:ascii="Calibri Light" w:hAnsi="Calibri Light" w:cs="Calibri Light"/>
          <w:b/>
          <w:bCs/>
          <w:sz w:val="18"/>
          <w:szCs w:val="18"/>
        </w:rPr>
        <w:t>.</w:t>
      </w:r>
      <w:r w:rsidRPr="005456DA">
        <w:rPr>
          <w:rFonts w:ascii="Calibri Light" w:hAnsi="Calibri Light" w:cs="Calibri Light"/>
          <w:sz w:val="18"/>
          <w:szCs w:val="18"/>
        </w:rPr>
        <w:t xml:space="preserve"> Likert plot of </w:t>
      </w:r>
      <w:r>
        <w:rPr>
          <w:rFonts w:ascii="Calibri Light" w:hAnsi="Calibri Light" w:cs="Calibri Light"/>
          <w:sz w:val="18"/>
          <w:szCs w:val="18"/>
        </w:rPr>
        <w:t>SHED’s BFV</w:t>
      </w:r>
      <w:r w:rsidRPr="005456DA">
        <w:rPr>
          <w:rFonts w:ascii="Calibri Light" w:hAnsi="Calibri Light" w:cs="Calibri Light"/>
          <w:sz w:val="18"/>
          <w:szCs w:val="18"/>
        </w:rPr>
        <w:t xml:space="preserve"> domain</w:t>
      </w:r>
    </w:p>
    <w:p w14:paraId="21497604" w14:textId="77777777" w:rsidR="00C74860" w:rsidRDefault="00C74860" w:rsidP="00C74860">
      <w:r w:rsidRPr="002F45FF">
        <w:rPr>
          <w:noProof/>
          <w:lang w:val="el-GR" w:eastAsia="el-GR"/>
        </w:rPr>
        <w:drawing>
          <wp:inline distT="0" distB="0" distL="0" distR="0" wp14:anchorId="6015797B" wp14:editId="32E2411F">
            <wp:extent cx="5081383" cy="3005847"/>
            <wp:effectExtent l="0" t="0" r="0" b="444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8601" cy="301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BDFD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1A4145E8" w14:textId="77777777" w:rsidR="00C74860" w:rsidRDefault="00C74860" w:rsidP="00C74860"/>
    <w:p w14:paraId="55238F93" w14:textId="77777777" w:rsidR="00C74860" w:rsidRDefault="00C74860" w:rsidP="00C74860">
      <w:pPr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5047E061" w14:textId="77777777" w:rsidR="00C74860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Figure </w:t>
      </w:r>
      <w:r>
        <w:rPr>
          <w:rFonts w:ascii="Calibri Light" w:hAnsi="Calibri Light" w:cs="Calibri Light"/>
          <w:b/>
          <w:bCs/>
          <w:sz w:val="18"/>
          <w:szCs w:val="18"/>
        </w:rPr>
        <w:t>4</w:t>
      </w:r>
      <w:r w:rsidRPr="005456DA">
        <w:rPr>
          <w:rFonts w:ascii="Calibri Light" w:hAnsi="Calibri Light" w:cs="Calibri Light"/>
          <w:b/>
          <w:bCs/>
          <w:sz w:val="18"/>
          <w:szCs w:val="18"/>
        </w:rPr>
        <w:t>.</w:t>
      </w:r>
      <w:r w:rsidRPr="005456DA">
        <w:rPr>
          <w:rFonts w:ascii="Calibri Light" w:hAnsi="Calibri Light" w:cs="Calibri Light"/>
          <w:sz w:val="18"/>
          <w:szCs w:val="18"/>
        </w:rPr>
        <w:t xml:space="preserve"> Likert plot of </w:t>
      </w:r>
      <w:r>
        <w:rPr>
          <w:rFonts w:ascii="Calibri Light" w:hAnsi="Calibri Light" w:cs="Calibri Light"/>
          <w:sz w:val="18"/>
          <w:szCs w:val="18"/>
        </w:rPr>
        <w:t>SHED’s ready meals domain</w:t>
      </w:r>
    </w:p>
    <w:p w14:paraId="7077CB3E" w14:textId="77777777" w:rsidR="00C74860" w:rsidRPr="005456DA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B4463C">
        <w:rPr>
          <w:rFonts w:ascii="Calibri Light" w:hAnsi="Calibri Light" w:cs="Calibri Light"/>
          <w:noProof/>
          <w:sz w:val="18"/>
          <w:szCs w:val="18"/>
          <w:lang w:val="el-GR" w:eastAsia="el-GR"/>
        </w:rPr>
        <w:drawing>
          <wp:inline distT="0" distB="0" distL="0" distR="0" wp14:anchorId="2CE90925" wp14:editId="17A034DD">
            <wp:extent cx="5798330" cy="2543628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019" cy="254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57598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3EBCF9D7" w14:textId="77777777" w:rsidR="00C74860" w:rsidRDefault="00C74860" w:rsidP="00C74860">
      <w:pPr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72C991BB" w14:textId="77777777" w:rsidR="00C74860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Figure </w:t>
      </w:r>
      <w:r>
        <w:rPr>
          <w:rFonts w:ascii="Calibri Light" w:hAnsi="Calibri Light" w:cs="Calibri Light"/>
          <w:b/>
          <w:bCs/>
          <w:sz w:val="18"/>
          <w:szCs w:val="18"/>
        </w:rPr>
        <w:t>5</w:t>
      </w:r>
      <w:r w:rsidRPr="005456DA">
        <w:rPr>
          <w:rFonts w:ascii="Calibri Light" w:hAnsi="Calibri Light" w:cs="Calibri Light"/>
          <w:b/>
          <w:bCs/>
          <w:sz w:val="18"/>
          <w:szCs w:val="18"/>
        </w:rPr>
        <w:t>.</w:t>
      </w:r>
      <w:r w:rsidRPr="005456DA">
        <w:rPr>
          <w:rFonts w:ascii="Calibri Light" w:hAnsi="Calibri Light" w:cs="Calibri Light"/>
          <w:sz w:val="18"/>
          <w:szCs w:val="18"/>
        </w:rPr>
        <w:t xml:space="preserve"> Likert plot of </w:t>
      </w:r>
      <w:r>
        <w:rPr>
          <w:rFonts w:ascii="Calibri Light" w:hAnsi="Calibri Light" w:cs="Calibri Light"/>
          <w:sz w:val="18"/>
          <w:szCs w:val="18"/>
        </w:rPr>
        <w:t>SHED’s water score domain</w:t>
      </w:r>
    </w:p>
    <w:p w14:paraId="39E8B0F7" w14:textId="77777777" w:rsidR="00C74860" w:rsidRDefault="00C74860" w:rsidP="00C74860">
      <w:r w:rsidRPr="00B4463C">
        <w:rPr>
          <w:noProof/>
          <w:lang w:val="el-GR" w:eastAsia="el-GR"/>
        </w:rPr>
        <w:drawing>
          <wp:inline distT="0" distB="0" distL="0" distR="0" wp14:anchorId="306A28F4" wp14:editId="2EBD6612">
            <wp:extent cx="5591629" cy="2644091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804" cy="264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D043D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2ED9BB4A" w14:textId="77777777" w:rsidR="00C74860" w:rsidRDefault="00C74860" w:rsidP="00C74860">
      <w:pPr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71F2CB44" w14:textId="77777777" w:rsidR="00C74860" w:rsidRDefault="00C74860" w:rsidP="00C74860">
      <w:pPr>
        <w:rPr>
          <w:rFonts w:ascii="Calibri Light" w:hAnsi="Calibri Light" w:cs="Calibri Light"/>
          <w:sz w:val="18"/>
          <w:szCs w:val="18"/>
        </w:rPr>
      </w:pPr>
      <w:r w:rsidRPr="005456DA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Figure </w:t>
      </w:r>
      <w:r>
        <w:rPr>
          <w:rFonts w:ascii="Calibri Light" w:hAnsi="Calibri Light" w:cs="Calibri Light"/>
          <w:b/>
          <w:bCs/>
          <w:sz w:val="18"/>
          <w:szCs w:val="18"/>
        </w:rPr>
        <w:t>6</w:t>
      </w:r>
      <w:r w:rsidRPr="005456DA">
        <w:rPr>
          <w:rFonts w:ascii="Calibri Light" w:hAnsi="Calibri Light" w:cs="Calibri Light"/>
          <w:b/>
          <w:bCs/>
          <w:sz w:val="18"/>
          <w:szCs w:val="18"/>
        </w:rPr>
        <w:t>.</w:t>
      </w:r>
      <w:r w:rsidRPr="005456DA">
        <w:rPr>
          <w:rFonts w:ascii="Calibri Light" w:hAnsi="Calibri Light" w:cs="Calibri Light"/>
          <w:sz w:val="18"/>
          <w:szCs w:val="18"/>
        </w:rPr>
        <w:t xml:space="preserve"> Likert plot of </w:t>
      </w:r>
      <w:r>
        <w:rPr>
          <w:rFonts w:ascii="Calibri Light" w:hAnsi="Calibri Light" w:cs="Calibri Light"/>
          <w:sz w:val="18"/>
          <w:szCs w:val="18"/>
        </w:rPr>
        <w:t>SHED’s soda score domain</w:t>
      </w:r>
    </w:p>
    <w:p w14:paraId="0A6CD130" w14:textId="77777777" w:rsidR="00C74860" w:rsidRDefault="00C74860" w:rsidP="00C74860">
      <w:r w:rsidRPr="0039505B">
        <w:rPr>
          <w:noProof/>
          <w:lang w:val="el-GR" w:eastAsia="el-GR"/>
        </w:rPr>
        <w:drawing>
          <wp:inline distT="0" distB="0" distL="0" distR="0" wp14:anchorId="083DF493" wp14:editId="4BDC6A1E">
            <wp:extent cx="4489976" cy="2607013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312" cy="262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5E98" w14:textId="77777777" w:rsidR="00E552BF" w:rsidRDefault="00E552BF" w:rsidP="00E552BF">
      <w:r>
        <w:rPr>
          <w:rFonts w:asciiTheme="majorHAnsi" w:hAnsiTheme="majorHAnsi" w:cstheme="majorHAnsi"/>
          <w:sz w:val="20"/>
          <w:szCs w:val="20"/>
        </w:rPr>
        <w:t xml:space="preserve">SHED: </w:t>
      </w:r>
      <w:r w:rsidRPr="00F04C5C">
        <w:rPr>
          <w:rFonts w:asciiTheme="majorHAnsi" w:hAnsiTheme="majorHAnsi" w:cstheme="majorHAnsi"/>
          <w:sz w:val="20"/>
          <w:szCs w:val="20"/>
        </w:rPr>
        <w:t xml:space="preserve">Sustainable </w:t>
      </w:r>
      <w:proofErr w:type="spellStart"/>
      <w:r w:rsidRPr="00F04C5C">
        <w:rPr>
          <w:rFonts w:asciiTheme="majorHAnsi" w:hAnsiTheme="majorHAnsi" w:cstheme="majorHAnsi"/>
          <w:sz w:val="20"/>
          <w:szCs w:val="20"/>
        </w:rPr>
        <w:t>HEalthy</w:t>
      </w:r>
      <w:proofErr w:type="spellEnd"/>
      <w:r w:rsidRPr="00F04C5C">
        <w:rPr>
          <w:rFonts w:asciiTheme="majorHAnsi" w:hAnsiTheme="majorHAnsi" w:cstheme="majorHAnsi"/>
          <w:sz w:val="20"/>
          <w:szCs w:val="20"/>
        </w:rPr>
        <w:t xml:space="preserve"> Diet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fldChar w:fldCharType="begin" w:fldLock="1"/>
      </w:r>
      <w:r>
        <w:rPr>
          <w:rFonts w:asciiTheme="majorHAnsi" w:hAnsiTheme="majorHAnsi" w:cstheme="majorHAnsi"/>
          <w:sz w:val="20"/>
          <w:szCs w:val="20"/>
        </w:rPr>
        <w:instrText>ADDIN CSL_CITATION {"citationItems":[{"id":"ITEM-1","itemData":{"DOI":"10.1007/S00394-021-02554-8/FIGURES/3","ISSN":"14366215","PMID":"33904997","abstract":"Purpose: Promoting sustainable diets through sustainable food choices is essential for achieving the sustainable development goals set by the United Nations. Establishing a practical tool that can measure and score sustainable and healthy eating is highly important. Methods: We established a 30-item questionnaire to evaluate sustainable-dietary consumption. Based on the literature and a multidisciplinary advisory panel, the questionnaire was computed by principal component analysis, yielding the Sustainable-HEalthy-Diet (SHED) Index. A rigorous multi-stage process included validation in training-verification sets, across recycling efforts, as an indicator of environmental commitment; and validation across the proportion of animal-protein consumption, as an indicator of adherence to a sustainable and healthy dietary-pattern. The EAT-Lancet reference-diet and the Mediterranean-Diet-score were used to investigate the construct validity of the SHED Index score. Reliability was assessed with a test–retest sample. Results: Three-hundred-forty-eight men and women, aged 20–45 years, completed both the SHED Index questionnaire and a validated Food-Frequency-Questionnaire. Increased dietary animal-protein intake was associated with a lower SHED Index total score (p &lt; 0.001). Higher recycling efforts were associated with a higher total SHED Index score (p &lt; 0.001). A linear correlation was found between the SHED Index score and food-groups of the Eat-Lancet-reference diet. A significant correlation was found between the Mediterranean-Diet-score and the SHED Index score (r = 0.575, p &lt; 0.001). The SHED Index score revealed high reliability in test–retest, high validity in training and verification sets, and internal consistency. Conclusion: We developed the SHED Index score, a simple, practical tool, for measuring healthy and sustainable individual-diets. The score reflects the nutritional, environmental and sociocultural aspects of sustainable diets; and provides a tangible tool to be used in intervention studies and in daily practice.","author":[{"dropping-particle":"","family":"Tepper","given":"Sigal","non-dropping-particle":"","parse-names":false,"suffix":""},{"dropping-particle":"","family":"Geva","given":"Diklah","non-dropping-particle":"","parse-names":false,"suffix":""},{"dropping-particle":"","family":"Shahar","given":"Danit R.","non-dropping-particle":"","parse-names":false,"suffix":""},{"dropping-particle":"","family":"Shepon","given":"Alon","non-dropping-particle":"","parse-names":false,"suffix":""},{"dropping-particle":"","family":"Mendelsohn","given":"Opher","non-dropping-particle":"","parse-names":false,"suffix":""},{"dropping-particle":"","family":"Golan","given":"Moria","non-dropping-particle":"","parse-names":false,"suffix":""},{"dropping-particle":"","family":"Adler","given":"Dorit","non-dropping-particle":"","parse-names":false,"suffix":""},{"dropping-particle":"","family":"Golan","given":"Rachel","non-dropping-particle":"","parse-names":false,"suffix":""}],"container-title":"European Journal of Nutrition","id":"ITEM-1","issue":"7","issued":{"date-parts":[["2021","10","1"]]},"page":"3897-3909","publisher":"Springer Science and Business Media Deutschland GmbH","title":"The SHED Index: a tool for assessing a Sustainable HEalthy Diet","type":"article-journal","volume":"60"},"uris":["http://www.mendeley.com/documents/?uuid=f25bbd54-1d86-34f6-aec3-89944b6c8160"]}],"mendeley":{"formattedCitation":"[13]","plainTextFormattedCitation":"[13]","previouslyFormattedCitation":"[13]"},"properties":{"noteIndex":0},"schema":"https://github.com/citation-style-language/schema/raw/master/csl-citation.json"}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 w:rsidRPr="00552DF4">
        <w:rPr>
          <w:rFonts w:asciiTheme="majorHAnsi" w:hAnsiTheme="majorHAnsi" w:cstheme="majorHAnsi"/>
          <w:noProof/>
          <w:sz w:val="20"/>
          <w:szCs w:val="20"/>
        </w:rPr>
        <w:t>[13]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</w:p>
    <w:p w14:paraId="311A5915" w14:textId="567CB363" w:rsidR="00C74860" w:rsidRDefault="00C74860">
      <w:bookmarkStart w:id="0" w:name="_GoBack"/>
      <w:bookmarkEnd w:id="0"/>
    </w:p>
    <w:sectPr w:rsidR="00C74860" w:rsidSect="004739E9"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2280C" w14:textId="77777777" w:rsidR="008F22E7" w:rsidRDefault="008F22E7" w:rsidP="00E552BF">
      <w:r>
        <w:separator/>
      </w:r>
    </w:p>
  </w:endnote>
  <w:endnote w:type="continuationSeparator" w:id="0">
    <w:p w14:paraId="4729CAE8" w14:textId="77777777" w:rsidR="008F22E7" w:rsidRDefault="008F22E7" w:rsidP="00E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7422799"/>
      <w:docPartObj>
        <w:docPartGallery w:val="Page Numbers (Bottom of Page)"/>
        <w:docPartUnique/>
      </w:docPartObj>
    </w:sdtPr>
    <w:sdtContent>
      <w:p w14:paraId="707497B6" w14:textId="7730460E" w:rsidR="00E552BF" w:rsidRDefault="00E552BF" w:rsidP="003446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436488" w14:textId="77777777" w:rsidR="00E552BF" w:rsidRDefault="00E552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7336408"/>
      <w:docPartObj>
        <w:docPartGallery w:val="Page Numbers (Bottom of Page)"/>
        <w:docPartUnique/>
      </w:docPartObj>
    </w:sdtPr>
    <w:sdtContent>
      <w:p w14:paraId="7443D968" w14:textId="06FF2DB7" w:rsidR="00E552BF" w:rsidRDefault="00E552BF" w:rsidP="003446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552A49" w14:textId="77777777" w:rsidR="00E552BF" w:rsidRDefault="00E55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39453" w14:textId="77777777" w:rsidR="008F22E7" w:rsidRDefault="008F22E7" w:rsidP="00E552BF">
      <w:r>
        <w:separator/>
      </w:r>
    </w:p>
  </w:footnote>
  <w:footnote w:type="continuationSeparator" w:id="0">
    <w:p w14:paraId="50AE1F8B" w14:textId="77777777" w:rsidR="008F22E7" w:rsidRDefault="008F22E7" w:rsidP="00E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60"/>
    <w:rsid w:val="004739E9"/>
    <w:rsid w:val="008F22E7"/>
    <w:rsid w:val="00C74860"/>
    <w:rsid w:val="00E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F87D13"/>
  <w15:chartTrackingRefBased/>
  <w15:docId w15:val="{DE8F28D1-E5C0-CC4C-B7F0-776B9306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5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2BF"/>
  </w:style>
  <w:style w:type="character" w:styleId="PageNumber">
    <w:name w:val="page number"/>
    <w:basedOn w:val="DefaultParagraphFont"/>
    <w:uiPriority w:val="99"/>
    <w:semiHidden/>
    <w:unhideWhenUsed/>
    <w:rsid w:val="00E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3508</Words>
  <Characters>19997</Characters>
  <Application>Microsoft Office Word</Application>
  <DocSecurity>0</DocSecurity>
  <Lines>166</Lines>
  <Paragraphs>46</Paragraphs>
  <ScaleCrop>false</ScaleCrop>
  <Company/>
  <LinksUpToDate>false</LinksUpToDate>
  <CharactersWithSpaces>23459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2024-09-01T13:33:00Z</dcterms:created>
  <dcterms:modified xsi:type="dcterms:W3CDTF">2024-09-01T19:52:00Z</dcterms:modified>
</cp:coreProperties>
</file>