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2C1FD" w14:textId="77777777" w:rsidR="00C86926" w:rsidRDefault="00000000">
      <w:pPr>
        <w:rPr>
          <w:rFonts w:ascii="Times New Roman" w:eastAsia="宋体" w:hAnsi="Times New Roman" w:cs="Times New Roman"/>
          <w:b/>
          <w:bCs/>
        </w:rPr>
      </w:pPr>
      <w:bookmarkStart w:id="0" w:name="_Hlk149858729"/>
      <w:r>
        <w:rPr>
          <w:rFonts w:ascii="Times New Roman" w:eastAsia="宋体" w:hAnsi="Times New Roman" w:cs="Times New Roman" w:hint="eastAsia"/>
          <w:b/>
          <w:bCs/>
        </w:rPr>
        <w:t>T</w:t>
      </w:r>
      <w:r>
        <w:rPr>
          <w:rFonts w:ascii="Times New Roman" w:eastAsia="宋体" w:hAnsi="Times New Roman" w:cs="Times New Roman"/>
          <w:b/>
          <w:bCs/>
        </w:rPr>
        <w:t xml:space="preserve">able S1. </w:t>
      </w:r>
      <w:r>
        <w:t xml:space="preserve"> </w:t>
      </w:r>
      <w:r>
        <w:rPr>
          <w:rFonts w:ascii="Times New Roman" w:eastAsia="宋体" w:hAnsi="Times New Roman" w:cs="Times New Roman"/>
          <w:b/>
          <w:bCs/>
        </w:rPr>
        <w:t xml:space="preserve">Associations of breakfast consumption </w:t>
      </w:r>
      <w:r>
        <w:rPr>
          <w:rFonts w:ascii="Times New Roman Bold" w:hAnsi="Times New Roman Bold" w:cs="Times New Roman Bold"/>
          <w:b/>
          <w:bCs/>
          <w:szCs w:val="21"/>
        </w:rPr>
        <w:t>with risk of all causes and cause-specific mortality</w:t>
      </w:r>
    </w:p>
    <w:tbl>
      <w:tblPr>
        <w:tblStyle w:val="10"/>
        <w:tblpPr w:leftFromText="180" w:rightFromText="180" w:vertAnchor="page" w:horzAnchor="page" w:tblpX="1812" w:tblpY="2412"/>
        <w:tblW w:w="426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le 2.  Dose-response associations of categories of tea consumption with all-cause, cancer, and CVD mortality"/>
      </w:tblPr>
      <w:tblGrid>
        <w:gridCol w:w="2551"/>
        <w:gridCol w:w="1700"/>
        <w:gridCol w:w="2837"/>
      </w:tblGrid>
      <w:tr w:rsidR="00C86926" w:rsidRPr="00EB6FFE" w14:paraId="703258E1" w14:textId="77777777" w:rsidTr="00EB6FFE">
        <w:trPr>
          <w:trHeight w:val="20"/>
        </w:trPr>
        <w:tc>
          <w:tcPr>
            <w:tcW w:w="1800" w:type="pct"/>
            <w:tcBorders>
              <w:top w:val="single" w:sz="4" w:space="0" w:color="auto"/>
              <w:bottom w:val="single" w:sz="4" w:space="0" w:color="auto"/>
            </w:tcBorders>
          </w:tcPr>
          <w:p w14:paraId="5D08E445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Outcome</w:t>
            </w:r>
          </w:p>
        </w:tc>
        <w:tc>
          <w:tcPr>
            <w:tcW w:w="1199" w:type="pct"/>
            <w:tcBorders>
              <w:top w:val="single" w:sz="4" w:space="0" w:color="auto"/>
              <w:bottom w:val="single" w:sz="4" w:space="0" w:color="auto"/>
            </w:tcBorders>
          </w:tcPr>
          <w:p w14:paraId="392A1158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Non-</w:t>
            </w:r>
            <w:r w:rsidRPr="00EB6FFE">
              <w:rPr>
                <w:rFonts w:ascii="Times New Roman Bold" w:eastAsia="等线" w:hAnsi="Times New Roman Bold" w:cs="Times New Roman Bold" w:hint="eastAsia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con</w:t>
            </w: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sumers</w:t>
            </w:r>
          </w:p>
        </w:tc>
        <w:tc>
          <w:tcPr>
            <w:tcW w:w="2001" w:type="pct"/>
            <w:tcBorders>
              <w:top w:val="single" w:sz="4" w:space="0" w:color="auto"/>
              <w:bottom w:val="single" w:sz="4" w:space="0" w:color="auto"/>
            </w:tcBorders>
          </w:tcPr>
          <w:p w14:paraId="1DE8347D" w14:textId="77777777" w:rsidR="00C86926" w:rsidRPr="00EB6FFE" w:rsidRDefault="00000000" w:rsidP="00287E97">
            <w:pPr>
              <w:widowControl w:val="0"/>
              <w:spacing w:after="0" w:line="276" w:lineRule="auto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 w:hint="eastAsia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B</w:t>
            </w: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reakfast cereal consumers</w:t>
            </w:r>
          </w:p>
        </w:tc>
      </w:tr>
      <w:tr w:rsidR="00C86926" w:rsidRPr="00EB6FFE" w14:paraId="7D737052" w14:textId="77777777" w:rsidTr="00EB6FFE">
        <w:trPr>
          <w:trHeight w:val="20"/>
        </w:trPr>
        <w:tc>
          <w:tcPr>
            <w:tcW w:w="1800" w:type="pct"/>
            <w:tcBorders>
              <w:top w:val="single" w:sz="4" w:space="0" w:color="auto"/>
            </w:tcBorders>
          </w:tcPr>
          <w:p w14:paraId="568895CA" w14:textId="515A3446" w:rsidR="00C86926" w:rsidRPr="00EB6FFE" w:rsidRDefault="00EB6FFE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All-cause mortality</w:t>
            </w:r>
          </w:p>
        </w:tc>
        <w:tc>
          <w:tcPr>
            <w:tcW w:w="1199" w:type="pct"/>
            <w:tcBorders>
              <w:top w:val="single" w:sz="4" w:space="0" w:color="auto"/>
            </w:tcBorders>
          </w:tcPr>
          <w:p w14:paraId="50E74F82" w14:textId="77777777" w:rsidR="00C86926" w:rsidRPr="00EB6FFE" w:rsidRDefault="00C86926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2001" w:type="pct"/>
            <w:tcBorders>
              <w:top w:val="single" w:sz="4" w:space="0" w:color="auto"/>
            </w:tcBorders>
          </w:tcPr>
          <w:p w14:paraId="54E201FF" w14:textId="77777777" w:rsidR="00C86926" w:rsidRPr="00EB6FFE" w:rsidRDefault="00C86926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</w:tr>
      <w:tr w:rsidR="00C86926" w:rsidRPr="00EB6FFE" w14:paraId="54BCBD78" w14:textId="77777777" w:rsidTr="00EB6FFE">
        <w:trPr>
          <w:trHeight w:val="20"/>
        </w:trPr>
        <w:tc>
          <w:tcPr>
            <w:tcW w:w="1800" w:type="pct"/>
          </w:tcPr>
          <w:p w14:paraId="50A8EE14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Events, n (%)</w:t>
            </w:r>
          </w:p>
        </w:tc>
        <w:tc>
          <w:tcPr>
            <w:tcW w:w="1199" w:type="pct"/>
          </w:tcPr>
          <w:p w14:paraId="7BC24B81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2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601(5.3)</w:t>
            </w:r>
          </w:p>
        </w:tc>
        <w:tc>
          <w:tcPr>
            <w:tcW w:w="2001" w:type="pct"/>
          </w:tcPr>
          <w:p w14:paraId="67D796B0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6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801(5.0)</w:t>
            </w:r>
          </w:p>
        </w:tc>
      </w:tr>
      <w:tr w:rsidR="00C86926" w:rsidRPr="00EB6FFE" w14:paraId="38775935" w14:textId="77777777" w:rsidTr="00EB6FFE">
        <w:trPr>
          <w:trHeight w:val="20"/>
        </w:trPr>
        <w:tc>
          <w:tcPr>
            <w:tcW w:w="1800" w:type="pct"/>
          </w:tcPr>
          <w:p w14:paraId="67BD9522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Model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1</w:t>
            </w:r>
          </w:p>
        </w:tc>
        <w:tc>
          <w:tcPr>
            <w:tcW w:w="1199" w:type="pct"/>
          </w:tcPr>
          <w:p w14:paraId="6F0F32CF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351D19E6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0.82(0.78 to 0.85)</w:t>
            </w:r>
          </w:p>
        </w:tc>
      </w:tr>
      <w:tr w:rsidR="00C86926" w:rsidRPr="00EB6FFE" w14:paraId="2C8D7937" w14:textId="77777777" w:rsidTr="00EB6FFE">
        <w:trPr>
          <w:trHeight w:val="20"/>
        </w:trPr>
        <w:tc>
          <w:tcPr>
            <w:tcW w:w="1800" w:type="pct"/>
          </w:tcPr>
          <w:p w14:paraId="55A61920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Model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2</w:t>
            </w:r>
          </w:p>
        </w:tc>
        <w:tc>
          <w:tcPr>
            <w:tcW w:w="1199" w:type="pct"/>
          </w:tcPr>
          <w:p w14:paraId="601EB66B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1548FFE4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0.91(0.87 to 0.96)</w:t>
            </w:r>
          </w:p>
        </w:tc>
      </w:tr>
      <w:tr w:rsidR="00C86926" w:rsidRPr="00EB6FFE" w14:paraId="43C66587" w14:textId="77777777" w:rsidTr="00EB6FFE">
        <w:trPr>
          <w:trHeight w:val="283"/>
        </w:trPr>
        <w:tc>
          <w:tcPr>
            <w:tcW w:w="1800" w:type="pct"/>
          </w:tcPr>
          <w:p w14:paraId="4A6FECFA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Model 3</w:t>
            </w:r>
          </w:p>
        </w:tc>
        <w:tc>
          <w:tcPr>
            <w:tcW w:w="1199" w:type="pct"/>
          </w:tcPr>
          <w:p w14:paraId="42E2FCED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190DDC3A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0.91(0.87 to 0.96)</w:t>
            </w:r>
          </w:p>
        </w:tc>
      </w:tr>
      <w:tr w:rsidR="00C86926" w:rsidRPr="00EB6FFE" w14:paraId="770FF44F" w14:textId="77777777" w:rsidTr="00EB6FFE">
        <w:trPr>
          <w:trHeight w:val="20"/>
        </w:trPr>
        <w:tc>
          <w:tcPr>
            <w:tcW w:w="1800" w:type="pct"/>
          </w:tcPr>
          <w:p w14:paraId="2D31B852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Cancer cause mortality</w:t>
            </w:r>
          </w:p>
        </w:tc>
        <w:tc>
          <w:tcPr>
            <w:tcW w:w="1199" w:type="pct"/>
          </w:tcPr>
          <w:p w14:paraId="6778F82E" w14:textId="77777777" w:rsidR="00C86926" w:rsidRPr="00EB6FFE" w:rsidRDefault="00C86926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2001" w:type="pct"/>
          </w:tcPr>
          <w:p w14:paraId="26D5E71C" w14:textId="77777777" w:rsidR="00C86926" w:rsidRPr="00EB6FFE" w:rsidRDefault="00C86926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</w:tr>
      <w:tr w:rsidR="00C86926" w:rsidRPr="00EB6FFE" w14:paraId="588DB7CB" w14:textId="77777777" w:rsidTr="00EB6FFE">
        <w:trPr>
          <w:trHeight w:val="20"/>
        </w:trPr>
        <w:tc>
          <w:tcPr>
            <w:tcW w:w="1800" w:type="pct"/>
          </w:tcPr>
          <w:p w14:paraId="3A1C846B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Events, n (%)</w:t>
            </w:r>
          </w:p>
        </w:tc>
        <w:tc>
          <w:tcPr>
            <w:tcW w:w="1199" w:type="pct"/>
          </w:tcPr>
          <w:p w14:paraId="7310D150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358(2.8)</w:t>
            </w:r>
          </w:p>
        </w:tc>
        <w:tc>
          <w:tcPr>
            <w:tcW w:w="2001" w:type="pct"/>
          </w:tcPr>
          <w:p w14:paraId="673ADF19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3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715(2.7)</w:t>
            </w:r>
          </w:p>
        </w:tc>
      </w:tr>
      <w:tr w:rsidR="00C86926" w:rsidRPr="00EB6FFE" w14:paraId="1AE583A3" w14:textId="77777777" w:rsidTr="00EB6FFE">
        <w:trPr>
          <w:trHeight w:val="20"/>
        </w:trPr>
        <w:tc>
          <w:tcPr>
            <w:tcW w:w="1800" w:type="pct"/>
          </w:tcPr>
          <w:p w14:paraId="4FD0CE4C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Model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1</w:t>
            </w:r>
          </w:p>
        </w:tc>
        <w:tc>
          <w:tcPr>
            <w:tcW w:w="1199" w:type="pct"/>
          </w:tcPr>
          <w:p w14:paraId="18871480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112A32A4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0.85(0.80 to 0.90)</w:t>
            </w:r>
          </w:p>
        </w:tc>
      </w:tr>
      <w:tr w:rsidR="00C86926" w:rsidRPr="00EB6FFE" w14:paraId="4AB5C082" w14:textId="77777777" w:rsidTr="00EB6FFE">
        <w:trPr>
          <w:trHeight w:val="20"/>
        </w:trPr>
        <w:tc>
          <w:tcPr>
            <w:tcW w:w="1800" w:type="pct"/>
          </w:tcPr>
          <w:p w14:paraId="71F7D7AF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Model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2</w:t>
            </w:r>
          </w:p>
        </w:tc>
        <w:tc>
          <w:tcPr>
            <w:tcW w:w="1199" w:type="pct"/>
          </w:tcPr>
          <w:p w14:paraId="4C1A3BC0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2573133D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0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.94(0.88 to 1.01)</w:t>
            </w:r>
          </w:p>
        </w:tc>
      </w:tr>
      <w:tr w:rsidR="00C86926" w:rsidRPr="00EB6FFE" w14:paraId="51FD8EFF" w14:textId="77777777" w:rsidTr="00EB6FFE">
        <w:trPr>
          <w:trHeight w:val="20"/>
        </w:trPr>
        <w:tc>
          <w:tcPr>
            <w:tcW w:w="1800" w:type="pct"/>
          </w:tcPr>
          <w:p w14:paraId="39A721A7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Model 3</w:t>
            </w:r>
          </w:p>
        </w:tc>
        <w:tc>
          <w:tcPr>
            <w:tcW w:w="1199" w:type="pct"/>
          </w:tcPr>
          <w:p w14:paraId="5BC2E91F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5F7621DA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0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.94(0.88 to 1.01)</w:t>
            </w:r>
          </w:p>
        </w:tc>
      </w:tr>
      <w:tr w:rsidR="00C86926" w:rsidRPr="00EB6FFE" w14:paraId="27EEA1E2" w14:textId="77777777" w:rsidTr="00EB6FFE">
        <w:trPr>
          <w:trHeight w:val="20"/>
        </w:trPr>
        <w:tc>
          <w:tcPr>
            <w:tcW w:w="1800" w:type="pct"/>
          </w:tcPr>
          <w:p w14:paraId="0763AE92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CVD cause mortality</w:t>
            </w:r>
          </w:p>
        </w:tc>
        <w:tc>
          <w:tcPr>
            <w:tcW w:w="1199" w:type="pct"/>
          </w:tcPr>
          <w:p w14:paraId="162CDA07" w14:textId="77777777" w:rsidR="00C86926" w:rsidRPr="00EB6FFE" w:rsidRDefault="00C86926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  <w:tc>
          <w:tcPr>
            <w:tcW w:w="2001" w:type="pct"/>
          </w:tcPr>
          <w:p w14:paraId="51B500DB" w14:textId="77777777" w:rsidR="00C86926" w:rsidRPr="00EB6FFE" w:rsidRDefault="00C86926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</w:p>
        </w:tc>
      </w:tr>
      <w:tr w:rsidR="00C86926" w:rsidRPr="00EB6FFE" w14:paraId="27196F1C" w14:textId="77777777" w:rsidTr="00EB6FFE">
        <w:trPr>
          <w:trHeight w:val="20"/>
        </w:trPr>
        <w:tc>
          <w:tcPr>
            <w:tcW w:w="1800" w:type="pct"/>
          </w:tcPr>
          <w:p w14:paraId="08C52A28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Events, n (%)</w:t>
            </w:r>
          </w:p>
        </w:tc>
        <w:tc>
          <w:tcPr>
            <w:tcW w:w="1199" w:type="pct"/>
          </w:tcPr>
          <w:p w14:paraId="0EEEE5D9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4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84(1.0)</w:t>
            </w:r>
          </w:p>
        </w:tc>
        <w:tc>
          <w:tcPr>
            <w:tcW w:w="2001" w:type="pct"/>
          </w:tcPr>
          <w:p w14:paraId="7DF47AD6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203(0.9)</w:t>
            </w:r>
          </w:p>
        </w:tc>
      </w:tr>
      <w:tr w:rsidR="00C86926" w:rsidRPr="00EB6FFE" w14:paraId="46229F40" w14:textId="77777777" w:rsidTr="00EB6FFE">
        <w:trPr>
          <w:trHeight w:val="20"/>
        </w:trPr>
        <w:tc>
          <w:tcPr>
            <w:tcW w:w="1800" w:type="pct"/>
          </w:tcPr>
          <w:p w14:paraId="15C85952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Model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1</w:t>
            </w:r>
          </w:p>
        </w:tc>
        <w:tc>
          <w:tcPr>
            <w:tcW w:w="1199" w:type="pct"/>
          </w:tcPr>
          <w:p w14:paraId="42175197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13A1ED8B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0.77(0.70 to 0.86)</w:t>
            </w:r>
          </w:p>
        </w:tc>
      </w:tr>
      <w:tr w:rsidR="00C86926" w:rsidRPr="00EB6FFE" w14:paraId="2C8A8F7F" w14:textId="77777777" w:rsidTr="00EB6FFE">
        <w:trPr>
          <w:trHeight w:val="20"/>
        </w:trPr>
        <w:tc>
          <w:tcPr>
            <w:tcW w:w="1800" w:type="pct"/>
          </w:tcPr>
          <w:p w14:paraId="3944251B" w14:textId="77777777" w:rsidR="00C86926" w:rsidRPr="00EB6FFE" w:rsidRDefault="00000000" w:rsidP="00287E97">
            <w:pPr>
              <w:widowControl w:val="0"/>
              <w:spacing w:after="0" w:line="276" w:lineRule="auto"/>
              <w:ind w:firstLineChars="100" w:firstLine="210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Model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2</w:t>
            </w:r>
          </w:p>
        </w:tc>
        <w:tc>
          <w:tcPr>
            <w:tcW w:w="1199" w:type="pct"/>
          </w:tcPr>
          <w:p w14:paraId="065041E5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</w:tcPr>
          <w:p w14:paraId="4FFCB3CD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0.88(0.79 to 0.99)</w:t>
            </w:r>
          </w:p>
        </w:tc>
      </w:tr>
      <w:tr w:rsidR="00C86926" w:rsidRPr="00EB6FFE" w14:paraId="2EDC73AC" w14:textId="77777777" w:rsidTr="00EB6FFE">
        <w:trPr>
          <w:trHeight w:val="20"/>
        </w:trPr>
        <w:tc>
          <w:tcPr>
            <w:tcW w:w="1800" w:type="pct"/>
            <w:tcBorders>
              <w:bottom w:val="single" w:sz="4" w:space="0" w:color="auto"/>
            </w:tcBorders>
          </w:tcPr>
          <w:p w14:paraId="5AAFD4AD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 </w:t>
            </w: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Model 3</w:t>
            </w:r>
          </w:p>
        </w:tc>
        <w:tc>
          <w:tcPr>
            <w:tcW w:w="1199" w:type="pct"/>
            <w:tcBorders>
              <w:bottom w:val="single" w:sz="4" w:space="0" w:color="auto"/>
            </w:tcBorders>
          </w:tcPr>
          <w:p w14:paraId="267ECD03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EB6FFE"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  <w:t>(Reference)</w:t>
            </w:r>
          </w:p>
        </w:tc>
        <w:tc>
          <w:tcPr>
            <w:tcW w:w="2001" w:type="pct"/>
            <w:tcBorders>
              <w:bottom w:val="single" w:sz="4" w:space="0" w:color="auto"/>
            </w:tcBorders>
          </w:tcPr>
          <w:p w14:paraId="698BAF99" w14:textId="77777777" w:rsidR="00C86926" w:rsidRPr="00EB6FFE" w:rsidRDefault="00000000" w:rsidP="00287E97">
            <w:pPr>
              <w:widowControl w:val="0"/>
              <w:spacing w:after="0" w:line="276" w:lineRule="auto"/>
              <w:jc w:val="both"/>
              <w:rPr>
                <w:rFonts w:ascii="Times New Roman" w:eastAsia="等线" w:hAnsi="Times New Roman" w:cs="Times New Roman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EB6FFE">
              <w:rPr>
                <w:rFonts w:ascii="Times New Roman Bold" w:eastAsia="等线" w:hAnsi="Times New Roman Bold" w:cs="Times New Roman Bold"/>
                <w:b/>
                <w:bCs/>
                <w:kern w:val="2"/>
                <w:sz w:val="21"/>
                <w:szCs w:val="21"/>
                <w:lang w:eastAsia="zh-CN"/>
                <w14:ligatures w14:val="standardContextual"/>
              </w:rPr>
              <w:t>0.89(0.79 to 1.00)</w:t>
            </w:r>
          </w:p>
        </w:tc>
      </w:tr>
    </w:tbl>
    <w:p w14:paraId="5A4E6752" w14:textId="77777777" w:rsidR="00C86926" w:rsidRPr="00EB6FFE" w:rsidRDefault="00C86926">
      <w:pPr>
        <w:rPr>
          <w:rFonts w:ascii="Times New Roman" w:eastAsia="宋体" w:hAnsi="Times New Roman" w:cs="Times New Roman"/>
          <w:b/>
          <w:bCs/>
          <w:sz w:val="21"/>
          <w:szCs w:val="21"/>
        </w:rPr>
      </w:pPr>
    </w:p>
    <w:bookmarkEnd w:id="0"/>
    <w:p w14:paraId="0CDEACD4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5598F40A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67D71838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41C90E76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593C90D8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038D8F5B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68C14436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5962C79F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3D911034" w14:textId="77777777" w:rsidR="00C86926" w:rsidRPr="00EB6FFE" w:rsidRDefault="00C86926">
      <w:pPr>
        <w:rPr>
          <w:rFonts w:ascii="Times New Roman" w:hAnsi="Times New Roman" w:cs="Times New Roman"/>
          <w:sz w:val="21"/>
          <w:szCs w:val="21"/>
        </w:rPr>
      </w:pPr>
    </w:p>
    <w:p w14:paraId="012774E2" w14:textId="77777777" w:rsidR="00C86926" w:rsidRDefault="00C86926">
      <w:pPr>
        <w:rPr>
          <w:rFonts w:ascii="Times New Roman" w:hAnsi="Times New Roman" w:cs="Times New Roman"/>
          <w:sz w:val="18"/>
          <w:szCs w:val="18"/>
        </w:rPr>
      </w:pPr>
    </w:p>
    <w:p w14:paraId="61BBBB58" w14:textId="77777777" w:rsidR="00C86926" w:rsidRDefault="00000000">
      <w:pPr>
        <w:rPr>
          <w:rFonts w:ascii="Times New Roman" w:hAnsi="Times New Roman" w:cs="Times New Roman"/>
          <w:sz w:val="18"/>
          <w:szCs w:val="18"/>
          <w:lang w:eastAsia="zh-CN"/>
        </w:rPr>
      </w:pPr>
      <w:r>
        <w:rPr>
          <w:rFonts w:ascii="Times New Roman" w:hAnsi="Times New Roman" w:cs="Times New Roman" w:hint="eastAsia"/>
          <w:sz w:val="18"/>
          <w:szCs w:val="18"/>
          <w:lang w:eastAsia="zh-CN"/>
        </w:rPr>
        <w:t>M</w:t>
      </w:r>
      <w:r>
        <w:rPr>
          <w:rFonts w:ascii="Times New Roman" w:hAnsi="Times New Roman" w:cs="Times New Roman"/>
          <w:sz w:val="18"/>
          <w:szCs w:val="18"/>
        </w:rPr>
        <w:t>odel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1</w:t>
      </w:r>
      <w:r>
        <w:rPr>
          <w:rFonts w:ascii="Times New Roman" w:hAnsi="Times New Roman" w:cs="Times New Roman"/>
          <w:sz w:val="18"/>
          <w:szCs w:val="18"/>
        </w:rPr>
        <w:t>:  adjusted for sex, age, Townsend deprivation index (TDI), ethnicity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and education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.</w:t>
      </w:r>
    </w:p>
    <w:p w14:paraId="7A0F167A" w14:textId="32D3ACB5" w:rsidR="00C86926" w:rsidRDefault="00000000">
      <w:pPr>
        <w:rPr>
          <w:rFonts w:ascii="Times New Roman" w:hAnsi="Times New Roman" w:cs="Times New Roman"/>
          <w:sz w:val="18"/>
          <w:szCs w:val="18"/>
          <w:lang w:eastAsia="zh-CN"/>
        </w:rPr>
      </w:pPr>
      <w:r>
        <w:rPr>
          <w:rFonts w:ascii="Times New Roman" w:hAnsi="Times New Roman" w:cs="Times New Roman" w:hint="eastAsia"/>
          <w:sz w:val="18"/>
          <w:szCs w:val="18"/>
          <w:lang w:eastAsia="zh-CN"/>
        </w:rPr>
        <w:t>M</w:t>
      </w:r>
      <w:r>
        <w:rPr>
          <w:rFonts w:ascii="Times New Roman" w:hAnsi="Times New Roman" w:cs="Times New Roman"/>
          <w:sz w:val="18"/>
          <w:szCs w:val="18"/>
        </w:rPr>
        <w:t>odel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2</w:t>
      </w:r>
      <w:r>
        <w:rPr>
          <w:rFonts w:ascii="Times New Roman" w:hAnsi="Times New Roman" w:cs="Times New Roman"/>
          <w:sz w:val="18"/>
          <w:szCs w:val="18"/>
        </w:rPr>
        <w:t xml:space="preserve">: 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Model 1 also </w:t>
      </w:r>
      <w:r>
        <w:rPr>
          <w:rFonts w:ascii="Times New Roman" w:hAnsi="Times New Roman" w:cs="Times New Roman"/>
          <w:sz w:val="18"/>
          <w:szCs w:val="18"/>
        </w:rPr>
        <w:t>adjusted for smoking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status, alcohol consumption, </w:t>
      </w:r>
      <w:r>
        <w:rPr>
          <w:rFonts w:ascii="Times New Roman" w:hAnsi="Times New Roman" w:cs="Times New Roman"/>
          <w:sz w:val="18"/>
          <w:szCs w:val="18"/>
          <w:lang w:eastAsia="zh-CN"/>
        </w:rPr>
        <w:t>physical activity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BMI</w:t>
      </w:r>
      <w:r>
        <w:rPr>
          <w:rFonts w:ascii="Times New Roman" w:hAnsi="Times New Roman" w:cs="Times New Roman"/>
          <w:sz w:val="18"/>
          <w:szCs w:val="18"/>
        </w:rPr>
        <w:t xml:space="preserve">, total intake of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energy</w:t>
      </w:r>
      <w:r>
        <w:rPr>
          <w:rFonts w:ascii="Times New Roman" w:hAnsi="Times New Roman" w:cs="Times New Roman"/>
          <w:sz w:val="18"/>
          <w:szCs w:val="18"/>
          <w:lang w:eastAsia="zh-CN"/>
        </w:rPr>
        <w:t>, fat and sugar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red</w:t>
      </w:r>
      <w:r w:rsidR="00287E97"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meat, vegetable, fruit, </w:t>
      </w:r>
      <w:r>
        <w:rPr>
          <w:rFonts w:ascii="Times New Roman" w:hAnsi="Times New Roman" w:cs="Times New Roman"/>
          <w:sz w:val="18"/>
          <w:szCs w:val="18"/>
          <w:lang w:eastAsia="zh-CN"/>
        </w:rPr>
        <w:t>s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tarchy</w:t>
      </w:r>
      <w:r w:rsidR="00287E97"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food, </w:t>
      </w:r>
      <w:r>
        <w:rPr>
          <w:rFonts w:ascii="Times New Roman" w:hAnsi="Times New Roman" w:cs="Times New Roman"/>
          <w:sz w:val="18"/>
          <w:szCs w:val="18"/>
          <w:lang w:eastAsia="zh-CN"/>
        </w:rPr>
        <w:t>b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read, milk, coffee, </w:t>
      </w:r>
      <w:r>
        <w:rPr>
          <w:rFonts w:ascii="Times New Roman" w:hAnsi="Times New Roman" w:cs="Times New Roman"/>
          <w:sz w:val="18"/>
          <w:szCs w:val="18"/>
          <w:lang w:eastAsia="zh-CN"/>
        </w:rPr>
        <w:t>t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ea, vitamin</w:t>
      </w:r>
      <w:r>
        <w:rPr>
          <w:rFonts w:ascii="Times New Roman" w:hAnsi="Times New Roman" w:cs="Times New Roman"/>
          <w:sz w:val="18"/>
          <w:szCs w:val="18"/>
          <w:lang w:eastAsia="zh-CN"/>
        </w:rPr>
        <w:t xml:space="preserve"> and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minerals.</w:t>
      </w:r>
    </w:p>
    <w:p w14:paraId="2FDE4720" w14:textId="3EE54AF4" w:rsidR="00C86926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lang w:eastAsia="zh-CN"/>
        </w:rPr>
        <w:t>Model 3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Model 2 also </w:t>
      </w:r>
      <w:r>
        <w:rPr>
          <w:rFonts w:ascii="Times New Roman" w:hAnsi="Times New Roman" w:cs="Times New Roman"/>
          <w:sz w:val="18"/>
          <w:szCs w:val="18"/>
        </w:rPr>
        <w:t>adjusted for hypertension, diabete</w:t>
      </w:r>
      <w:r w:rsidR="00287E97">
        <w:rPr>
          <w:rFonts w:ascii="Times New Roman" w:hAnsi="Times New Roman" w:cs="Times New Roman" w:hint="eastAsia"/>
          <w:sz w:val="18"/>
          <w:szCs w:val="18"/>
          <w:lang w:eastAsia="zh-CN"/>
        </w:rPr>
        <w:t>s</w:t>
      </w:r>
      <w:r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high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-</w:t>
      </w:r>
      <w:r>
        <w:rPr>
          <w:rFonts w:ascii="Times New Roman" w:hAnsi="Times New Roman" w:cs="Times New Roman"/>
          <w:sz w:val="18"/>
          <w:szCs w:val="18"/>
        </w:rPr>
        <w:t>cholesterol, cholesterol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drug, hypertension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drug, insulin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 and long stand illness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.</w:t>
      </w:r>
    </w:p>
    <w:p w14:paraId="7D5B5363" w14:textId="77777777" w:rsidR="00C86926" w:rsidRDefault="00C86926">
      <w:pPr>
        <w:rPr>
          <w:rFonts w:ascii="Times New Roman" w:hAnsi="Times New Roman" w:cs="Times New Roman"/>
          <w:sz w:val="15"/>
          <w:szCs w:val="15"/>
        </w:rPr>
      </w:pPr>
    </w:p>
    <w:sectPr w:rsidR="00C86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55B61" w14:textId="77777777" w:rsidR="00DD4F09" w:rsidRDefault="00DD4F09">
      <w:pPr>
        <w:spacing w:after="0"/>
      </w:pPr>
      <w:r>
        <w:separator/>
      </w:r>
    </w:p>
  </w:endnote>
  <w:endnote w:type="continuationSeparator" w:id="0">
    <w:p w14:paraId="7C76AAD7" w14:textId="77777777" w:rsidR="00DD4F09" w:rsidRDefault="00DD4F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FE222" w14:textId="77777777" w:rsidR="00DD4F09" w:rsidRDefault="00DD4F09">
      <w:pPr>
        <w:spacing w:after="0"/>
      </w:pPr>
      <w:r>
        <w:separator/>
      </w:r>
    </w:p>
  </w:footnote>
  <w:footnote w:type="continuationSeparator" w:id="0">
    <w:p w14:paraId="4BBC35C0" w14:textId="77777777" w:rsidR="00DD4F09" w:rsidRDefault="00DD4F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JmNWM0YzkyNmI3M2FjMDNhNjZkMTIxMGM2MzA1MWEifQ=="/>
  </w:docVars>
  <w:rsids>
    <w:rsidRoot w:val="00A50B06"/>
    <w:rsid w:val="FBBAE4AE"/>
    <w:rsid w:val="FFD900F7"/>
    <w:rsid w:val="000844A7"/>
    <w:rsid w:val="001C2B5A"/>
    <w:rsid w:val="00287E97"/>
    <w:rsid w:val="0037476C"/>
    <w:rsid w:val="0047120B"/>
    <w:rsid w:val="004D437D"/>
    <w:rsid w:val="004E491F"/>
    <w:rsid w:val="00532D96"/>
    <w:rsid w:val="0055043A"/>
    <w:rsid w:val="00557046"/>
    <w:rsid w:val="00643324"/>
    <w:rsid w:val="007647AA"/>
    <w:rsid w:val="007A34C9"/>
    <w:rsid w:val="007D0980"/>
    <w:rsid w:val="00842317"/>
    <w:rsid w:val="008746A4"/>
    <w:rsid w:val="008F7672"/>
    <w:rsid w:val="009317C8"/>
    <w:rsid w:val="00A50B06"/>
    <w:rsid w:val="00B14C9D"/>
    <w:rsid w:val="00B51F78"/>
    <w:rsid w:val="00BD2A2B"/>
    <w:rsid w:val="00C6180E"/>
    <w:rsid w:val="00C86926"/>
    <w:rsid w:val="00CF36DB"/>
    <w:rsid w:val="00D21295"/>
    <w:rsid w:val="00D429C7"/>
    <w:rsid w:val="00D7034F"/>
    <w:rsid w:val="00DD4F09"/>
    <w:rsid w:val="00E2188F"/>
    <w:rsid w:val="00EB6FFE"/>
    <w:rsid w:val="00EE43F2"/>
    <w:rsid w:val="00F50C38"/>
    <w:rsid w:val="00FC28CA"/>
    <w:rsid w:val="41246014"/>
    <w:rsid w:val="7BDDD276"/>
    <w:rsid w:val="7BF94AED"/>
    <w:rsid w:val="7C2B9F2D"/>
    <w:rsid w:val="7F645E05"/>
    <w:rsid w:val="7F70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03719"/>
  <w15:docId w15:val="{EE80091F-F4A2-45F3-B5FC-A0041E72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before="180" w:after="180"/>
    </w:pPr>
  </w:style>
  <w:style w:type="paragraph" w:styleId="a4">
    <w:name w:val="footer"/>
    <w:basedOn w:val="a"/>
    <w:link w:val="a5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0"/>
    </w:pPr>
    <w:rPr>
      <w:kern w:val="2"/>
      <w:sz w:val="18"/>
      <w:szCs w:val="18"/>
      <w:lang w:eastAsia="zh-CN"/>
      <w14:ligatures w14:val="standardContextual"/>
    </w:rPr>
  </w:style>
  <w:style w:type="paragraph" w:styleId="a6">
    <w:name w:val="header"/>
    <w:basedOn w:val="a"/>
    <w:link w:val="a7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0"/>
      <w:jc w:val="center"/>
    </w:pPr>
    <w:rPr>
      <w:kern w:val="2"/>
      <w:sz w:val="18"/>
      <w:szCs w:val="18"/>
      <w:lang w:eastAsia="zh-CN"/>
      <w14:ligatures w14:val="standardContextual"/>
    </w:rPr>
  </w:style>
  <w:style w:type="table" w:styleId="2">
    <w:name w:val="Table Simple 2"/>
    <w:basedOn w:val="a1"/>
    <w:uiPriority w:val="99"/>
    <w:semiHidden/>
    <w:unhideWhenUsed/>
    <w:pPr>
      <w:spacing w:after="2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table" w:customStyle="1" w:styleId="1">
    <w:name w:val="样式1"/>
    <w:basedOn w:val="2"/>
    <w:uiPriority w:val="99"/>
    <w:qFormat/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band1Horz">
      <w:tblPr/>
      <w:tcPr>
        <w:shd w:val="clear" w:color="auto" w:fill="8EAADB" w:themeFill="accent1" w:themeFillTint="99"/>
      </w:tcPr>
    </w:tblStylePr>
    <w:tblStylePr w:type="band2Horz">
      <w:tblPr/>
      <w:tcPr>
        <w:shd w:val="clear" w:color="auto" w:fill="D9E2F3" w:themeFill="accent1" w:themeFillTint="33"/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customStyle="1" w:styleId="10">
    <w:name w:val="网格型浅色1"/>
    <w:basedOn w:val="a1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11">
    <w:name w:val="修订1"/>
    <w:hidden/>
    <w:uiPriority w:val="99"/>
    <w:semiHidden/>
    <w:qFormat/>
    <w:rPr>
      <w:sz w:val="24"/>
      <w:szCs w:val="24"/>
      <w:lang w:eastAsia="en-US"/>
    </w:rPr>
  </w:style>
  <w:style w:type="paragraph" w:styleId="a8">
    <w:name w:val="No Spacing"/>
    <w:uiPriority w:val="1"/>
    <w:qFormat/>
    <w:rPr>
      <w:sz w:val="24"/>
      <w:szCs w:val="24"/>
      <w:lang w:eastAsia="en-US"/>
    </w:rPr>
  </w:style>
  <w:style w:type="paragraph" w:customStyle="1" w:styleId="FirstParagraph">
    <w:name w:val="First Paragraph"/>
    <w:basedOn w:val="a3"/>
    <w:next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979</Characters>
  <Application>Microsoft Office Word</Application>
  <DocSecurity>0</DocSecurity>
  <Lines>66</Lines>
  <Paragraphs>46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 dried_orange</dc:creator>
  <cp:lastModifiedBy>lin jun</cp:lastModifiedBy>
  <cp:revision>6</cp:revision>
  <dcterms:created xsi:type="dcterms:W3CDTF">2024-03-05T04:29:00Z</dcterms:created>
  <dcterms:modified xsi:type="dcterms:W3CDTF">2024-05-21T08:18:00Z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E9FFC84F436F4A3E832ED66F72B0F472_13</vt:lpwstr>
  </property>
  <property fmtid="{D5CDD505-2E9C-101B-9397-08002B2CF9AE}" pid="4" name="GrammarlyDocumentId">
    <vt:lpwstr>146cda312faf83eb4fca6515d582f0eb3142fff3ee156b945142f8cab3984be1</vt:lpwstr>
  </property>
</Properties>
</file>