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6291AF" w14:textId="5C00D43E" w:rsidR="005C0D49" w:rsidRPr="00F642A8" w:rsidRDefault="00702A01" w:rsidP="001670EB">
      <w:pPr>
        <w:rPr>
          <w:rFonts w:ascii="Times New Roman" w:eastAsia="Times New Roman" w:hAnsi="Times New Roman" w:cs="Times New Roman"/>
          <w:b/>
          <w:bCs/>
        </w:rPr>
      </w:pPr>
      <w:r w:rsidRPr="00F642A8">
        <w:rPr>
          <w:rFonts w:ascii="Times New Roman" w:eastAsia="Times New Roman" w:hAnsi="Times New Roman" w:cs="Times New Roman"/>
          <w:b/>
          <w:bCs/>
        </w:rPr>
        <w:t>Table S</w:t>
      </w:r>
      <w:r w:rsidR="001670EB">
        <w:rPr>
          <w:rFonts w:ascii="Times New Roman" w:eastAsia="Times New Roman" w:hAnsi="Times New Roman" w:cs="Times New Roman"/>
          <w:b/>
          <w:bCs/>
        </w:rPr>
        <w:t>4</w:t>
      </w:r>
      <w:bookmarkStart w:id="0" w:name="_GoBack"/>
      <w:bookmarkEnd w:id="0"/>
      <w:r w:rsidRPr="00F642A8">
        <w:rPr>
          <w:rFonts w:ascii="Times New Roman" w:eastAsia="Times New Roman" w:hAnsi="Times New Roman" w:cs="Times New Roman"/>
          <w:b/>
          <w:bCs/>
        </w:rPr>
        <w:t xml:space="preserve">. </w:t>
      </w:r>
      <w:proofErr w:type="spellStart"/>
      <w:r w:rsidR="005C0D49" w:rsidRPr="00F642A8">
        <w:rPr>
          <w:rFonts w:ascii="Times New Roman" w:eastAsia="Times New Roman" w:hAnsi="Times New Roman" w:cs="Times New Roman"/>
          <w:b/>
          <w:bCs/>
        </w:rPr>
        <w:t>NutriGrade</w:t>
      </w:r>
      <w:proofErr w:type="spellEnd"/>
      <w:r w:rsidR="005C0D49" w:rsidRPr="00F642A8">
        <w:rPr>
          <w:rFonts w:ascii="Times New Roman" w:eastAsia="Times New Roman" w:hAnsi="Times New Roman" w:cs="Times New Roman"/>
          <w:b/>
          <w:bCs/>
        </w:rPr>
        <w:t xml:space="preserve"> Assessment of Certainty of Evidence for the effect of egg consumption and the levels of choline, betaine, and TMAO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18"/>
        <w:gridCol w:w="2323"/>
        <w:gridCol w:w="1084"/>
        <w:gridCol w:w="1536"/>
        <w:gridCol w:w="1194"/>
        <w:gridCol w:w="1445"/>
        <w:gridCol w:w="1164"/>
        <w:gridCol w:w="1029"/>
        <w:gridCol w:w="2157"/>
      </w:tblGrid>
      <w:tr w:rsidR="005C0D49" w:rsidRPr="00CE46FB" w14:paraId="0A15611D" w14:textId="423246B7" w:rsidTr="005C0D49">
        <w:trPr>
          <w:jc w:val="center"/>
        </w:trPr>
        <w:tc>
          <w:tcPr>
            <w:tcW w:w="0" w:type="auto"/>
          </w:tcPr>
          <w:p w14:paraId="76E60D7E" w14:textId="62FB263D" w:rsidR="005C0D49" w:rsidRPr="00CE46FB" w:rsidRDefault="005C0D49" w:rsidP="005C0D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</w:tcPr>
          <w:p w14:paraId="72A08997" w14:textId="627D456A" w:rsidR="005C0D49" w:rsidRPr="00CE46FB" w:rsidRDefault="005C0D49" w:rsidP="005C0D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CE46F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Risk of bias/ study quality/ study limitations</w:t>
            </w:r>
          </w:p>
        </w:tc>
        <w:tc>
          <w:tcPr>
            <w:tcW w:w="0" w:type="auto"/>
          </w:tcPr>
          <w:p w14:paraId="13CB5893" w14:textId="372333A5" w:rsidR="005C0D49" w:rsidRPr="00CE46FB" w:rsidRDefault="005C0D49" w:rsidP="005C0D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CE46F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Precision</w:t>
            </w:r>
          </w:p>
        </w:tc>
        <w:tc>
          <w:tcPr>
            <w:tcW w:w="0" w:type="auto"/>
          </w:tcPr>
          <w:p w14:paraId="7B11B679" w14:textId="2B874506" w:rsidR="005C0D49" w:rsidRPr="00CE46FB" w:rsidRDefault="005C0D49" w:rsidP="005C0D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CE46F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Heterogeneity</w:t>
            </w:r>
          </w:p>
        </w:tc>
        <w:tc>
          <w:tcPr>
            <w:tcW w:w="0" w:type="auto"/>
          </w:tcPr>
          <w:p w14:paraId="71922D33" w14:textId="1161FAEE" w:rsidR="005C0D49" w:rsidRPr="00CE46FB" w:rsidRDefault="005C0D49" w:rsidP="005C0D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CE46F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Directness</w:t>
            </w:r>
          </w:p>
        </w:tc>
        <w:tc>
          <w:tcPr>
            <w:tcW w:w="0" w:type="auto"/>
          </w:tcPr>
          <w:p w14:paraId="0FDCF770" w14:textId="5CD76A2E" w:rsidR="005C0D49" w:rsidRPr="00CE46FB" w:rsidRDefault="005C0D49" w:rsidP="005C0D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CE46F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Publication bias</w:t>
            </w:r>
          </w:p>
        </w:tc>
        <w:tc>
          <w:tcPr>
            <w:tcW w:w="0" w:type="auto"/>
          </w:tcPr>
          <w:p w14:paraId="2B0D4B8C" w14:textId="65BD55E3" w:rsidR="005C0D49" w:rsidRPr="00CE46FB" w:rsidRDefault="005C0D49" w:rsidP="005C0D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CE46F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Funding bias</w:t>
            </w:r>
          </w:p>
        </w:tc>
        <w:tc>
          <w:tcPr>
            <w:tcW w:w="0" w:type="auto"/>
          </w:tcPr>
          <w:p w14:paraId="3817F4C1" w14:textId="71AA6866" w:rsidR="005C0D49" w:rsidRPr="00CE46FB" w:rsidRDefault="005C0D49" w:rsidP="005C0D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CE46F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Study design</w:t>
            </w:r>
          </w:p>
        </w:tc>
        <w:tc>
          <w:tcPr>
            <w:tcW w:w="0" w:type="auto"/>
          </w:tcPr>
          <w:p w14:paraId="1DCFA470" w14:textId="05A22C89" w:rsidR="005C0D49" w:rsidRPr="00CE46FB" w:rsidRDefault="005C0D49" w:rsidP="005C0D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CE46F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NUTRIGRADE score</w:t>
            </w:r>
          </w:p>
        </w:tc>
      </w:tr>
      <w:tr w:rsidR="005C0D49" w14:paraId="06C31748" w14:textId="41E41AE1" w:rsidTr="005C0D49">
        <w:trPr>
          <w:jc w:val="center"/>
        </w:trPr>
        <w:tc>
          <w:tcPr>
            <w:tcW w:w="0" w:type="auto"/>
          </w:tcPr>
          <w:p w14:paraId="713B5692" w14:textId="57F6E639" w:rsidR="005C0D49" w:rsidRPr="00CE46FB" w:rsidRDefault="005C0D49" w:rsidP="005C0D4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E46FB">
              <w:rPr>
                <w:rFonts w:ascii="Times New Roman" w:eastAsia="Times New Roman" w:hAnsi="Times New Roman" w:cs="Times New Roman"/>
                <w:b/>
                <w:bCs/>
              </w:rPr>
              <w:t>Choline</w:t>
            </w:r>
          </w:p>
        </w:tc>
        <w:tc>
          <w:tcPr>
            <w:tcW w:w="0" w:type="auto"/>
          </w:tcPr>
          <w:p w14:paraId="0C75125B" w14:textId="486C243C" w:rsidR="005C0D49" w:rsidRPr="00CE46FB" w:rsidRDefault="005C0D49" w:rsidP="005C0D4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E46FB">
              <w:rPr>
                <w:rFonts w:ascii="Times New Roman" w:eastAsia="Times New Roman" w:hAnsi="Times New Roman" w:cs="Times New Roman"/>
                <w:sz w:val="22"/>
                <w:szCs w:val="22"/>
              </w:rPr>
              <w:t>3.25</w:t>
            </w:r>
          </w:p>
        </w:tc>
        <w:tc>
          <w:tcPr>
            <w:tcW w:w="0" w:type="auto"/>
          </w:tcPr>
          <w:p w14:paraId="024DF585" w14:textId="77B6FFF0" w:rsidR="005C0D49" w:rsidRPr="00CE46FB" w:rsidRDefault="005C0D49" w:rsidP="005C0D4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E46FB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0" w:type="auto"/>
          </w:tcPr>
          <w:p w14:paraId="03D0953C" w14:textId="6DFBF49A" w:rsidR="005C0D49" w:rsidRPr="00CE46FB" w:rsidRDefault="005C0D49" w:rsidP="005C0D4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E46FB">
              <w:rPr>
                <w:rFonts w:ascii="Times New Roman" w:eastAsia="Times New Roman" w:hAnsi="Times New Roman" w:cs="Times New Roman"/>
                <w:sz w:val="22"/>
                <w:szCs w:val="22"/>
              </w:rPr>
              <w:t>0.5</w:t>
            </w:r>
          </w:p>
        </w:tc>
        <w:tc>
          <w:tcPr>
            <w:tcW w:w="0" w:type="auto"/>
          </w:tcPr>
          <w:p w14:paraId="73F9CED3" w14:textId="75E3AAA8" w:rsidR="005C0D49" w:rsidRPr="00CE46FB" w:rsidRDefault="005C0D49" w:rsidP="005C0D4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E46FB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0" w:type="auto"/>
          </w:tcPr>
          <w:p w14:paraId="5180760B" w14:textId="7F1DFE23" w:rsidR="005C0D49" w:rsidRPr="00CE46FB" w:rsidRDefault="00CE46FB" w:rsidP="005C0D4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E46FB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  <w:r w:rsidR="005C0D49" w:rsidRPr="00CE46FB">
              <w:rPr>
                <w:rFonts w:ascii="Times New Roman" w:eastAsia="Times New Roman" w:hAnsi="Times New Roman" w:cs="Times New Roman"/>
                <w:sz w:val="22"/>
                <w:szCs w:val="22"/>
              </w:rPr>
              <w:t>.5</w:t>
            </w:r>
          </w:p>
        </w:tc>
        <w:tc>
          <w:tcPr>
            <w:tcW w:w="0" w:type="auto"/>
          </w:tcPr>
          <w:p w14:paraId="483D6939" w14:textId="6CDCE26D" w:rsidR="005C0D49" w:rsidRPr="00CE46FB" w:rsidRDefault="005C0D49" w:rsidP="005C0D4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E46FB">
              <w:rPr>
                <w:rFonts w:ascii="Times New Roman" w:eastAsia="Times New Roman" w:hAnsi="Times New Roman" w:cs="Times New Roman"/>
                <w:sz w:val="22"/>
                <w:szCs w:val="22"/>
              </w:rPr>
              <w:t>0.5</w:t>
            </w:r>
          </w:p>
        </w:tc>
        <w:tc>
          <w:tcPr>
            <w:tcW w:w="0" w:type="auto"/>
          </w:tcPr>
          <w:p w14:paraId="76FA98C1" w14:textId="70E76F6C" w:rsidR="005C0D49" w:rsidRPr="00CE46FB" w:rsidRDefault="005C0D49" w:rsidP="005C0D4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E46FB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0" w:type="auto"/>
          </w:tcPr>
          <w:p w14:paraId="66E7FA6F" w14:textId="7217897B" w:rsidR="005C0D49" w:rsidRPr="00CE46FB" w:rsidRDefault="005C0D49" w:rsidP="005C0D4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E46FB">
              <w:rPr>
                <w:rFonts w:ascii="Times New Roman" w:eastAsia="Times New Roman" w:hAnsi="Times New Roman" w:cs="Times New Roman"/>
                <w:sz w:val="22"/>
                <w:szCs w:val="22"/>
              </w:rPr>
              <w:t>7.75</w:t>
            </w:r>
            <w:r w:rsidR="00CE46FB" w:rsidRPr="00CE46F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(moderate meta-evidence)</w:t>
            </w:r>
          </w:p>
        </w:tc>
      </w:tr>
      <w:tr w:rsidR="00CE46FB" w14:paraId="246F6082" w14:textId="6C7F6636" w:rsidTr="005C0D49">
        <w:trPr>
          <w:jc w:val="center"/>
        </w:trPr>
        <w:tc>
          <w:tcPr>
            <w:tcW w:w="0" w:type="auto"/>
          </w:tcPr>
          <w:p w14:paraId="0560DFAE" w14:textId="1BD081BA" w:rsidR="00CE46FB" w:rsidRPr="00CE46FB" w:rsidRDefault="00CE46FB" w:rsidP="00CE46FB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E46FB">
              <w:rPr>
                <w:rFonts w:ascii="Times New Roman" w:eastAsia="Times New Roman" w:hAnsi="Times New Roman" w:cs="Times New Roman"/>
                <w:b/>
                <w:bCs/>
              </w:rPr>
              <w:t>Betaine</w:t>
            </w:r>
          </w:p>
        </w:tc>
        <w:tc>
          <w:tcPr>
            <w:tcW w:w="0" w:type="auto"/>
          </w:tcPr>
          <w:p w14:paraId="7071C45D" w14:textId="3E4B4AA4" w:rsidR="00CE46FB" w:rsidRPr="00CE46FB" w:rsidRDefault="00CE46FB" w:rsidP="00CE46F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E46FB">
              <w:rPr>
                <w:rFonts w:ascii="Times New Roman" w:eastAsia="Times New Roman" w:hAnsi="Times New Roman" w:cs="Times New Roman"/>
                <w:sz w:val="22"/>
                <w:szCs w:val="22"/>
              </w:rPr>
              <w:t>3.25</w:t>
            </w:r>
          </w:p>
        </w:tc>
        <w:tc>
          <w:tcPr>
            <w:tcW w:w="0" w:type="auto"/>
          </w:tcPr>
          <w:p w14:paraId="57871FCA" w14:textId="697B5569" w:rsidR="00CE46FB" w:rsidRPr="00CE46FB" w:rsidRDefault="00CE46FB" w:rsidP="00CE46F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E46FB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0" w:type="auto"/>
          </w:tcPr>
          <w:p w14:paraId="75DB79E5" w14:textId="5885F794" w:rsidR="00CE46FB" w:rsidRPr="00CE46FB" w:rsidRDefault="00CE46FB" w:rsidP="00CE46F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E46FB">
              <w:rPr>
                <w:rFonts w:ascii="Times New Roman" w:eastAsia="Times New Roman" w:hAnsi="Times New Roman" w:cs="Times New Roman"/>
                <w:sz w:val="22"/>
                <w:szCs w:val="22"/>
              </w:rPr>
              <w:t>0.3</w:t>
            </w:r>
          </w:p>
        </w:tc>
        <w:tc>
          <w:tcPr>
            <w:tcW w:w="0" w:type="auto"/>
          </w:tcPr>
          <w:p w14:paraId="7FE04D82" w14:textId="2677C60E" w:rsidR="00CE46FB" w:rsidRPr="00CE46FB" w:rsidRDefault="00CE46FB" w:rsidP="00CE46F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E46FB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0" w:type="auto"/>
          </w:tcPr>
          <w:p w14:paraId="5B0A763A" w14:textId="680489F4" w:rsidR="00CE46FB" w:rsidRPr="00CE46FB" w:rsidRDefault="00CE46FB" w:rsidP="00CE46F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E46FB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0" w:type="auto"/>
          </w:tcPr>
          <w:p w14:paraId="3B666E9B" w14:textId="54715445" w:rsidR="00CE46FB" w:rsidRPr="00CE46FB" w:rsidRDefault="00CE46FB" w:rsidP="00CE46F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E46FB">
              <w:rPr>
                <w:rFonts w:ascii="Times New Roman" w:eastAsia="Times New Roman" w:hAnsi="Times New Roman" w:cs="Times New Roman"/>
                <w:sz w:val="22"/>
                <w:szCs w:val="22"/>
              </w:rPr>
              <w:t>0.5</w:t>
            </w:r>
          </w:p>
        </w:tc>
        <w:tc>
          <w:tcPr>
            <w:tcW w:w="0" w:type="auto"/>
          </w:tcPr>
          <w:p w14:paraId="63ADFA7C" w14:textId="1ABAABFE" w:rsidR="00CE46FB" w:rsidRPr="00CE46FB" w:rsidRDefault="00CE46FB" w:rsidP="00CE46F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E46FB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0" w:type="auto"/>
          </w:tcPr>
          <w:p w14:paraId="6E81296A" w14:textId="60CB3ABC" w:rsidR="00CE46FB" w:rsidRPr="00CE46FB" w:rsidRDefault="00CE46FB" w:rsidP="00CE46F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E46FB">
              <w:rPr>
                <w:rFonts w:ascii="Times New Roman" w:eastAsia="Times New Roman" w:hAnsi="Times New Roman" w:cs="Times New Roman"/>
                <w:sz w:val="22"/>
                <w:szCs w:val="22"/>
              </w:rPr>
              <w:t>7.05 (moderate meta-evidence)</w:t>
            </w:r>
          </w:p>
        </w:tc>
      </w:tr>
      <w:tr w:rsidR="00CE46FB" w14:paraId="224BDC24" w14:textId="6C1EB4D3" w:rsidTr="005C0D49">
        <w:trPr>
          <w:jc w:val="center"/>
        </w:trPr>
        <w:tc>
          <w:tcPr>
            <w:tcW w:w="0" w:type="auto"/>
          </w:tcPr>
          <w:p w14:paraId="5FD61F8F" w14:textId="24CB9C6E" w:rsidR="00CE46FB" w:rsidRPr="00CE46FB" w:rsidRDefault="00CE46FB" w:rsidP="00CE46FB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E46FB">
              <w:rPr>
                <w:rFonts w:ascii="Times New Roman" w:eastAsia="Times New Roman" w:hAnsi="Times New Roman" w:cs="Times New Roman"/>
                <w:b/>
                <w:bCs/>
              </w:rPr>
              <w:t>TMAO</w:t>
            </w:r>
          </w:p>
        </w:tc>
        <w:tc>
          <w:tcPr>
            <w:tcW w:w="0" w:type="auto"/>
          </w:tcPr>
          <w:p w14:paraId="3485A3F7" w14:textId="08E38644" w:rsidR="00CE46FB" w:rsidRPr="00CE46FB" w:rsidRDefault="00CE46FB" w:rsidP="00CE46F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E46FB">
              <w:rPr>
                <w:rFonts w:ascii="Times New Roman" w:eastAsia="Times New Roman" w:hAnsi="Times New Roman" w:cs="Times New Roman"/>
                <w:sz w:val="22"/>
                <w:szCs w:val="22"/>
              </w:rPr>
              <w:t>3.25</w:t>
            </w:r>
          </w:p>
        </w:tc>
        <w:tc>
          <w:tcPr>
            <w:tcW w:w="0" w:type="auto"/>
          </w:tcPr>
          <w:p w14:paraId="05F00D9B" w14:textId="66A9CCB5" w:rsidR="00CE46FB" w:rsidRPr="00CE46FB" w:rsidRDefault="00CE46FB" w:rsidP="00CE46F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E46FB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0" w:type="auto"/>
          </w:tcPr>
          <w:p w14:paraId="6546A2BC" w14:textId="1B1F1C57" w:rsidR="00CE46FB" w:rsidRPr="00CE46FB" w:rsidRDefault="00CE46FB" w:rsidP="00CE46F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E46FB">
              <w:rPr>
                <w:rFonts w:ascii="Times New Roman" w:eastAsia="Times New Roman" w:hAnsi="Times New Roman" w:cs="Times New Roman"/>
                <w:sz w:val="22"/>
                <w:szCs w:val="22"/>
              </w:rPr>
              <w:t>0.5</w:t>
            </w:r>
          </w:p>
        </w:tc>
        <w:tc>
          <w:tcPr>
            <w:tcW w:w="0" w:type="auto"/>
          </w:tcPr>
          <w:p w14:paraId="61DE05AC" w14:textId="138EEE41" w:rsidR="00CE46FB" w:rsidRPr="00CE46FB" w:rsidRDefault="00CE46FB" w:rsidP="00CE46F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E46FB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0" w:type="auto"/>
          </w:tcPr>
          <w:p w14:paraId="1D8C8F99" w14:textId="6D56F360" w:rsidR="00CE46FB" w:rsidRPr="00CE46FB" w:rsidRDefault="00CE46FB" w:rsidP="00CE46F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E46FB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0" w:type="auto"/>
          </w:tcPr>
          <w:p w14:paraId="346D9A94" w14:textId="17EE2AB9" w:rsidR="00CE46FB" w:rsidRPr="00CE46FB" w:rsidRDefault="00CE46FB" w:rsidP="00CE46F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E46FB">
              <w:rPr>
                <w:rFonts w:ascii="Times New Roman" w:eastAsia="Times New Roman" w:hAnsi="Times New Roman" w:cs="Times New Roman"/>
                <w:sz w:val="22"/>
                <w:szCs w:val="22"/>
              </w:rPr>
              <w:t>0.5</w:t>
            </w:r>
          </w:p>
        </w:tc>
        <w:tc>
          <w:tcPr>
            <w:tcW w:w="0" w:type="auto"/>
          </w:tcPr>
          <w:p w14:paraId="6BCFE9DE" w14:textId="26E9B8E0" w:rsidR="00CE46FB" w:rsidRPr="00CE46FB" w:rsidRDefault="00CE46FB" w:rsidP="00CE46F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E46FB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0" w:type="auto"/>
          </w:tcPr>
          <w:p w14:paraId="710C0374" w14:textId="00D44D23" w:rsidR="00CE46FB" w:rsidRPr="00CE46FB" w:rsidRDefault="00CE46FB" w:rsidP="00CE46F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E46FB">
              <w:rPr>
                <w:rFonts w:ascii="Times New Roman" w:eastAsia="Times New Roman" w:hAnsi="Times New Roman" w:cs="Times New Roman"/>
                <w:sz w:val="22"/>
                <w:szCs w:val="22"/>
              </w:rPr>
              <w:t>7.25 (moderate meta-evidence)</w:t>
            </w:r>
          </w:p>
        </w:tc>
      </w:tr>
    </w:tbl>
    <w:p w14:paraId="1504B91E" w14:textId="77777777" w:rsidR="005C0D49" w:rsidRPr="005C0D49" w:rsidRDefault="005C0D49" w:rsidP="005C0D49">
      <w:pPr>
        <w:rPr>
          <w:rFonts w:ascii="Times New Roman" w:eastAsia="Times New Roman" w:hAnsi="Times New Roman" w:cs="Times New Roman"/>
        </w:rPr>
      </w:pPr>
    </w:p>
    <w:p w14:paraId="5F6154AB" w14:textId="77777777" w:rsidR="00183D00" w:rsidRDefault="00183D00"/>
    <w:sectPr w:rsidR="00183D00" w:rsidSect="005C0D4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D49"/>
    <w:rsid w:val="001670EB"/>
    <w:rsid w:val="00183D00"/>
    <w:rsid w:val="001C076D"/>
    <w:rsid w:val="005C0D49"/>
    <w:rsid w:val="00702A01"/>
    <w:rsid w:val="00BB790D"/>
    <w:rsid w:val="00CE46FB"/>
    <w:rsid w:val="00E51616"/>
    <w:rsid w:val="00F64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A858DD"/>
  <w15:chartTrackingRefBased/>
  <w15:docId w15:val="{777FA87C-F27D-9F44-B886-199B3C711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C0D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17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Asus</cp:lastModifiedBy>
  <cp:revision>4</cp:revision>
  <dcterms:created xsi:type="dcterms:W3CDTF">2025-09-07T17:27:00Z</dcterms:created>
  <dcterms:modified xsi:type="dcterms:W3CDTF">2025-09-08T10:46:00Z</dcterms:modified>
</cp:coreProperties>
</file>