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B193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</w:rPr>
        <w:drawing>
          <wp:inline distT="0" distB="0" distL="114300" distR="114300">
            <wp:extent cx="5272405" cy="7951470"/>
            <wp:effectExtent l="0" t="0" r="10795" b="11430"/>
            <wp:docPr id="2" name="图片 2" descr="logrank_eaa_total_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rank_eaa_total_u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2769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Figure S1. </w:t>
      </w:r>
      <w:r>
        <w:rPr>
          <w:rFonts w:hint="eastAsia" w:ascii="Times New Roman" w:hAnsi="Times New Roman" w:cs="Times New Roman"/>
          <w:sz w:val="20"/>
          <w:szCs w:val="20"/>
        </w:rPr>
        <w:t>Kaplan-Meier survival analyses of OS for NSCLC patients with different levels of EAAs.</w:t>
      </w:r>
    </w:p>
    <w:p w14:paraId="1A4CB18A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0B43A878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drawing>
          <wp:inline distT="0" distB="0" distL="114300" distR="114300">
            <wp:extent cx="4093845" cy="4721225"/>
            <wp:effectExtent l="0" t="0" r="8255" b="3175"/>
            <wp:docPr id="3" name="图片 3" descr="LASSO_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ASSO_ALL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3845" cy="472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2B2F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Presentation of the results of the LASSO regression analysis</w:t>
      </w:r>
      <w:r>
        <w:rPr>
          <w:rFonts w:hint="eastAsia"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hint="eastAsia"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) LASSO regression model screening variable trajectories</w:t>
      </w:r>
      <w:r>
        <w:rPr>
          <w:rFonts w:hint="eastAsia"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hint="eastAsia" w:ascii="Times New Roman" w:hAnsi="Times New Roman" w:cs="Times New Roman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) LASSO </w:t>
      </w:r>
      <w:r>
        <w:rPr>
          <w:rFonts w:hint="eastAsia"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 xml:space="preserve">egression </w:t>
      </w:r>
      <w:r>
        <w:rPr>
          <w:rFonts w:hint="eastAsia"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 xml:space="preserve">odel </w:t>
      </w:r>
      <w:r>
        <w:rPr>
          <w:rFonts w:hint="eastAsia"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z w:val="20"/>
          <w:szCs w:val="20"/>
        </w:rPr>
        <w:t xml:space="preserve">actor </w:t>
      </w:r>
      <w:r>
        <w:rPr>
          <w:rFonts w:hint="eastAsia"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election: </w:t>
      </w:r>
      <w:r>
        <w:rPr>
          <w:rFonts w:hint="eastAsia"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eft dashed line represents the optimal lambda value (lambda·min), while the right dashed line marks the lambda value within one standard error of the optimal (lambda.1se)</w:t>
      </w:r>
    </w:p>
    <w:p w14:paraId="25B7E653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1B0BD406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2FD1A3CD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1885BD1A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5DB448D0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685A4082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6969991C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1323B7DE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5C517A51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3CCE57E2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530E4680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65B38EB0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3475EF3F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2B6820A6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54B95533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650657A6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3F5D5824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S1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EAA levels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of</w:t>
      </w:r>
      <w:r>
        <w:rPr>
          <w:rFonts w:ascii="Times New Roman" w:hAnsi="Times New Roman" w:cs="Times New Roman"/>
          <w:sz w:val="20"/>
          <w:szCs w:val="20"/>
        </w:rPr>
        <w:t xml:space="preserve"> patient</w:t>
      </w:r>
      <w:r>
        <w:rPr>
          <w:rFonts w:hint="eastAsia" w:ascii="Times New Roman" w:hAnsi="Times New Roman" w:cs="Times New Roman"/>
          <w:sz w:val="20"/>
          <w:szCs w:val="20"/>
        </w:rPr>
        <w:t>s with different survival</w:t>
      </w:r>
      <w:r>
        <w:rPr>
          <w:rFonts w:ascii="Times New Roman" w:hAnsi="Times New Roman" w:cs="Times New Roman"/>
          <w:sz w:val="20"/>
          <w:szCs w:val="20"/>
        </w:rPr>
        <w:t xml:space="preserve"> outcomes (alive or dead).</w:t>
      </w:r>
    </w:p>
    <w:tbl>
      <w:tblPr>
        <w:tblStyle w:val="4"/>
        <w:tblW w:w="8678" w:type="dxa"/>
        <w:jc w:val="center"/>
        <w:tblBorders>
          <w:top w:val="single" w:color="000000" w:sz="6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1"/>
        <w:gridCol w:w="1810"/>
        <w:gridCol w:w="1810"/>
        <w:gridCol w:w="1810"/>
        <w:gridCol w:w="1387"/>
      </w:tblGrid>
      <w:tr w14:paraId="162B0901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  <w:tblHeader/>
          <w:jc w:val="center"/>
        </w:trPr>
        <w:tc>
          <w:tcPr>
            <w:tcW w:w="186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center"/>
          </w:tcPr>
          <w:p w14:paraId="7B0B38F0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EAAs</w:t>
            </w:r>
          </w:p>
        </w:tc>
        <w:tc>
          <w:tcPr>
            <w:tcW w:w="181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bottom"/>
          </w:tcPr>
          <w:p w14:paraId="789443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81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bottom"/>
          </w:tcPr>
          <w:p w14:paraId="6AF0558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sz w:val="20"/>
                <w:szCs w:val="20"/>
              </w:rPr>
              <w:t>Alive</w:t>
            </w:r>
          </w:p>
        </w:tc>
        <w:tc>
          <w:tcPr>
            <w:tcW w:w="181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bottom"/>
          </w:tcPr>
          <w:p w14:paraId="210D3B9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sz w:val="20"/>
                <w:szCs w:val="20"/>
              </w:rPr>
              <w:t>Dead</w:t>
            </w:r>
          </w:p>
        </w:tc>
        <w:tc>
          <w:tcPr>
            <w:tcW w:w="138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tcMar>
              <w:left w:w="60" w:type="dxa"/>
              <w:right w:w="60" w:type="dxa"/>
            </w:tcMar>
            <w:vAlign w:val="bottom"/>
          </w:tcPr>
          <w:p w14:paraId="13B4B25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CSongGB18030C-Light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eastAsia="CSongGB18030C-Light" w:cs="Times New Roman"/>
                <w:b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0DCB3715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C052AD5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Lys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D48DB1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182.79±44.06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F09AD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188.00±40.40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145EE3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180.67±45.36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2D1984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bCs/>
                <w:color w:val="000000"/>
                <w:kern w:val="0"/>
                <w:sz w:val="20"/>
                <w:szCs w:val="20"/>
              </w:rPr>
              <w:t>0.0301</w:t>
            </w:r>
          </w:p>
        </w:tc>
      </w:tr>
      <w:tr w14:paraId="718DA02F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480CD3F4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Val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F2C21B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235.29±58.72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B17314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245.58±48.70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3CAD7B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231.10±61.92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7C2A70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bCs/>
                <w:color w:val="000000"/>
                <w:kern w:val="0"/>
                <w:sz w:val="20"/>
                <w:szCs w:val="20"/>
              </w:rPr>
              <w:t>0.0018</w:t>
            </w:r>
          </w:p>
        </w:tc>
      </w:tr>
      <w:tr w14:paraId="1CEFF949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61472E92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Thr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2D28ED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110.06±32.14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62BF05A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113.36±32.56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549BEC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108.72±31.93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929A01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0.1860</w:t>
            </w:r>
          </w:p>
        </w:tc>
      </w:tr>
      <w:tr w14:paraId="66B89BF8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3D3B3851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Ile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3EC4A4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72.83±19.30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AE9566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72.43±15.89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4A3E55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72.99±20.54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EA1F81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0.8789</w:t>
            </w:r>
          </w:p>
        </w:tc>
      </w:tr>
      <w:tr w14:paraId="2AD82C1F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534469B6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Phe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298452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66.44±17.37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6A2DC4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65.25±12.84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0E9CFE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66.92±18.90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4DA03F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0.6826</w:t>
            </w:r>
          </w:p>
        </w:tc>
      </w:tr>
      <w:tr w14:paraId="046A8CBD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42217CF9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Trp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9C442E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45.55±10.31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946BD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49.24±8.39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9E2C82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44.05±10.65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C264D2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bCs/>
                <w:kern w:val="0"/>
                <w:sz w:val="20"/>
                <w:szCs w:val="20"/>
              </w:rPr>
              <w:t>&lt;</w:t>
            </w:r>
            <w:r>
              <w:rPr>
                <w:rFonts w:hint="eastAsia" w:ascii="Times New Roman" w:hAnsi="Times New Roman" w:eastAsia="CSongGB18030C-Light" w:cs="Times New Roman"/>
                <w:b/>
                <w:bCs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eastAsia="CSongGB18030C-Light" w:cs="Times New Roman"/>
                <w:b/>
                <w:bCs/>
                <w:kern w:val="0"/>
                <w:sz w:val="20"/>
                <w:szCs w:val="20"/>
              </w:rPr>
              <w:t>.0001</w:t>
            </w:r>
          </w:p>
        </w:tc>
      </w:tr>
      <w:tr w14:paraId="787A1D09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06A5F1A6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Met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7342F9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25.71±8.72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81390B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26.12±6.63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1A3D84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25.54±9.44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5AC27A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0.1161</w:t>
            </w:r>
          </w:p>
        </w:tc>
      </w:tr>
      <w:tr w14:paraId="1E2C262E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7FB8EDA2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Leu</w:t>
            </w:r>
          </w:p>
        </w:tc>
        <w:tc>
          <w:tcPr>
            <w:tcW w:w="1810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74815A5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126.80±31.93</w:t>
            </w:r>
          </w:p>
        </w:tc>
        <w:tc>
          <w:tcPr>
            <w:tcW w:w="1810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17454A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129.68±25.65</w:t>
            </w:r>
          </w:p>
        </w:tc>
        <w:tc>
          <w:tcPr>
            <w:tcW w:w="1810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6E0BE2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125.63±34.12</w:t>
            </w:r>
          </w:p>
        </w:tc>
        <w:tc>
          <w:tcPr>
            <w:tcW w:w="1387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76EA863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0.0530</w:t>
            </w:r>
          </w:p>
        </w:tc>
      </w:tr>
      <w:tr w14:paraId="4DD8042E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1861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1EC174BA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 xml:space="preserve">Total </w:t>
            </w:r>
            <w:r>
              <w:rPr>
                <w:rFonts w:ascii="Times New Roman" w:hAnsi="Times New Roman" w:eastAsia="CSongGB18030C-Light" w:cs="Times New Roman"/>
                <w:b/>
                <w:color w:val="000000"/>
                <w:kern w:val="0"/>
                <w:sz w:val="20"/>
                <w:szCs w:val="20"/>
              </w:rPr>
              <w:t>EAAs</w:t>
            </w:r>
          </w:p>
        </w:tc>
        <w:tc>
          <w:tcPr>
            <w:tcW w:w="1810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7EA7B80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865.47±175.43</w:t>
            </w:r>
          </w:p>
        </w:tc>
        <w:tc>
          <w:tcPr>
            <w:tcW w:w="1810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34B775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889.66±141.74</w:t>
            </w:r>
          </w:p>
        </w:tc>
        <w:tc>
          <w:tcPr>
            <w:tcW w:w="1810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12E81F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>855.63±186.72</w:t>
            </w:r>
          </w:p>
        </w:tc>
        <w:tc>
          <w:tcPr>
            <w:tcW w:w="1387" w:type="dxa"/>
            <w:tcBorders>
              <w:bottom w:val="single" w:color="000000" w:sz="2" w:space="0"/>
              <w:tl2br w:val="nil"/>
              <w:tr2bl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703C215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eastAsia="CSongGB18030C-Light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b/>
                <w:bCs/>
                <w:color w:val="000000"/>
                <w:kern w:val="0"/>
                <w:sz w:val="20"/>
                <w:szCs w:val="20"/>
              </w:rPr>
              <w:t>0.0090</w:t>
            </w:r>
          </w:p>
        </w:tc>
      </w:tr>
      <w:tr w14:paraId="74AF614A">
        <w:tblPrEx>
          <w:tblBorders>
            <w:top w:val="single" w:color="000000" w:sz="6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3" w:hRule="atLeast"/>
          <w:jc w:val="center"/>
        </w:trPr>
        <w:tc>
          <w:tcPr>
            <w:tcW w:w="8678" w:type="dxa"/>
            <w:gridSpan w:val="5"/>
            <w:tcBorders>
              <w:top w:val="single" w:color="000000" w:sz="2" w:space="0"/>
              <w:bottom w:val="nil"/>
            </w:tcBorders>
            <w:shd w:val="clear" w:color="auto" w:fill="FFFFFF" w:themeFill="background1"/>
            <w:tcMar>
              <w:left w:w="60" w:type="dxa"/>
              <w:right w:w="60" w:type="dxa"/>
            </w:tcMar>
          </w:tcPr>
          <w:p w14:paraId="73253000">
            <w:pPr>
              <w:autoSpaceDE w:val="0"/>
              <w:autoSpaceDN w:val="0"/>
              <w:adjustRightInd w:val="0"/>
              <w:spacing w:before="60" w:after="60"/>
              <w:jc w:val="left"/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CSongGB18030C-Light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CSongGB18030C-Light" w:cs="Times New Roman"/>
                <w:color w:val="000000"/>
                <w:kern w:val="0"/>
                <w:sz w:val="20"/>
                <w:szCs w:val="20"/>
              </w:rPr>
              <w:t xml:space="preserve"> values were calculated using Wilcoxon tests.</w:t>
            </w:r>
          </w:p>
        </w:tc>
      </w:tr>
    </w:tbl>
    <w:p w14:paraId="0734464D">
      <w:pPr>
        <w:rPr>
          <w:rFonts w:ascii="Times New Roman" w:hAnsi="Times New Roman" w:cs="Times New Roman"/>
        </w:rPr>
      </w:pPr>
    </w:p>
    <w:p w14:paraId="7B79B988">
      <w:pPr>
        <w:rPr>
          <w:rFonts w:ascii="Times New Roman" w:hAnsi="Times New Roman" w:cs="Times New Roman"/>
        </w:rPr>
      </w:pPr>
    </w:p>
    <w:p w14:paraId="07CF9424">
      <w:pPr>
        <w:rPr>
          <w:rFonts w:ascii="Times New Roman" w:hAnsi="Times New Roman" w:cs="Times New Roman"/>
        </w:rPr>
      </w:pPr>
    </w:p>
    <w:p w14:paraId="4172D4C3">
      <w:pPr>
        <w:rPr>
          <w:rFonts w:ascii="Times New Roman" w:hAnsi="Times New Roman" w:cs="Times New Roman"/>
        </w:rPr>
      </w:pPr>
    </w:p>
    <w:p w14:paraId="1F369E3F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0D61A08B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7558BD2C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685E4887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04115384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27BD94B8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2EFF1F4D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</w:p>
    <w:p w14:paraId="688E05C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55F47E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77DF05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8F1EB86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04028F4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7CD805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480CD88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9C36DC8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D7B2E0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236403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1C91F7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F59159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FEDDDF4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86AA6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1FF6204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A60772F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74B1A3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5BFA08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S2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Association between</w:t>
      </w:r>
      <w:r>
        <w:rPr>
          <w:rFonts w:hint="eastAsia" w:ascii="Times New Roman" w:hAnsi="Times New Roman" w:cs="Times New Roman"/>
          <w:sz w:val="20"/>
          <w:szCs w:val="20"/>
        </w:rPr>
        <w:t xml:space="preserve"> EAA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level</w:t>
      </w:r>
      <w:r>
        <w:rPr>
          <w:rFonts w:hint="eastAsia"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and the risk of death from NSCLC</w:t>
      </w:r>
      <w:r>
        <w:rPr>
          <w:rFonts w:hint="eastAsia" w:ascii="Times New Roman" w:hAnsi="Times New Roman" w:cs="Times New Roman"/>
          <w:sz w:val="20"/>
          <w:szCs w:val="20"/>
        </w:rPr>
        <w:t xml:space="preserve"> with all the EAAs included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5"/>
        <w:tblW w:w="915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187"/>
        <w:gridCol w:w="1658"/>
        <w:gridCol w:w="1687"/>
        <w:gridCol w:w="1657"/>
        <w:gridCol w:w="1692"/>
      </w:tblGrid>
      <w:tr w14:paraId="0D3A4D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278" w:type="dxa"/>
            <w:vMerge w:val="restart"/>
            <w:vAlign w:val="center"/>
          </w:tcPr>
          <w:p w14:paraId="437E75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AAs</w:t>
            </w:r>
          </w:p>
        </w:tc>
        <w:tc>
          <w:tcPr>
            <w:tcW w:w="7881" w:type="dxa"/>
            <w:gridSpan w:val="5"/>
            <w:tcBorders>
              <w:bottom w:val="single" w:color="auto" w:sz="4" w:space="0"/>
            </w:tcBorders>
          </w:tcPr>
          <w:p w14:paraId="657324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</w:tr>
      <w:tr w14:paraId="592C71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278" w:type="dxa"/>
            <w:vMerge w:val="continue"/>
            <w:tcBorders>
              <w:bottom w:val="single" w:color="auto" w:sz="4" w:space="0"/>
              <w:tl2br w:val="nil"/>
              <w:tr2bl w:val="nil"/>
            </w:tcBorders>
          </w:tcPr>
          <w:p w14:paraId="10C9833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1DBB48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1</w:t>
            </w:r>
          </w:p>
        </w:tc>
        <w:tc>
          <w:tcPr>
            <w:tcW w:w="165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34C6B16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2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459057C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3</w:t>
            </w:r>
          </w:p>
        </w:tc>
        <w:tc>
          <w:tcPr>
            <w:tcW w:w="165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4D83DF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4</w:t>
            </w:r>
          </w:p>
        </w:tc>
        <w:tc>
          <w:tcPr>
            <w:tcW w:w="169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572247E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Per SD increase</w:t>
            </w:r>
          </w:p>
        </w:tc>
      </w:tr>
      <w:tr w14:paraId="56C5EA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278" w:type="dxa"/>
            <w:tcBorders>
              <w:top w:val="single" w:color="auto" w:sz="4" w:space="0"/>
              <w:bottom w:val="nil"/>
            </w:tcBorders>
          </w:tcPr>
          <w:p w14:paraId="1915E6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Lys</w:t>
            </w:r>
          </w:p>
        </w:tc>
        <w:tc>
          <w:tcPr>
            <w:tcW w:w="1187" w:type="dxa"/>
            <w:tcBorders>
              <w:top w:val="single" w:color="auto" w:sz="4" w:space="0"/>
              <w:bottom w:val="nil"/>
            </w:tcBorders>
          </w:tcPr>
          <w:p w14:paraId="784590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  <w:tcBorders>
              <w:top w:val="single" w:color="auto" w:sz="4" w:space="0"/>
              <w:bottom w:val="nil"/>
            </w:tcBorders>
          </w:tcPr>
          <w:p w14:paraId="1FB753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0.94 (0.65-1.36)</w:t>
            </w:r>
          </w:p>
        </w:tc>
        <w:tc>
          <w:tcPr>
            <w:tcW w:w="1687" w:type="dxa"/>
            <w:tcBorders>
              <w:top w:val="single" w:color="auto" w:sz="4" w:space="0"/>
              <w:bottom w:val="nil"/>
            </w:tcBorders>
          </w:tcPr>
          <w:p w14:paraId="571985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0.96 (0.65-1.40)</w:t>
            </w:r>
          </w:p>
        </w:tc>
        <w:tc>
          <w:tcPr>
            <w:tcW w:w="1657" w:type="dxa"/>
            <w:tcBorders>
              <w:top w:val="single" w:color="auto" w:sz="4" w:space="0"/>
              <w:bottom w:val="nil"/>
            </w:tcBorders>
          </w:tcPr>
          <w:p w14:paraId="09113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0.74 (0.46-1.21)</w:t>
            </w:r>
          </w:p>
        </w:tc>
        <w:tc>
          <w:tcPr>
            <w:tcW w:w="1692" w:type="dxa"/>
            <w:tcBorders>
              <w:top w:val="single" w:color="auto" w:sz="4" w:space="0"/>
              <w:bottom w:val="nil"/>
            </w:tcBorders>
          </w:tcPr>
          <w:p w14:paraId="737B2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0.97 (0.81-1.16)</w:t>
            </w:r>
          </w:p>
        </w:tc>
      </w:tr>
      <w:tr w14:paraId="7EC975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278" w:type="dxa"/>
            <w:tcBorders>
              <w:top w:val="nil"/>
            </w:tcBorders>
          </w:tcPr>
          <w:p w14:paraId="01D4BDA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</w:t>
            </w:r>
          </w:p>
        </w:tc>
        <w:tc>
          <w:tcPr>
            <w:tcW w:w="1187" w:type="dxa"/>
            <w:tcBorders>
              <w:top w:val="nil"/>
            </w:tcBorders>
          </w:tcPr>
          <w:p w14:paraId="597CB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  <w:tcBorders>
              <w:top w:val="nil"/>
            </w:tcBorders>
          </w:tcPr>
          <w:p w14:paraId="206DE4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87" w:type="dxa"/>
            <w:tcBorders>
              <w:top w:val="nil"/>
            </w:tcBorders>
          </w:tcPr>
          <w:p w14:paraId="32E15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7" w:type="dxa"/>
            <w:tcBorders>
              <w:top w:val="nil"/>
            </w:tcBorders>
          </w:tcPr>
          <w:p w14:paraId="0A319C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top w:val="nil"/>
            </w:tcBorders>
          </w:tcPr>
          <w:p w14:paraId="2C5CC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0.89 (0.68-1.16)</w:t>
            </w:r>
          </w:p>
        </w:tc>
      </w:tr>
      <w:tr w14:paraId="6CA0D3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278" w:type="dxa"/>
            <w:tcBorders>
              <w:top w:val="nil"/>
            </w:tcBorders>
          </w:tcPr>
          <w:p w14:paraId="11AFF8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Thr</w:t>
            </w:r>
          </w:p>
        </w:tc>
        <w:tc>
          <w:tcPr>
            <w:tcW w:w="1187" w:type="dxa"/>
            <w:tcBorders>
              <w:top w:val="nil"/>
            </w:tcBorders>
          </w:tcPr>
          <w:p w14:paraId="26E66C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  <w:tcBorders>
              <w:top w:val="nil"/>
            </w:tcBorders>
          </w:tcPr>
          <w:p w14:paraId="70D7EF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0.96 (0.68-1.36)</w:t>
            </w:r>
          </w:p>
        </w:tc>
        <w:tc>
          <w:tcPr>
            <w:tcW w:w="1687" w:type="dxa"/>
            <w:tcBorders>
              <w:top w:val="nil"/>
            </w:tcBorders>
          </w:tcPr>
          <w:p w14:paraId="2706E3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0.86 (0.59-1.25)</w:t>
            </w:r>
          </w:p>
        </w:tc>
        <w:tc>
          <w:tcPr>
            <w:tcW w:w="1657" w:type="dxa"/>
            <w:tcBorders>
              <w:top w:val="nil"/>
            </w:tcBorders>
          </w:tcPr>
          <w:p w14:paraId="4E473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0.70 (0.46-1.06)</w:t>
            </w:r>
          </w:p>
        </w:tc>
        <w:tc>
          <w:tcPr>
            <w:tcW w:w="1692" w:type="dxa"/>
            <w:tcBorders>
              <w:top w:val="nil"/>
            </w:tcBorders>
          </w:tcPr>
          <w:p w14:paraId="1E242B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0.92 (0.78-1.07)</w:t>
            </w:r>
          </w:p>
        </w:tc>
      </w:tr>
      <w:tr w14:paraId="7E4015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78" w:type="dxa"/>
          </w:tcPr>
          <w:p w14:paraId="70E35B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Ile</w:t>
            </w:r>
          </w:p>
        </w:tc>
        <w:tc>
          <w:tcPr>
            <w:tcW w:w="1187" w:type="dxa"/>
          </w:tcPr>
          <w:p w14:paraId="5D2B7E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</w:tcPr>
          <w:p w14:paraId="68A168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87" w:type="dxa"/>
          </w:tcPr>
          <w:p w14:paraId="13232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2.36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7" w:type="dxa"/>
          </w:tcPr>
          <w:p w14:paraId="46BE91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3.50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</w:tcPr>
          <w:p w14:paraId="17ED1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1.38 (1.08-1.76)</w:t>
            </w:r>
          </w:p>
        </w:tc>
      </w:tr>
      <w:tr w14:paraId="1B0FD7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78" w:type="dxa"/>
          </w:tcPr>
          <w:p w14:paraId="7B952B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</w:t>
            </w:r>
          </w:p>
        </w:tc>
        <w:tc>
          <w:tcPr>
            <w:tcW w:w="1187" w:type="dxa"/>
          </w:tcPr>
          <w:p w14:paraId="24B51B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</w:tcPr>
          <w:p w14:paraId="52F9C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687" w:type="dxa"/>
          </w:tcPr>
          <w:p w14:paraId="53B69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2.10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7" w:type="dxa"/>
          </w:tcPr>
          <w:p w14:paraId="1FD5C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3.08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</w:tcPr>
          <w:p w14:paraId="673FF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1.35 (1.12-1.62)</w:t>
            </w:r>
          </w:p>
        </w:tc>
      </w:tr>
      <w:tr w14:paraId="29CB0E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78" w:type="dxa"/>
            <w:tcBorders>
              <w:bottom w:val="nil"/>
            </w:tcBorders>
          </w:tcPr>
          <w:p w14:paraId="49BD62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Trp</w:t>
            </w:r>
          </w:p>
        </w:tc>
        <w:tc>
          <w:tcPr>
            <w:tcW w:w="1187" w:type="dxa"/>
            <w:tcBorders>
              <w:bottom w:val="nil"/>
            </w:tcBorders>
          </w:tcPr>
          <w:p w14:paraId="016E6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  <w:tcBorders>
              <w:bottom w:val="nil"/>
            </w:tcBorders>
          </w:tcPr>
          <w:p w14:paraId="04BF8F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87" w:type="dxa"/>
            <w:tcBorders>
              <w:bottom w:val="nil"/>
            </w:tcBorders>
          </w:tcPr>
          <w:p w14:paraId="43E75B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(0.5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7" w:type="dxa"/>
            <w:tcBorders>
              <w:bottom w:val="nil"/>
            </w:tcBorders>
          </w:tcPr>
          <w:p w14:paraId="1DB5B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tcBorders>
              <w:bottom w:val="nil"/>
            </w:tcBorders>
          </w:tcPr>
          <w:p w14:paraId="5E7AD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0.74 (0.64-0.86)</w:t>
            </w:r>
          </w:p>
        </w:tc>
      </w:tr>
      <w:tr w14:paraId="7068B9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78" w:type="dxa"/>
            <w:tcBorders>
              <w:bottom w:val="nil"/>
            </w:tcBorders>
          </w:tcPr>
          <w:p w14:paraId="6E0760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Met</w:t>
            </w:r>
          </w:p>
        </w:tc>
        <w:tc>
          <w:tcPr>
            <w:tcW w:w="1187" w:type="dxa"/>
            <w:tcBorders>
              <w:bottom w:val="nil"/>
            </w:tcBorders>
          </w:tcPr>
          <w:p w14:paraId="2C082B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  <w:tcBorders>
              <w:bottom w:val="nil"/>
            </w:tcBorders>
          </w:tcPr>
          <w:p w14:paraId="507A6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0.75 (0.52-1.09)</w:t>
            </w:r>
          </w:p>
        </w:tc>
        <w:tc>
          <w:tcPr>
            <w:tcW w:w="1687" w:type="dxa"/>
            <w:tcBorders>
              <w:bottom w:val="nil"/>
            </w:tcBorders>
          </w:tcPr>
          <w:p w14:paraId="0352B5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0.79 (0.53-1.18)</w:t>
            </w:r>
          </w:p>
        </w:tc>
        <w:tc>
          <w:tcPr>
            <w:tcW w:w="1657" w:type="dxa"/>
            <w:tcBorders>
              <w:bottom w:val="nil"/>
            </w:tcBorders>
          </w:tcPr>
          <w:p w14:paraId="170A4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0.84 (0.51-1.38)</w:t>
            </w:r>
          </w:p>
        </w:tc>
        <w:tc>
          <w:tcPr>
            <w:tcW w:w="1692" w:type="dxa"/>
            <w:tcBorders>
              <w:bottom w:val="nil"/>
            </w:tcBorders>
          </w:tcPr>
          <w:p w14:paraId="003E4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0.91 (0.73-1.15)</w:t>
            </w:r>
          </w:p>
        </w:tc>
      </w:tr>
      <w:tr w14:paraId="4FCBD5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78" w:type="dxa"/>
            <w:tcBorders>
              <w:top w:val="nil"/>
              <w:bottom w:val="single" w:color="auto" w:sz="4" w:space="0"/>
            </w:tcBorders>
          </w:tcPr>
          <w:p w14:paraId="7CA4CD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Leu</w:t>
            </w:r>
          </w:p>
        </w:tc>
        <w:tc>
          <w:tcPr>
            <w:tcW w:w="1187" w:type="dxa"/>
            <w:tcBorders>
              <w:top w:val="nil"/>
              <w:bottom w:val="single" w:color="auto" w:sz="4" w:space="0"/>
            </w:tcBorders>
          </w:tcPr>
          <w:p w14:paraId="5961AC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58" w:type="dxa"/>
            <w:tcBorders>
              <w:top w:val="nil"/>
              <w:bottom w:val="single" w:color="auto" w:sz="4" w:space="0"/>
            </w:tcBorders>
          </w:tcPr>
          <w:p w14:paraId="1330A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1.00 (0.64-1.56)</w:t>
            </w:r>
          </w:p>
        </w:tc>
        <w:tc>
          <w:tcPr>
            <w:tcW w:w="1687" w:type="dxa"/>
            <w:tcBorders>
              <w:top w:val="nil"/>
              <w:bottom w:val="single" w:color="auto" w:sz="4" w:space="0"/>
            </w:tcBorders>
          </w:tcPr>
          <w:p w14:paraId="4CE9D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0.94 (0.53-1.67)</w:t>
            </w:r>
          </w:p>
        </w:tc>
        <w:tc>
          <w:tcPr>
            <w:tcW w:w="1657" w:type="dxa"/>
            <w:tcBorders>
              <w:top w:val="nil"/>
              <w:bottom w:val="single" w:color="auto" w:sz="4" w:space="0"/>
            </w:tcBorders>
          </w:tcPr>
          <w:p w14:paraId="4312B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0.75 (0.36-1.55)</w:t>
            </w:r>
          </w:p>
        </w:tc>
        <w:tc>
          <w:tcPr>
            <w:tcW w:w="1692" w:type="dxa"/>
            <w:tcBorders>
              <w:top w:val="nil"/>
              <w:bottom w:val="single" w:color="auto" w:sz="4" w:space="0"/>
            </w:tcBorders>
          </w:tcPr>
          <w:p w14:paraId="3FC6F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0.77 (0.56-1.07)</w:t>
            </w:r>
          </w:p>
        </w:tc>
      </w:tr>
      <w:tr w14:paraId="54BE5A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159" w:type="dxa"/>
            <w:gridSpan w:val="6"/>
            <w:tcBorders>
              <w:top w:val="single" w:color="auto" w:sz="4" w:space="0"/>
              <w:bottom w:val="nil"/>
            </w:tcBorders>
          </w:tcPr>
          <w:p w14:paraId="59D5C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Models were adjusted for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all essential amino acids,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age, sex, BMI, family history of cancer, smoking status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drinking status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tumor type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cancer stage, and treatment (surgery, chemotherapy and radiotherapy).</w:t>
            </w:r>
          </w:p>
          <w:p w14:paraId="799D3E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levels of all EAAs were transformed using a natural logarithmic scale before the analysis.</w:t>
            </w:r>
          </w:p>
          <w:p w14:paraId="20616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Abbreviation: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BMI, body mass index; CI, confidence interval; EAAs, essential amino acids; HR, hazard ratio; NSCLC, non-small cell lung cancer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25B49B7C">
      <w:pPr>
        <w:rPr>
          <w:rFonts w:ascii="Times New Roman" w:hAnsi="Times New Roman" w:cs="Times New Roman"/>
        </w:rPr>
      </w:pPr>
    </w:p>
    <w:p w14:paraId="1CBDB127"/>
    <w:p w14:paraId="3441D520"/>
    <w:p w14:paraId="5C99E9B1"/>
    <w:p w14:paraId="17A70691"/>
    <w:p w14:paraId="7DB3A54A"/>
    <w:p w14:paraId="6FD9060F">
      <w:pPr>
        <w:tabs>
          <w:tab w:val="left" w:pos="881"/>
        </w:tabs>
        <w:jc w:val="left"/>
      </w:pPr>
    </w:p>
    <w:p w14:paraId="0AE08FDB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F4D390E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74F091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C200056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9A34B4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B7EB3C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D3665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FD1C0AB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FC03B85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293266B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0DD26E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860109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35609D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85070A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7E29514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7567B86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B00FEE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620A70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EF2D7E9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01B5B1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D3FE80">
      <w:pPr>
        <w:widowControl/>
        <w:tabs>
          <w:tab w:val="left" w:pos="863"/>
        </w:tabs>
        <w:autoSpaceDE w:val="0"/>
        <w:autoSpaceDN w:val="0"/>
        <w:jc w:val="left"/>
        <w:rPr>
          <w:rFonts w:ascii="Times New Roman" w:hAnsi="Times New Roman" w:eastAsia="宋体" w:cs="Times New Roman"/>
          <w:kern w:val="0"/>
          <w:sz w:val="20"/>
        </w:rPr>
      </w:pPr>
      <w:r>
        <w:rPr>
          <w:rFonts w:ascii="Times New Roman" w:hAnsi="Times New Roman" w:eastAsia="宋体" w:cs="Times New Roman"/>
          <w:b/>
          <w:bCs/>
          <w:kern w:val="0"/>
          <w:sz w:val="20"/>
        </w:rPr>
        <w:t>Table S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</w:rPr>
        <w:t>3</w:t>
      </w:r>
      <w:r>
        <w:rPr>
          <w:rFonts w:ascii="Times New Roman" w:hAnsi="Times New Roman" w:eastAsia="宋体" w:cs="Times New Roman"/>
          <w:b/>
          <w:bCs/>
          <w:kern w:val="0"/>
          <w:sz w:val="20"/>
        </w:rPr>
        <w:t xml:space="preserve">. </w:t>
      </w:r>
      <w:r>
        <w:rPr>
          <w:rFonts w:ascii="Times New Roman" w:hAnsi="Times New Roman" w:eastAsia="宋体" w:cs="Times New Roman"/>
          <w:kern w:val="0"/>
          <w:sz w:val="20"/>
        </w:rPr>
        <w:t>Association between Kyn</w:t>
      </w:r>
      <w:r>
        <w:rPr>
          <w:rFonts w:hint="eastAsia" w:ascii="Times New Roman" w:hAnsi="Times New Roman" w:eastAsia="宋体" w:cs="Times New Roman"/>
          <w:kern w:val="0"/>
          <w:sz w:val="20"/>
          <w:lang w:val="en-US" w:eastAsia="zh-CN"/>
        </w:rPr>
        <w:t xml:space="preserve"> levels</w:t>
      </w:r>
      <w:r>
        <w:rPr>
          <w:rFonts w:ascii="Times New Roman" w:hAnsi="Times New Roman" w:eastAsia="宋体" w:cs="Times New Roman"/>
          <w:kern w:val="0"/>
          <w:sz w:val="20"/>
        </w:rPr>
        <w:t xml:space="preserve"> and the risk o</w:t>
      </w:r>
      <w:bookmarkStart w:id="0" w:name="_GoBack"/>
      <w:bookmarkEnd w:id="0"/>
      <w:r>
        <w:rPr>
          <w:rFonts w:ascii="Times New Roman" w:hAnsi="Times New Roman" w:eastAsia="宋体" w:cs="Times New Roman"/>
          <w:kern w:val="0"/>
          <w:sz w:val="20"/>
        </w:rPr>
        <w:t>f death in NSCLC patients.</w:t>
      </w:r>
    </w:p>
    <w:tbl>
      <w:tblPr>
        <w:tblStyle w:val="5"/>
        <w:tblpPr w:leftFromText="180" w:rightFromText="180" w:vertAnchor="page" w:horzAnchor="page" w:tblpXSpec="center" w:tblpY="1849"/>
        <w:tblOverlap w:val="never"/>
        <w:tblW w:w="881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151"/>
        <w:gridCol w:w="1608"/>
        <w:gridCol w:w="1635"/>
        <w:gridCol w:w="1607"/>
        <w:gridCol w:w="1578"/>
      </w:tblGrid>
      <w:tr w14:paraId="013B9D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240" w:type="dxa"/>
            <w:vMerge w:val="restart"/>
          </w:tcPr>
          <w:p w14:paraId="5EB183DF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Kyn</w:t>
            </w:r>
          </w:p>
        </w:tc>
        <w:tc>
          <w:tcPr>
            <w:tcW w:w="7579" w:type="dxa"/>
            <w:gridSpan w:val="5"/>
            <w:tcBorders>
              <w:bottom w:val="single" w:color="auto" w:sz="4" w:space="0"/>
            </w:tcBorders>
          </w:tcPr>
          <w:p w14:paraId="5B1CF6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</w:tr>
      <w:tr w14:paraId="52F8A2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240" w:type="dxa"/>
            <w:vMerge w:val="continue"/>
            <w:tcBorders>
              <w:bottom w:val="single" w:color="auto" w:sz="4" w:space="0"/>
              <w:tl2br w:val="nil"/>
              <w:tr2bl w:val="nil"/>
            </w:tcBorders>
          </w:tcPr>
          <w:p w14:paraId="6704D9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401740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1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570918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2</w:t>
            </w:r>
          </w:p>
        </w:tc>
        <w:tc>
          <w:tcPr>
            <w:tcW w:w="163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1305FE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3</w:t>
            </w:r>
          </w:p>
        </w:tc>
        <w:tc>
          <w:tcPr>
            <w:tcW w:w="160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67F4A1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4</w:t>
            </w:r>
          </w:p>
        </w:tc>
        <w:tc>
          <w:tcPr>
            <w:tcW w:w="157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2EECF17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 SD increase</w:t>
            </w:r>
          </w:p>
        </w:tc>
      </w:tr>
      <w:tr w14:paraId="2E1BCE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240" w:type="dxa"/>
            <w:tcBorders>
              <w:top w:val="single" w:color="auto" w:sz="4" w:space="0"/>
              <w:bottom w:val="nil"/>
            </w:tcBorders>
          </w:tcPr>
          <w:p w14:paraId="278A3EE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151" w:type="dxa"/>
            <w:tcBorders>
              <w:top w:val="single" w:color="auto" w:sz="4" w:space="0"/>
              <w:bottom w:val="nil"/>
            </w:tcBorders>
          </w:tcPr>
          <w:p w14:paraId="7D9C19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8" w:type="dxa"/>
            <w:tcBorders>
              <w:top w:val="single" w:color="auto" w:sz="4" w:space="0"/>
              <w:bottom w:val="nil"/>
            </w:tcBorders>
          </w:tcPr>
          <w:p w14:paraId="687BF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35" w:type="dxa"/>
            <w:tcBorders>
              <w:top w:val="single" w:color="auto" w:sz="4" w:space="0"/>
              <w:bottom w:val="nil"/>
            </w:tcBorders>
          </w:tcPr>
          <w:p w14:paraId="77C9FE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07" w:type="dxa"/>
            <w:tcBorders>
              <w:top w:val="single" w:color="auto" w:sz="4" w:space="0"/>
              <w:bottom w:val="nil"/>
            </w:tcBorders>
          </w:tcPr>
          <w:p w14:paraId="1B2FFA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single" w:color="auto" w:sz="4" w:space="0"/>
              <w:bottom w:val="nil"/>
            </w:tcBorders>
          </w:tcPr>
          <w:p w14:paraId="1AA10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14:paraId="46C41D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240" w:type="dxa"/>
            <w:tcBorders>
              <w:top w:val="nil"/>
              <w:bottom w:val="nil"/>
            </w:tcBorders>
          </w:tcPr>
          <w:p w14:paraId="7BCA13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Ⅰ-Ⅲ</w:t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2634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14:paraId="067D1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0.50 (0.25-1.00)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090928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0.64 (0.32-1.27)</w:t>
            </w:r>
          </w:p>
        </w:tc>
        <w:tc>
          <w:tcPr>
            <w:tcW w:w="1607" w:type="dxa"/>
            <w:tcBorders>
              <w:top w:val="nil"/>
              <w:bottom w:val="nil"/>
            </w:tcBorders>
          </w:tcPr>
          <w:p w14:paraId="3F69D2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1.04 (0.54-2.01)</w:t>
            </w: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9C71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1.06 (0.83-1.36)</w:t>
            </w:r>
          </w:p>
        </w:tc>
      </w:tr>
      <w:tr w14:paraId="31D4FD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240" w:type="dxa"/>
            <w:tcBorders>
              <w:top w:val="nil"/>
              <w:bottom w:val="single" w:color="auto" w:sz="4" w:space="0"/>
            </w:tcBorders>
          </w:tcPr>
          <w:p w14:paraId="6CBC15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</w:t>
            </w:r>
          </w:p>
        </w:tc>
        <w:tc>
          <w:tcPr>
            <w:tcW w:w="1151" w:type="dxa"/>
            <w:tcBorders>
              <w:top w:val="nil"/>
              <w:bottom w:val="single" w:color="auto" w:sz="4" w:space="0"/>
            </w:tcBorders>
          </w:tcPr>
          <w:p w14:paraId="0697E0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8" w:type="dxa"/>
            <w:tcBorders>
              <w:top w:val="nil"/>
              <w:bottom w:val="single" w:color="auto" w:sz="4" w:space="0"/>
            </w:tcBorders>
          </w:tcPr>
          <w:p w14:paraId="0B7BC6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1.24 (0.82-1.88)</w:t>
            </w:r>
          </w:p>
        </w:tc>
        <w:tc>
          <w:tcPr>
            <w:tcW w:w="1635" w:type="dxa"/>
            <w:tcBorders>
              <w:top w:val="nil"/>
              <w:bottom w:val="single" w:color="auto" w:sz="4" w:space="0"/>
            </w:tcBorders>
          </w:tcPr>
          <w:p w14:paraId="268517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1.30 (0.84-1.98)</w:t>
            </w:r>
          </w:p>
        </w:tc>
        <w:tc>
          <w:tcPr>
            <w:tcW w:w="1607" w:type="dxa"/>
            <w:tcBorders>
              <w:top w:val="nil"/>
              <w:bottom w:val="single" w:color="auto" w:sz="4" w:space="0"/>
            </w:tcBorders>
          </w:tcPr>
          <w:p w14:paraId="5AF01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1.44 (0.95-2.19)</w:t>
            </w:r>
          </w:p>
        </w:tc>
        <w:tc>
          <w:tcPr>
            <w:tcW w:w="1578" w:type="dxa"/>
            <w:tcBorders>
              <w:top w:val="nil"/>
              <w:bottom w:val="single" w:color="auto" w:sz="4" w:space="0"/>
            </w:tcBorders>
          </w:tcPr>
          <w:p w14:paraId="48925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1.20 (1.01-1.41)</w:t>
            </w:r>
          </w:p>
        </w:tc>
      </w:tr>
      <w:tr w14:paraId="5CFAA6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8819" w:type="dxa"/>
            <w:gridSpan w:val="6"/>
            <w:tcBorders>
              <w:top w:val="single" w:color="auto" w:sz="4" w:space="0"/>
              <w:bottom w:val="nil"/>
            </w:tcBorders>
          </w:tcPr>
          <w:p w14:paraId="5313D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Models were adjusted for age, sex, BMI, family history of cancer, smoking status, drinking status, tumor type, cancer stage, and treatment (surgery, chemotherapy and radiotherapy).</w:t>
            </w:r>
          </w:p>
          <w:p w14:paraId="3AB020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level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the Kyn w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transformed using a natural logarithmic scale before the analysis.</w:t>
            </w:r>
          </w:p>
          <w:p w14:paraId="11CF68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bbreviation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BMI, body mass index; CI, confidence interval; EAA, essential amino acid; HR, hazard ratio;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Kyn, kynurenine;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NSCLC, non-small cell lung cancer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181C2D7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011E4BB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E882A89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F2E198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F77244D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877511F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374DD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578006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669583D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D7D4364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DC8ACB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48D751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1D7CA15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84F6AA8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687F255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1578861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A0D2D7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B71C6D8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5B49DBF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1B8D79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7F6A5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BF8424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C3A973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69348FE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8F535C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F9B7BB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38E2F9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9864187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14CD96E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45C55E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E82081D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A7B60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022BD8E">
      <w:pPr>
        <w:tabs>
          <w:tab w:val="left" w:pos="881"/>
        </w:tabs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Association between the Trp/Kyn Ratio and the risk of death in NSCLC patients.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5"/>
        <w:tblpPr w:leftFromText="180" w:rightFromText="180" w:vertAnchor="page" w:horzAnchor="margin" w:tblpY="1834"/>
        <w:tblOverlap w:val="never"/>
        <w:tblW w:w="891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164"/>
        <w:gridCol w:w="1626"/>
        <w:gridCol w:w="1654"/>
        <w:gridCol w:w="1625"/>
        <w:gridCol w:w="1596"/>
      </w:tblGrid>
      <w:tr w14:paraId="617E63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54" w:type="dxa"/>
            <w:vMerge w:val="restart"/>
          </w:tcPr>
          <w:p w14:paraId="4FCEAC9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Trp/Kyn</w:t>
            </w:r>
          </w:p>
        </w:tc>
        <w:tc>
          <w:tcPr>
            <w:tcW w:w="7665" w:type="dxa"/>
            <w:gridSpan w:val="5"/>
            <w:tcBorders>
              <w:bottom w:val="single" w:color="auto" w:sz="4" w:space="0"/>
            </w:tcBorders>
          </w:tcPr>
          <w:p w14:paraId="46C07C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(95%CI)</w:t>
            </w:r>
          </w:p>
        </w:tc>
      </w:tr>
      <w:tr w14:paraId="43C0AF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54" w:type="dxa"/>
            <w:vMerge w:val="continue"/>
            <w:tcBorders>
              <w:bottom w:val="single" w:color="auto" w:sz="4" w:space="0"/>
              <w:tl2br w:val="nil"/>
              <w:tr2bl w:val="nil"/>
            </w:tcBorders>
          </w:tcPr>
          <w:p w14:paraId="48B68E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1E7A02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1</w:t>
            </w:r>
          </w:p>
        </w:tc>
        <w:tc>
          <w:tcPr>
            <w:tcW w:w="1626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49CB8A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2</w:t>
            </w:r>
          </w:p>
        </w:tc>
        <w:tc>
          <w:tcPr>
            <w:tcW w:w="1654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207D2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3</w:t>
            </w:r>
          </w:p>
        </w:tc>
        <w:tc>
          <w:tcPr>
            <w:tcW w:w="162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7C31C1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Quartile 4</w:t>
            </w:r>
          </w:p>
        </w:tc>
        <w:tc>
          <w:tcPr>
            <w:tcW w:w="1596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1BEBE5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 SD increase</w:t>
            </w:r>
          </w:p>
        </w:tc>
      </w:tr>
      <w:tr w14:paraId="35E0DA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54" w:type="dxa"/>
            <w:tcBorders>
              <w:top w:val="single" w:color="auto" w:sz="4" w:space="0"/>
              <w:bottom w:val="nil"/>
            </w:tcBorders>
          </w:tcPr>
          <w:p w14:paraId="522CA1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164" w:type="dxa"/>
            <w:tcBorders>
              <w:top w:val="single" w:color="auto" w:sz="4" w:space="0"/>
              <w:bottom w:val="nil"/>
            </w:tcBorders>
          </w:tcPr>
          <w:p w14:paraId="152F35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26" w:type="dxa"/>
            <w:tcBorders>
              <w:top w:val="single" w:color="auto" w:sz="4" w:space="0"/>
              <w:bottom w:val="nil"/>
            </w:tcBorders>
          </w:tcPr>
          <w:p w14:paraId="4F112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(0.56-1.05)</w:t>
            </w:r>
          </w:p>
        </w:tc>
        <w:tc>
          <w:tcPr>
            <w:tcW w:w="1654" w:type="dxa"/>
            <w:tcBorders>
              <w:top w:val="single" w:color="auto" w:sz="4" w:space="0"/>
              <w:bottom w:val="nil"/>
            </w:tcBorders>
          </w:tcPr>
          <w:p w14:paraId="601406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 (0.45-0.87)</w:t>
            </w:r>
          </w:p>
        </w:tc>
        <w:tc>
          <w:tcPr>
            <w:tcW w:w="1625" w:type="dxa"/>
            <w:tcBorders>
              <w:top w:val="single" w:color="auto" w:sz="4" w:space="0"/>
              <w:bottom w:val="nil"/>
            </w:tcBorders>
          </w:tcPr>
          <w:p w14:paraId="7B51C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 (0.36-0.72)</w:t>
            </w:r>
          </w:p>
        </w:tc>
        <w:tc>
          <w:tcPr>
            <w:tcW w:w="1596" w:type="dxa"/>
            <w:tcBorders>
              <w:top w:val="single" w:color="auto" w:sz="4" w:space="0"/>
              <w:bottom w:val="nil"/>
            </w:tcBorders>
          </w:tcPr>
          <w:p w14:paraId="0B46C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 (0.66-0.84)</w:t>
            </w:r>
          </w:p>
        </w:tc>
      </w:tr>
      <w:tr w14:paraId="5FEB2C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254" w:type="dxa"/>
            <w:tcBorders>
              <w:top w:val="nil"/>
              <w:bottom w:val="nil"/>
            </w:tcBorders>
          </w:tcPr>
          <w:p w14:paraId="0E292BA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Ⅰ-Ⅲ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5C7D1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26" w:type="dxa"/>
            <w:tcBorders>
              <w:top w:val="nil"/>
              <w:bottom w:val="nil"/>
            </w:tcBorders>
          </w:tcPr>
          <w:p w14:paraId="466724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 (0.19-0.76)</w:t>
            </w: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7DF836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 (0.38-1.29)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363E8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 (0.25-1.08)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188FC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 (0.63-1.04)</w:t>
            </w:r>
          </w:p>
        </w:tc>
      </w:tr>
      <w:tr w14:paraId="1791B1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254" w:type="dxa"/>
            <w:tcBorders>
              <w:top w:val="nil"/>
              <w:bottom w:val="single" w:color="auto" w:sz="4" w:space="0"/>
            </w:tcBorders>
          </w:tcPr>
          <w:p w14:paraId="5C22AED4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Ⅳ</w:t>
            </w:r>
          </w:p>
        </w:tc>
        <w:tc>
          <w:tcPr>
            <w:tcW w:w="1164" w:type="dxa"/>
            <w:tcBorders>
              <w:top w:val="nil"/>
              <w:bottom w:val="single" w:color="auto" w:sz="4" w:space="0"/>
            </w:tcBorders>
          </w:tcPr>
          <w:p w14:paraId="3999EC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26" w:type="dxa"/>
            <w:tcBorders>
              <w:top w:val="nil"/>
              <w:bottom w:val="single" w:color="auto" w:sz="4" w:space="0"/>
            </w:tcBorders>
          </w:tcPr>
          <w:p w14:paraId="6116D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 (0.48-1.03)</w:t>
            </w:r>
          </w:p>
        </w:tc>
        <w:tc>
          <w:tcPr>
            <w:tcW w:w="1654" w:type="dxa"/>
            <w:tcBorders>
              <w:top w:val="nil"/>
              <w:bottom w:val="single" w:color="auto" w:sz="4" w:space="0"/>
            </w:tcBorders>
          </w:tcPr>
          <w:p w14:paraId="45587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 (0.46-1.02)</w:t>
            </w:r>
          </w:p>
        </w:tc>
        <w:tc>
          <w:tcPr>
            <w:tcW w:w="1625" w:type="dxa"/>
            <w:tcBorders>
              <w:top w:val="nil"/>
              <w:bottom w:val="single" w:color="auto" w:sz="4" w:space="0"/>
            </w:tcBorders>
          </w:tcPr>
          <w:p w14:paraId="6E79CC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 (0.23-0.55)</w:t>
            </w:r>
          </w:p>
        </w:tc>
        <w:tc>
          <w:tcPr>
            <w:tcW w:w="1596" w:type="dxa"/>
            <w:tcBorders>
              <w:top w:val="nil"/>
              <w:bottom w:val="single" w:color="auto" w:sz="4" w:space="0"/>
            </w:tcBorders>
          </w:tcPr>
          <w:p w14:paraId="5199E2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 (0.59-0.80)</w:t>
            </w:r>
          </w:p>
        </w:tc>
      </w:tr>
      <w:tr w14:paraId="18727E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8919" w:type="dxa"/>
            <w:gridSpan w:val="6"/>
            <w:tcBorders>
              <w:top w:val="single" w:color="auto" w:sz="4" w:space="0"/>
              <w:bottom w:val="nil"/>
            </w:tcBorders>
          </w:tcPr>
          <w:p w14:paraId="4B43B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Models were adjusted for age, sex, BMI, family history of cancer, smoking status, drinking status, tumor type, cancer stage, and treatment (surgery, chemotherapy and radiotherapy).</w:t>
            </w:r>
          </w:p>
          <w:p w14:paraId="7F2758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levels of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the Trp/Kyn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were transformed using a natural logarithmic scale before the analysis.</w:t>
            </w:r>
          </w:p>
          <w:p w14:paraId="238DF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Abbreviation: BMI, body mass index; CI, confidence interval; EAA, essential amino acid; HR, hazard ratio; Kyn, kynurenine; NSCLC, non-small cell lung cancer; Trp, tryptophan.</w:t>
            </w:r>
          </w:p>
        </w:tc>
      </w:tr>
    </w:tbl>
    <w:p w14:paraId="50FAA4EE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C710529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2F1F3D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23C45D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C1B961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20E5F86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DEED10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65E8C8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FC08A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7F74B9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7415314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3ED39B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8B96A02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5387649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81EBBF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F954301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27FDC3C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FFC13D1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E16691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0A15F4E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46E0CCA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9757B3B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6C440B1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1A63163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349F29D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1093980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8461D91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170FC6B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019153D">
      <w:pPr>
        <w:tabs>
          <w:tab w:val="left" w:pos="881"/>
        </w:tabs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9E91345">
      <w:pPr>
        <w:tabs>
          <w:tab w:val="left" w:pos="881"/>
        </w:tabs>
        <w:jc w:val="left"/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4DD85B05">
      <w:pPr>
        <w:tabs>
          <w:tab w:val="left" w:pos="4905"/>
        </w:tabs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SongGB18030C-Light">
    <w:panose1 w:val="020A0304000101010101"/>
    <w:charset w:val="86"/>
    <w:family w:val="roman"/>
    <w:pitch w:val="default"/>
    <w:sig w:usb0="00000001" w:usb1="28EF4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61B03"/>
    <w:rsid w:val="00175D9C"/>
    <w:rsid w:val="00237A9F"/>
    <w:rsid w:val="005B4184"/>
    <w:rsid w:val="00872815"/>
    <w:rsid w:val="013D03B1"/>
    <w:rsid w:val="02246E13"/>
    <w:rsid w:val="045418FE"/>
    <w:rsid w:val="09C851E3"/>
    <w:rsid w:val="0DCF6CAC"/>
    <w:rsid w:val="0ECA5559"/>
    <w:rsid w:val="0FC3762D"/>
    <w:rsid w:val="0FFF5BB4"/>
    <w:rsid w:val="10E34163"/>
    <w:rsid w:val="11136B5B"/>
    <w:rsid w:val="13EF52EF"/>
    <w:rsid w:val="145422B5"/>
    <w:rsid w:val="19EB2C01"/>
    <w:rsid w:val="1A906291"/>
    <w:rsid w:val="1D3A275C"/>
    <w:rsid w:val="1DB64BA2"/>
    <w:rsid w:val="225F160C"/>
    <w:rsid w:val="23D52B11"/>
    <w:rsid w:val="25132380"/>
    <w:rsid w:val="26B27D69"/>
    <w:rsid w:val="286B4413"/>
    <w:rsid w:val="2BD616D2"/>
    <w:rsid w:val="2C0413D5"/>
    <w:rsid w:val="36301F39"/>
    <w:rsid w:val="37B83A9F"/>
    <w:rsid w:val="41225102"/>
    <w:rsid w:val="44C93735"/>
    <w:rsid w:val="44D97CC8"/>
    <w:rsid w:val="49EE6865"/>
    <w:rsid w:val="4EC637B3"/>
    <w:rsid w:val="55D2724E"/>
    <w:rsid w:val="62137D6F"/>
    <w:rsid w:val="665B1703"/>
    <w:rsid w:val="67C61B03"/>
    <w:rsid w:val="6CAE4CE7"/>
    <w:rsid w:val="70D77694"/>
    <w:rsid w:val="75A86A95"/>
    <w:rsid w:val="786833BA"/>
    <w:rsid w:val="79D6350F"/>
    <w:rsid w:val="79E9735F"/>
    <w:rsid w:val="7AE83F58"/>
    <w:rsid w:val="7D00036C"/>
    <w:rsid w:val="7EC075EA"/>
    <w:rsid w:val="7F6C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556</Words>
  <Characters>3399</Characters>
  <Lines>242</Lines>
  <Paragraphs>201</Paragraphs>
  <TotalTime>376</TotalTime>
  <ScaleCrop>false</ScaleCrop>
  <LinksUpToDate>false</LinksUpToDate>
  <CharactersWithSpaces>3785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2025-06-16T09:26:00Z</dcterms:created>
  <dc:creator>无痕</dc:creator>
  <cp:lastModifiedBy>无痕</cp:lastModifiedBy>
  <dcterms:modified xsi:type="dcterms:W3CDTF">2026-01-21T15:11:08Z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10DA4D1D5A194A59830D6A0298B3E888_11</vt:lpwstr>
  </property>
  <property fmtid="{D5CDD505-2E9C-101B-9397-08002B2CF9AE}" pid="4" name="KSOTemplateDocerSaveRecord">
    <vt:lpwstr>eyJoZGlkIjoiNTQ5YzFjYWRlOTA4MGZjODVjNDM0M2QxMDRlNGUxYjciLCJ1c2VySWQiOiI0ODEzMzU1NDEifQ==</vt:lpwstr>
  </property>
</Properties>
</file>