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F99FB" w14:textId="77777777" w:rsidR="00A83684" w:rsidRPr="00E730BB" w:rsidRDefault="00E730BB">
      <w:pPr>
        <w:spacing w:before="1400"/>
        <w:jc w:val="center"/>
        <w:rPr>
          <w:b/>
          <w:sz w:val="40"/>
        </w:rPr>
      </w:pPr>
      <w:r w:rsidRPr="00E730BB">
        <w:rPr>
          <w:b/>
          <w:sz w:val="40"/>
        </w:rPr>
        <w:t>Competitive Flow Identification and Hemodynamic Analysis in Coronary Artery Bypass Grafting</w:t>
      </w:r>
    </w:p>
    <w:p w14:paraId="1DCBC732" w14:textId="55E2DBB1" w:rsidR="00A83684" w:rsidRPr="00E730BB" w:rsidRDefault="00E730BB">
      <w:pPr>
        <w:spacing w:before="1400"/>
        <w:jc w:val="center"/>
        <w:rPr>
          <w:b/>
          <w:sz w:val="40"/>
        </w:rPr>
      </w:pPr>
      <w:r w:rsidRPr="00E730BB">
        <w:rPr>
          <w:b/>
          <w:sz w:val="40"/>
        </w:rPr>
        <w:t>Supplementary Materials</w:t>
      </w:r>
    </w:p>
    <w:p w14:paraId="3DD38B35" w14:textId="77777777" w:rsidR="00A83684" w:rsidRPr="00E730BB" w:rsidRDefault="00E730BB">
      <w:pPr>
        <w:rPr>
          <w:lang w:eastAsia="zh-CN"/>
        </w:rPr>
      </w:pPr>
      <w:r w:rsidRPr="00E730BB">
        <w:rPr>
          <w:lang w:eastAsia="zh-CN"/>
        </w:rPr>
        <w:br w:type="page"/>
      </w:r>
    </w:p>
    <w:p w14:paraId="77904E70" w14:textId="7B130743" w:rsidR="00A83684" w:rsidRPr="00E730BB" w:rsidRDefault="00E730BB">
      <w:pPr>
        <w:spacing w:before="200" w:after="120"/>
      </w:pPr>
      <w:r w:rsidRPr="00E730BB">
        <w:rPr>
          <w:b/>
          <w:sz w:val="30"/>
        </w:rPr>
        <w:t xml:space="preserve">Supplementary Tables </w:t>
      </w:r>
    </w:p>
    <w:p w14:paraId="78AE6F5F" w14:textId="46AD14EF" w:rsidR="00A83684" w:rsidRPr="00E730BB" w:rsidRDefault="00E730BB">
      <w:pPr>
        <w:keepNext/>
        <w:spacing w:after="100"/>
        <w:jc w:val="center"/>
        <w:rPr>
          <w:lang w:eastAsia="zh-CN"/>
        </w:rPr>
      </w:pPr>
      <w:r w:rsidRPr="00E730BB">
        <w:rPr>
          <w:b/>
        </w:rPr>
        <w:t>Supplementary Table S1. LIMA continuous-cFFR multivariable linear regression.</w:t>
      </w:r>
    </w:p>
    <w:tbl>
      <w:tblPr>
        <w:tblW w:w="9858" w:type="dxa"/>
        <w:jc w:val="center"/>
        <w:tblLayout w:type="fixed"/>
        <w:tblLook w:val="04A0" w:firstRow="1" w:lastRow="0" w:firstColumn="1" w:lastColumn="0" w:noHBand="0" w:noVBand="1"/>
      </w:tblPr>
      <w:tblGrid>
        <w:gridCol w:w="3000"/>
        <w:gridCol w:w="1500"/>
        <w:gridCol w:w="3300"/>
        <w:gridCol w:w="2058"/>
      </w:tblGrid>
      <w:tr w:rsidR="00E730BB" w:rsidRPr="00E730BB" w14:paraId="1F1DFE7D" w14:textId="77777777">
        <w:trPr>
          <w:cantSplit/>
          <w:trHeight w:val="506"/>
          <w:tblHeader/>
          <w:jc w:val="center"/>
        </w:trPr>
        <w:tc>
          <w:tcPr>
            <w:tcW w:w="30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6F399E7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8"/>
              </w:rPr>
              <w:t>Variable</w:t>
            </w:r>
          </w:p>
        </w:tc>
        <w:tc>
          <w:tcPr>
            <w:tcW w:w="15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A641FA3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8"/>
              </w:rPr>
              <w:t>β</w:t>
            </w:r>
          </w:p>
        </w:tc>
        <w:tc>
          <w:tcPr>
            <w:tcW w:w="33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E1E9F8F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8"/>
              </w:rPr>
              <w:t>95% CI</w:t>
            </w:r>
          </w:p>
        </w:tc>
        <w:tc>
          <w:tcPr>
            <w:tcW w:w="205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7DC07A5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8"/>
              </w:rPr>
              <w:t xml:space="preserve">P </w:t>
            </w:r>
            <w:r w:rsidRPr="00E730BB">
              <w:rPr>
                <w:b/>
                <w:sz w:val="18"/>
              </w:rPr>
              <w:t>value</w:t>
            </w:r>
          </w:p>
        </w:tc>
      </w:tr>
      <w:tr w:rsidR="00E730BB" w:rsidRPr="00E730BB" w14:paraId="1A9EAF7D" w14:textId="77777777">
        <w:trPr>
          <w:cantSplit/>
          <w:trHeight w:val="551"/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8C811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 xml:space="preserve">Preoperative </w:t>
            </w:r>
            <w:proofErr w:type="spellStart"/>
            <w:r w:rsidRPr="00E730BB">
              <w:rPr>
                <w:sz w:val="18"/>
              </w:rPr>
              <w:t>cFFR</w:t>
            </w:r>
            <w:proofErr w:type="spellEnd"/>
            <w:r w:rsidRPr="00E730BB">
              <w:rPr>
                <w:sz w:val="18"/>
              </w:rPr>
              <w:t xml:space="preserve"> (per 0.1)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01908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0.018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D0E1E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0.004–0.031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34FF0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0.013</w:t>
            </w:r>
          </w:p>
        </w:tc>
      </w:tr>
      <w:tr w:rsidR="00E730BB" w:rsidRPr="00E730BB" w14:paraId="7D23C096" w14:textId="77777777">
        <w:trPr>
          <w:cantSplit/>
          <w:trHeight w:val="423"/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F0748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PI (per 1 unit)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729D3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0.009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C673B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−</w:t>
            </w:r>
            <w:r w:rsidRPr="00E730BB">
              <w:rPr>
                <w:sz w:val="18"/>
              </w:rPr>
              <w:t>0.029–0.047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12BA2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0.632</w:t>
            </w:r>
          </w:p>
        </w:tc>
      </w:tr>
      <w:tr w:rsidR="00E730BB" w:rsidRPr="00E730BB" w14:paraId="1EEC2B27" w14:textId="77777777">
        <w:trPr>
          <w:cantSplit/>
          <w:trHeight w:val="415"/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0396B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DF (per 1 percentage point)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7B2B0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−</w:t>
            </w:r>
            <w:r w:rsidRPr="00E730BB">
              <w:rPr>
                <w:sz w:val="18"/>
              </w:rPr>
              <w:t>0.001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EC43C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−</w:t>
            </w:r>
            <w:r w:rsidRPr="00E730BB">
              <w:rPr>
                <w:sz w:val="18"/>
              </w:rPr>
              <w:t>0.005–0.003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AF169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0.671</w:t>
            </w:r>
          </w:p>
        </w:tc>
      </w:tr>
      <w:tr w:rsidR="00E730BB" w:rsidRPr="00E730BB" w14:paraId="7E7EC50C" w14:textId="77777777">
        <w:trPr>
          <w:cantSplit/>
          <w:trHeight w:val="435"/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0411F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Graft length (per 1 cm)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F26D0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−</w:t>
            </w:r>
            <w:r w:rsidRPr="00E730BB">
              <w:rPr>
                <w:sz w:val="18"/>
              </w:rPr>
              <w:t>0.001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0F09F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−</w:t>
            </w:r>
            <w:r w:rsidRPr="00E730BB">
              <w:rPr>
                <w:sz w:val="18"/>
              </w:rPr>
              <w:t>0.014–0.013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BF5BB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0.919</w:t>
            </w:r>
          </w:p>
        </w:tc>
      </w:tr>
      <w:tr w:rsidR="00E730BB" w:rsidRPr="00E730BB" w14:paraId="0EAAC0EE" w14:textId="77777777">
        <w:trPr>
          <w:cantSplit/>
          <w:trHeight w:val="427"/>
          <w:jc w:val="center"/>
        </w:trPr>
        <w:tc>
          <w:tcPr>
            <w:tcW w:w="30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05A4D73" w14:textId="77777777" w:rsidR="00A83684" w:rsidRPr="00E730BB" w:rsidRDefault="00E730BB">
            <w:pPr>
              <w:keepNext/>
              <w:spacing w:after="0"/>
            </w:pPr>
            <w:r w:rsidRPr="00E730BB">
              <w:rPr>
                <w:sz w:val="18"/>
              </w:rPr>
              <w:t>Stenosis length (per 1 cm)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35A2ACB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−</w:t>
            </w:r>
            <w:r w:rsidRPr="00E730BB">
              <w:rPr>
                <w:sz w:val="18"/>
              </w:rPr>
              <w:t>0.001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5286472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−</w:t>
            </w:r>
            <w:r w:rsidRPr="00E730BB">
              <w:rPr>
                <w:sz w:val="18"/>
              </w:rPr>
              <w:t>0.013–0.012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9A233D1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0.884</w:t>
            </w:r>
          </w:p>
        </w:tc>
      </w:tr>
    </w:tbl>
    <w:p w14:paraId="47B8226F" w14:textId="77777777" w:rsidR="00A83684" w:rsidRPr="00E730BB" w:rsidRDefault="00E730BB">
      <w:pPr>
        <w:spacing w:after="100"/>
        <w:jc w:val="center"/>
      </w:pPr>
      <w:r w:rsidRPr="00E730BB">
        <w:rPr>
          <w:i/>
          <w:sz w:val="17"/>
        </w:rPr>
        <w:t>Adjusted R²=0.030; overall model P=0.203. HC3 robust standard errors were used.</w:t>
      </w:r>
    </w:p>
    <w:p w14:paraId="7E0DCA19" w14:textId="77777777" w:rsidR="00A83684" w:rsidRPr="00E730BB" w:rsidRDefault="00A83684"/>
    <w:p w14:paraId="720F0FC0" w14:textId="77777777" w:rsidR="00A83684" w:rsidRPr="00E730BB" w:rsidRDefault="00E730BB">
      <w:pPr>
        <w:keepNext/>
        <w:spacing w:after="100"/>
        <w:jc w:val="center"/>
      </w:pPr>
      <w:r w:rsidRPr="00E730BB">
        <w:rPr>
          <w:b/>
        </w:rPr>
        <w:t>Supplementary Table S2. SVG continuous-cFFR Gaussian GEE model.</w:t>
      </w:r>
    </w:p>
    <w:tbl>
      <w:tblPr>
        <w:tblW w:w="9858" w:type="dxa"/>
        <w:jc w:val="center"/>
        <w:tblLayout w:type="fixed"/>
        <w:tblLook w:val="04A0" w:firstRow="1" w:lastRow="0" w:firstColumn="1" w:lastColumn="0" w:noHBand="0" w:noVBand="1"/>
      </w:tblPr>
      <w:tblGrid>
        <w:gridCol w:w="3000"/>
        <w:gridCol w:w="1500"/>
        <w:gridCol w:w="3300"/>
        <w:gridCol w:w="2058"/>
      </w:tblGrid>
      <w:tr w:rsidR="00E730BB" w:rsidRPr="00E730BB" w14:paraId="5F550E81" w14:textId="77777777" w:rsidTr="00FC02ED">
        <w:trPr>
          <w:cantSplit/>
          <w:trHeight w:val="477"/>
          <w:tblHeader/>
          <w:jc w:val="center"/>
        </w:trPr>
        <w:tc>
          <w:tcPr>
            <w:tcW w:w="30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565A9B9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8"/>
              </w:rPr>
              <w:t>Variable</w:t>
            </w:r>
          </w:p>
        </w:tc>
        <w:tc>
          <w:tcPr>
            <w:tcW w:w="15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82CE457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8"/>
              </w:rPr>
              <w:t>β</w:t>
            </w:r>
          </w:p>
        </w:tc>
        <w:tc>
          <w:tcPr>
            <w:tcW w:w="33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D40B80B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8"/>
              </w:rPr>
              <w:t>95% CI</w:t>
            </w:r>
          </w:p>
        </w:tc>
        <w:tc>
          <w:tcPr>
            <w:tcW w:w="205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6E1610E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8"/>
              </w:rPr>
              <w:t>P value</w:t>
            </w:r>
          </w:p>
        </w:tc>
      </w:tr>
      <w:tr w:rsidR="00E730BB" w:rsidRPr="00E730BB" w14:paraId="4C58CF24" w14:textId="77777777" w:rsidTr="00FC02ED">
        <w:trPr>
          <w:cantSplit/>
          <w:trHeight w:val="409"/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A6273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 xml:space="preserve">Preoperative </w:t>
            </w:r>
            <w:proofErr w:type="spellStart"/>
            <w:r w:rsidRPr="00E730BB">
              <w:rPr>
                <w:sz w:val="18"/>
              </w:rPr>
              <w:t>cFFR</w:t>
            </w:r>
            <w:proofErr w:type="spellEnd"/>
            <w:r w:rsidRPr="00E730BB">
              <w:rPr>
                <w:sz w:val="18"/>
              </w:rPr>
              <w:t xml:space="preserve"> (per 0.1)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FABB8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0.014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B98CC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−</w:t>
            </w:r>
            <w:r w:rsidRPr="00E730BB">
              <w:rPr>
                <w:sz w:val="18"/>
              </w:rPr>
              <w:t>0.004–0.031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1939D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0.130</w:t>
            </w:r>
          </w:p>
        </w:tc>
      </w:tr>
      <w:tr w:rsidR="00E730BB" w:rsidRPr="00E730BB" w14:paraId="6754D94D" w14:textId="77777777" w:rsidTr="00FC02ED">
        <w:trPr>
          <w:cantSplit/>
          <w:trHeight w:val="294"/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F8182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 xml:space="preserve">PI </w:t>
            </w:r>
            <w:r w:rsidRPr="00E730BB">
              <w:rPr>
                <w:sz w:val="18"/>
              </w:rPr>
              <w:t>(per 1 unit)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7FB25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−</w:t>
            </w:r>
            <w:r w:rsidRPr="00E730BB">
              <w:rPr>
                <w:sz w:val="18"/>
              </w:rPr>
              <w:t>0.018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A86A5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−</w:t>
            </w:r>
            <w:r w:rsidRPr="00E730BB">
              <w:rPr>
                <w:sz w:val="18"/>
              </w:rPr>
              <w:t>0.030–−0.005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C375E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0.006</w:t>
            </w:r>
          </w:p>
        </w:tc>
      </w:tr>
      <w:tr w:rsidR="00E730BB" w:rsidRPr="00E730BB" w14:paraId="1A3B9F4F" w14:textId="77777777" w:rsidTr="00FC02ED">
        <w:trPr>
          <w:cantSplit/>
          <w:trHeight w:val="411"/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15C1A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DF (per 1 percentage point)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73852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−</w:t>
            </w:r>
            <w:r w:rsidRPr="00E730BB">
              <w:rPr>
                <w:sz w:val="18"/>
              </w:rPr>
              <w:t>0.004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88AB1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−</w:t>
            </w:r>
            <w:r w:rsidRPr="00E730BB">
              <w:rPr>
                <w:sz w:val="18"/>
              </w:rPr>
              <w:t>0.007–−0.001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D672B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0.017</w:t>
            </w:r>
          </w:p>
        </w:tc>
      </w:tr>
      <w:tr w:rsidR="00E730BB" w:rsidRPr="00E730BB" w14:paraId="1767C64F" w14:textId="77777777" w:rsidTr="00FC02ED">
        <w:trPr>
          <w:cantSplit/>
          <w:trHeight w:val="431"/>
          <w:jc w:val="center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B667F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Graft length (per 1 cm)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81D4E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0.000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92D3F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−</w:t>
            </w:r>
            <w:r w:rsidRPr="00E730BB">
              <w:rPr>
                <w:sz w:val="18"/>
              </w:rPr>
              <w:t>0.007–0.007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9CA04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0.957</w:t>
            </w:r>
          </w:p>
        </w:tc>
      </w:tr>
      <w:tr w:rsidR="00E730BB" w:rsidRPr="00E730BB" w14:paraId="40A7B273" w14:textId="77777777" w:rsidTr="00FC02ED">
        <w:trPr>
          <w:cantSplit/>
          <w:trHeight w:val="424"/>
          <w:jc w:val="center"/>
        </w:trPr>
        <w:tc>
          <w:tcPr>
            <w:tcW w:w="30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32F89CA" w14:textId="77777777" w:rsidR="00A83684" w:rsidRPr="00E730BB" w:rsidRDefault="00E730BB">
            <w:pPr>
              <w:keepNext/>
              <w:spacing w:after="0"/>
            </w:pPr>
            <w:r w:rsidRPr="00E730BB">
              <w:rPr>
                <w:sz w:val="18"/>
              </w:rPr>
              <w:t>Stenosis length (per 1 cm)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1C5A9A1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−</w:t>
            </w:r>
            <w:r w:rsidRPr="00E730BB">
              <w:rPr>
                <w:sz w:val="18"/>
              </w:rPr>
              <w:t>0.011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7095584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−</w:t>
            </w:r>
            <w:r w:rsidRPr="00E730BB">
              <w:rPr>
                <w:sz w:val="18"/>
              </w:rPr>
              <w:t>0.031–0.008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C227322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0.266</w:t>
            </w:r>
          </w:p>
        </w:tc>
      </w:tr>
    </w:tbl>
    <w:p w14:paraId="7C75AA1C" w14:textId="77777777" w:rsidR="00A83684" w:rsidRPr="00E730BB" w:rsidRDefault="00E730BB">
      <w:pPr>
        <w:spacing w:after="100"/>
        <w:jc w:val="center"/>
      </w:pPr>
      <w:r w:rsidRPr="00E730BB">
        <w:rPr>
          <w:i/>
          <w:sz w:val="17"/>
        </w:rPr>
        <w:t xml:space="preserve">The exchangeable working-correlation structure was </w:t>
      </w:r>
      <w:r w:rsidRPr="00E730BB">
        <w:rPr>
          <w:i/>
          <w:sz w:val="17"/>
        </w:rPr>
        <w:t>used for the primary analysis; independence produced materially similar estimates.</w:t>
      </w:r>
    </w:p>
    <w:p w14:paraId="490BE730" w14:textId="77777777" w:rsidR="00A83684" w:rsidRPr="00E730BB" w:rsidRDefault="00A83684"/>
    <w:p w14:paraId="68B0EF62" w14:textId="77777777" w:rsidR="00A83684" w:rsidRPr="00E730BB" w:rsidRDefault="00E730BB">
      <w:pPr>
        <w:keepNext/>
        <w:spacing w:after="100"/>
        <w:jc w:val="center"/>
      </w:pPr>
      <w:r w:rsidRPr="00E730BB">
        <w:rPr>
          <w:b/>
        </w:rPr>
        <w:t>Supplementary Table S3. SVG cluster-adjusted univariable comparisons.</w:t>
      </w:r>
    </w:p>
    <w:tbl>
      <w:tblPr>
        <w:tblW w:w="9858" w:type="dxa"/>
        <w:jc w:val="center"/>
        <w:tblLayout w:type="fixed"/>
        <w:tblLook w:val="04A0" w:firstRow="1" w:lastRow="0" w:firstColumn="1" w:lastColumn="0" w:noHBand="0" w:noVBand="1"/>
      </w:tblPr>
      <w:tblGrid>
        <w:gridCol w:w="2300"/>
        <w:gridCol w:w="4000"/>
        <w:gridCol w:w="1550"/>
        <w:gridCol w:w="2008"/>
      </w:tblGrid>
      <w:tr w:rsidR="00E730BB" w:rsidRPr="00E730BB" w14:paraId="78A2B71E" w14:textId="77777777" w:rsidTr="00FC02ED">
        <w:trPr>
          <w:cantSplit/>
          <w:trHeight w:val="346"/>
          <w:tblHeader/>
          <w:jc w:val="center"/>
        </w:trPr>
        <w:tc>
          <w:tcPr>
            <w:tcW w:w="23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F4347AE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6"/>
              </w:rPr>
              <w:t>Variable</w:t>
            </w:r>
          </w:p>
        </w:tc>
        <w:tc>
          <w:tcPr>
            <w:tcW w:w="40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321B055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6"/>
              </w:rPr>
              <w:t>Difference (95% CI)</w:t>
            </w:r>
          </w:p>
        </w:tc>
        <w:tc>
          <w:tcPr>
            <w:tcW w:w="15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E7689B6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6"/>
              </w:rPr>
              <w:t>P value</w:t>
            </w:r>
          </w:p>
        </w:tc>
        <w:tc>
          <w:tcPr>
            <w:tcW w:w="200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48E0D58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6"/>
              </w:rPr>
              <w:t>Holm-adjusted P</w:t>
            </w:r>
          </w:p>
        </w:tc>
      </w:tr>
      <w:tr w:rsidR="00E730BB" w:rsidRPr="00E730BB" w14:paraId="73142DA4" w14:textId="77777777" w:rsidTr="00FC02ED">
        <w:trPr>
          <w:cantSplit/>
          <w:trHeight w:val="401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7E50D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 xml:space="preserve">Preoperative </w:t>
            </w:r>
            <w:proofErr w:type="spellStart"/>
            <w:r w:rsidRPr="00E730BB">
              <w:rPr>
                <w:sz w:val="16"/>
              </w:rPr>
              <w:t>cFFR</w:t>
            </w:r>
            <w:proofErr w:type="spellEnd"/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ACD9B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 xml:space="preserve">0.141 </w:t>
            </w:r>
            <w:r w:rsidRPr="00E730BB">
              <w:rPr>
                <w:sz w:val="16"/>
              </w:rPr>
              <w:t>(0.032–0.249)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EA1C1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0.011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038EA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0.033</w:t>
            </w:r>
          </w:p>
        </w:tc>
      </w:tr>
      <w:tr w:rsidR="00E730BB" w:rsidRPr="00E730BB" w14:paraId="4AF38D94" w14:textId="77777777" w:rsidTr="00FC02ED">
        <w:trPr>
          <w:cantSplit/>
          <w:trHeight w:val="301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7D51A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DF (percentage points)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72F45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−</w:t>
            </w:r>
            <w:r w:rsidRPr="00E730BB">
              <w:rPr>
                <w:sz w:val="16"/>
              </w:rPr>
              <w:t>7.132 (−12.534–−1.730)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D4854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0.010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C8552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0.029</w:t>
            </w:r>
          </w:p>
        </w:tc>
      </w:tr>
      <w:tr w:rsidR="00E730BB" w:rsidRPr="00E730BB" w14:paraId="3A6505D5" w14:textId="77777777" w:rsidTr="00FC02ED">
        <w:trPr>
          <w:cantSplit/>
          <w:trHeight w:val="420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B4B17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RRT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CB9E1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−</w:t>
            </w:r>
            <w:r w:rsidRPr="00E730BB">
              <w:rPr>
                <w:sz w:val="16"/>
              </w:rPr>
              <w:t>0.192 (−8.178–7.794)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39E6A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0.962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132C1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1.000</w:t>
            </w:r>
          </w:p>
        </w:tc>
      </w:tr>
      <w:tr w:rsidR="00E730BB" w:rsidRPr="00E730BB" w14:paraId="2D819A94" w14:textId="77777777" w:rsidTr="00FC02ED">
        <w:trPr>
          <w:cantSplit/>
          <w:trHeight w:val="283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D8F8C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WSS-mean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8DF87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0.878 (−3.712–5.467)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40693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0.708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D08A6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1.000</w:t>
            </w:r>
          </w:p>
        </w:tc>
      </w:tr>
      <w:tr w:rsidR="00E730BB" w:rsidRPr="00E730BB" w14:paraId="3B42B794" w14:textId="77777777" w:rsidTr="00FC02ED">
        <w:trPr>
          <w:cantSplit/>
          <w:trHeight w:val="430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3E42C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WSSG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565F7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2.672 (−9.814–15.159)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5A9D9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0.675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199B7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1.000</w:t>
            </w:r>
          </w:p>
        </w:tc>
      </w:tr>
      <w:tr w:rsidR="00E730BB" w:rsidRPr="00E730BB" w14:paraId="50856D6B" w14:textId="77777777" w:rsidTr="00FC02ED">
        <w:trPr>
          <w:cantSplit/>
          <w:trHeight w:val="422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98827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OSI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8FC68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−</w:t>
            </w:r>
            <w:r w:rsidRPr="00E730BB">
              <w:rPr>
                <w:sz w:val="16"/>
              </w:rPr>
              <w:t>0.010 (−0.056–0.036)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8237C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0.672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60FB5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1.000</w:t>
            </w:r>
          </w:p>
        </w:tc>
      </w:tr>
      <w:tr w:rsidR="00E730BB" w:rsidRPr="00E730BB" w14:paraId="6855FDD8" w14:textId="77777777" w:rsidTr="00FC02ED">
        <w:trPr>
          <w:cantSplit/>
          <w:trHeight w:val="285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37378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APS-mean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19504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−</w:t>
            </w:r>
            <w:r w:rsidRPr="00E730BB">
              <w:rPr>
                <w:sz w:val="16"/>
              </w:rPr>
              <w:t>74.668 (−255.350–106.014)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E8CCC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0.418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C5FD9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1.000</w:t>
            </w:r>
          </w:p>
        </w:tc>
      </w:tr>
      <w:tr w:rsidR="00E730BB" w:rsidRPr="00E730BB" w14:paraId="72534D6D" w14:textId="77777777" w:rsidTr="00FC02ED">
        <w:trPr>
          <w:cantSplit/>
          <w:trHeight w:val="418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8249B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PI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11FAE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−</w:t>
            </w:r>
            <w:r w:rsidRPr="00E730BB">
              <w:rPr>
                <w:sz w:val="16"/>
              </w:rPr>
              <w:t>0.115 (−1.095–0.864)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93A17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0.818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66311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1.000</w:t>
            </w:r>
          </w:p>
        </w:tc>
      </w:tr>
      <w:tr w:rsidR="00E730BB" w:rsidRPr="00E730BB" w14:paraId="5ECB53C1" w14:textId="77777777" w:rsidTr="00FC02ED">
        <w:trPr>
          <w:cantSplit/>
          <w:trHeight w:val="424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E4F07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Negative flow ratio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A7FE9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0.006 (−0.025–0.037)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9C23E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0.700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DBD7D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1.000</w:t>
            </w:r>
          </w:p>
        </w:tc>
      </w:tr>
      <w:tr w:rsidR="00E730BB" w:rsidRPr="00E730BB" w14:paraId="28A24725" w14:textId="77777777" w:rsidTr="00FC02ED">
        <w:trPr>
          <w:cantSplit/>
          <w:trHeight w:val="429"/>
          <w:jc w:val="center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8E9F5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Graft length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4237D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0.358 (−3.399–4.116)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230D3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0.852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7F442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0.852</w:t>
            </w:r>
          </w:p>
        </w:tc>
      </w:tr>
      <w:tr w:rsidR="00E730BB" w:rsidRPr="00E730BB" w14:paraId="08A55EB2" w14:textId="77777777">
        <w:trPr>
          <w:cantSplit/>
          <w:jc w:val="center"/>
        </w:trPr>
        <w:tc>
          <w:tcPr>
            <w:tcW w:w="23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4900EA2" w14:textId="77777777" w:rsidR="00A83684" w:rsidRPr="00E730BB" w:rsidRDefault="00E730BB">
            <w:pPr>
              <w:keepNext/>
              <w:spacing w:after="0"/>
            </w:pPr>
            <w:r w:rsidRPr="00E730BB">
              <w:rPr>
                <w:sz w:val="16"/>
              </w:rPr>
              <w:t>Stenosis length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58E65E5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−</w:t>
            </w:r>
            <w:r w:rsidRPr="00E730BB">
              <w:rPr>
                <w:sz w:val="16"/>
              </w:rPr>
              <w:t>0.823 (−1.775–0.130)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2E7E492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0.090</w:t>
            </w:r>
          </w:p>
        </w:tc>
        <w:tc>
          <w:tcPr>
            <w:tcW w:w="200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538A1D6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0.181</w:t>
            </w:r>
          </w:p>
        </w:tc>
      </w:tr>
    </w:tbl>
    <w:p w14:paraId="4B2E7EDF" w14:textId="77777777" w:rsidR="00A83684" w:rsidRPr="00E730BB" w:rsidRDefault="00E730BB">
      <w:pPr>
        <w:spacing w:after="100"/>
        <w:jc w:val="center"/>
      </w:pPr>
      <w:r w:rsidRPr="00E730BB">
        <w:rPr>
          <w:i/>
          <w:sz w:val="17"/>
        </w:rPr>
        <w:t>Differences are competitive flow minus anastomotic stenosis. Holm correction was applied within prespecified variable families.</w:t>
      </w:r>
    </w:p>
    <w:p w14:paraId="51C6114B" w14:textId="77777777" w:rsidR="00A83684" w:rsidRPr="00E730BB" w:rsidRDefault="00A83684"/>
    <w:p w14:paraId="369253BF" w14:textId="77777777" w:rsidR="00A83684" w:rsidRPr="00E730BB" w:rsidRDefault="00E730BB">
      <w:pPr>
        <w:keepNext/>
        <w:spacing w:after="100"/>
        <w:jc w:val="center"/>
      </w:pPr>
      <w:r w:rsidRPr="00E730BB">
        <w:rPr>
          <w:b/>
        </w:rPr>
        <w:t>Supplementary Table S4. Bootstrap internal-validation metrics.</w:t>
      </w:r>
    </w:p>
    <w:tbl>
      <w:tblPr>
        <w:tblW w:w="9858" w:type="dxa"/>
        <w:jc w:val="center"/>
        <w:tblLayout w:type="fixed"/>
        <w:tblLook w:val="04A0" w:firstRow="1" w:lastRow="0" w:firstColumn="1" w:lastColumn="0" w:noHBand="0" w:noVBand="1"/>
      </w:tblPr>
      <w:tblGrid>
        <w:gridCol w:w="4300"/>
        <w:gridCol w:w="2779"/>
        <w:gridCol w:w="2779"/>
      </w:tblGrid>
      <w:tr w:rsidR="00E730BB" w:rsidRPr="00E730BB" w14:paraId="4538A4B0" w14:textId="77777777" w:rsidTr="00FC02ED">
        <w:trPr>
          <w:cantSplit/>
          <w:trHeight w:val="314"/>
          <w:tblHeader/>
          <w:jc w:val="center"/>
        </w:trPr>
        <w:tc>
          <w:tcPr>
            <w:tcW w:w="43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CD6B34B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6"/>
              </w:rPr>
              <w:t>Metric</w:t>
            </w:r>
          </w:p>
        </w:tc>
        <w:tc>
          <w:tcPr>
            <w:tcW w:w="277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3A93A69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6"/>
              </w:rPr>
              <w:t>LIMA</w:t>
            </w:r>
          </w:p>
        </w:tc>
        <w:tc>
          <w:tcPr>
            <w:tcW w:w="277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E3292DB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6"/>
              </w:rPr>
              <w:t>SVG</w:t>
            </w:r>
          </w:p>
        </w:tc>
      </w:tr>
      <w:tr w:rsidR="00E730BB" w:rsidRPr="00E730BB" w14:paraId="1E40D5B0" w14:textId="77777777" w:rsidTr="00FC02ED">
        <w:trPr>
          <w:cantSplit/>
          <w:trHeight w:val="371"/>
          <w:jc w:val="center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2D891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Bootstrap resamples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B0A57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2,000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89960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2,000</w:t>
            </w:r>
          </w:p>
        </w:tc>
      </w:tr>
      <w:tr w:rsidR="00E730BB" w:rsidRPr="00E730BB" w14:paraId="014CBCA9" w14:textId="77777777" w:rsidTr="00FC02ED">
        <w:trPr>
          <w:cantSplit/>
          <w:trHeight w:val="454"/>
          <w:jc w:val="center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2844D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Successful fits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A3CC3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2,000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9E6EC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1,357</w:t>
            </w:r>
          </w:p>
        </w:tc>
      </w:tr>
      <w:tr w:rsidR="00E730BB" w:rsidRPr="00E730BB" w14:paraId="44564FE2" w14:textId="77777777" w:rsidTr="00FC02ED">
        <w:trPr>
          <w:cantSplit/>
          <w:trHeight w:val="301"/>
          <w:jc w:val="center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E5976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Failed fits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AFB4F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7B2E2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643</w:t>
            </w:r>
          </w:p>
        </w:tc>
      </w:tr>
      <w:tr w:rsidR="00E730BB" w:rsidRPr="00E730BB" w14:paraId="3D777B86" w14:textId="77777777" w:rsidTr="00FC02ED">
        <w:trPr>
          <w:cantSplit/>
          <w:trHeight w:val="420"/>
          <w:jc w:val="center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36B64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Fitting success rate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BB073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100%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CEC72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67.85%</w:t>
            </w:r>
          </w:p>
        </w:tc>
      </w:tr>
      <w:tr w:rsidR="00E730BB" w:rsidRPr="00E730BB" w14:paraId="17565FB7" w14:textId="77777777" w:rsidTr="00FC02ED">
        <w:trPr>
          <w:cantSplit/>
          <w:trHeight w:val="428"/>
          <w:jc w:val="center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AA0AB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Apparent AUC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2838F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0.721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DCAB6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0.772</w:t>
            </w:r>
          </w:p>
        </w:tc>
      </w:tr>
      <w:tr w:rsidR="00E730BB" w:rsidRPr="00E730BB" w14:paraId="583D8316" w14:textId="77777777" w:rsidTr="00FC02ED">
        <w:trPr>
          <w:cantSplit/>
          <w:trHeight w:val="419"/>
          <w:jc w:val="center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2C0C7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Optimism-corrected AUC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A6F34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0.653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900B9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0.703</w:t>
            </w:r>
          </w:p>
        </w:tc>
      </w:tr>
      <w:tr w:rsidR="00E730BB" w:rsidRPr="00E730BB" w14:paraId="746FFDE5" w14:textId="77777777" w:rsidTr="00FC02ED">
        <w:trPr>
          <w:cantSplit/>
          <w:trHeight w:val="425"/>
          <w:jc w:val="center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AC094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Apparent Brier score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AC296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0.184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7BFA6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0.123</w:t>
            </w:r>
          </w:p>
        </w:tc>
      </w:tr>
      <w:tr w:rsidR="00E730BB" w:rsidRPr="00E730BB" w14:paraId="1CFD95ED" w14:textId="77777777" w:rsidTr="00FC02ED">
        <w:trPr>
          <w:cantSplit/>
          <w:trHeight w:val="418"/>
          <w:jc w:val="center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C3C0C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Optimism-corrected Brier score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84397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0.215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5F0A5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0.144</w:t>
            </w:r>
          </w:p>
        </w:tc>
      </w:tr>
      <w:tr w:rsidR="00E730BB" w:rsidRPr="00E730BB" w14:paraId="29C3BF28" w14:textId="77777777" w:rsidTr="00FC02ED">
        <w:trPr>
          <w:cantSplit/>
          <w:trHeight w:val="437"/>
          <w:jc w:val="center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D707A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 xml:space="preserve">Apparent calibration </w:t>
            </w:r>
            <w:r w:rsidRPr="00E730BB">
              <w:rPr>
                <w:sz w:val="16"/>
              </w:rPr>
              <w:t>intercept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0C7D2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0.000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E926B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0.110</w:t>
            </w:r>
          </w:p>
        </w:tc>
      </w:tr>
      <w:tr w:rsidR="00E730BB" w:rsidRPr="00E730BB" w14:paraId="514648EF" w14:textId="77777777" w:rsidTr="00FC02ED">
        <w:trPr>
          <w:cantSplit/>
          <w:trHeight w:val="429"/>
          <w:jc w:val="center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9226B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Corrected calibration intercept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A4841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0.001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28FE0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0.114</w:t>
            </w:r>
          </w:p>
        </w:tc>
      </w:tr>
      <w:tr w:rsidR="00E730BB" w:rsidRPr="00E730BB" w14:paraId="7AA06DCD" w14:textId="77777777" w:rsidTr="00FC02ED">
        <w:trPr>
          <w:cantSplit/>
          <w:trHeight w:val="421"/>
          <w:jc w:val="center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8DA62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Apparent calibration slope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EA81C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1.000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41116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1.126</w:t>
            </w:r>
          </w:p>
        </w:tc>
      </w:tr>
      <w:tr w:rsidR="00E730BB" w:rsidRPr="00E730BB" w14:paraId="3F701865" w14:textId="77777777">
        <w:trPr>
          <w:cantSplit/>
          <w:jc w:val="center"/>
        </w:trPr>
        <w:tc>
          <w:tcPr>
            <w:tcW w:w="43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7A15891" w14:textId="77777777" w:rsidR="00A83684" w:rsidRPr="00E730BB" w:rsidRDefault="00E730BB">
            <w:pPr>
              <w:keepNext/>
              <w:spacing w:after="0"/>
            </w:pPr>
            <w:r w:rsidRPr="00E730BB">
              <w:rPr>
                <w:sz w:val="16"/>
              </w:rPr>
              <w:t>Corrected calibration slope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3CF9FB3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0.645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F2E5498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0.752</w:t>
            </w:r>
          </w:p>
        </w:tc>
      </w:tr>
    </w:tbl>
    <w:p w14:paraId="4A64B7FA" w14:textId="77777777" w:rsidR="00A83684" w:rsidRPr="00E730BB" w:rsidRDefault="00E730BB">
      <w:pPr>
        <w:spacing w:after="100"/>
        <w:jc w:val="center"/>
      </w:pPr>
      <w:r w:rsidRPr="00E730BB">
        <w:rPr>
          <w:i/>
          <w:sz w:val="17"/>
        </w:rPr>
        <w:t>SVG validation used patient-cluster bootstrap resampling.</w:t>
      </w:r>
    </w:p>
    <w:p w14:paraId="14F2D122" w14:textId="77777777" w:rsidR="00A83684" w:rsidRPr="00E730BB" w:rsidRDefault="00A83684"/>
    <w:p w14:paraId="424DBAA0" w14:textId="77777777" w:rsidR="00A83684" w:rsidRPr="00E730BB" w:rsidRDefault="00E730BB">
      <w:pPr>
        <w:keepNext/>
        <w:spacing w:after="100"/>
        <w:jc w:val="center"/>
      </w:pPr>
      <w:r w:rsidRPr="00E730BB">
        <w:rPr>
          <w:b/>
        </w:rPr>
        <w:t xml:space="preserve">Supplementary Table S5. </w:t>
      </w:r>
      <w:r w:rsidRPr="00E730BB">
        <w:rPr>
          <w:b/>
        </w:rPr>
        <w:t>Model-diagnostic assessment.</w:t>
      </w:r>
    </w:p>
    <w:tbl>
      <w:tblPr>
        <w:tblW w:w="9858" w:type="dxa"/>
        <w:jc w:val="center"/>
        <w:tblLayout w:type="fixed"/>
        <w:tblLook w:val="04A0" w:firstRow="1" w:lastRow="0" w:firstColumn="1" w:lastColumn="0" w:noHBand="0" w:noVBand="1"/>
      </w:tblPr>
      <w:tblGrid>
        <w:gridCol w:w="2400"/>
        <w:gridCol w:w="3300"/>
        <w:gridCol w:w="4158"/>
      </w:tblGrid>
      <w:tr w:rsidR="00E730BB" w:rsidRPr="00E730BB" w14:paraId="10BA071A" w14:textId="77777777" w:rsidTr="00FC02ED">
        <w:trPr>
          <w:cantSplit/>
          <w:trHeight w:val="403"/>
          <w:tblHeader/>
          <w:jc w:val="center"/>
        </w:trPr>
        <w:tc>
          <w:tcPr>
            <w:tcW w:w="24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7151CB4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6"/>
              </w:rPr>
              <w:t>Diagnostic domain</w:t>
            </w:r>
          </w:p>
        </w:tc>
        <w:tc>
          <w:tcPr>
            <w:tcW w:w="33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FFAFC9B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6"/>
              </w:rPr>
              <w:t>LIMA logistic model</w:t>
            </w:r>
          </w:p>
        </w:tc>
        <w:tc>
          <w:tcPr>
            <w:tcW w:w="415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AB9B0A3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6"/>
              </w:rPr>
              <w:t>SVG Firth-type PGEE model</w:t>
            </w:r>
          </w:p>
        </w:tc>
      </w:tr>
      <w:tr w:rsidR="00E730BB" w:rsidRPr="00E730BB" w14:paraId="5B2776F8" w14:textId="77777777" w:rsidTr="00FC02ED">
        <w:trPr>
          <w:cantSplit/>
          <w:trHeight w:val="405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F3887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 xml:space="preserve">Linearity: preoperative </w:t>
            </w:r>
            <w:proofErr w:type="spellStart"/>
            <w:r w:rsidRPr="00E730BB">
              <w:rPr>
                <w:sz w:val="16"/>
              </w:rPr>
              <w:t>cFFR</w:t>
            </w:r>
            <w:proofErr w:type="spellEnd"/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862D8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Potential nonlinearity; P=0.003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4BD1A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Not reliably assessable because of nonconvergence</w:t>
            </w:r>
          </w:p>
        </w:tc>
      </w:tr>
      <w:tr w:rsidR="00E730BB" w:rsidRPr="00E730BB" w14:paraId="028705D3" w14:textId="77777777" w:rsidTr="00FC02ED">
        <w:trPr>
          <w:cantSplit/>
          <w:trHeight w:val="29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BF0EC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Linearity: PI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645A2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No clear evidence; P=0.474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A1EA9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 xml:space="preserve">No </w:t>
            </w:r>
            <w:r w:rsidRPr="00E730BB">
              <w:rPr>
                <w:sz w:val="16"/>
              </w:rPr>
              <w:t>clear evidence</w:t>
            </w:r>
          </w:p>
        </w:tc>
      </w:tr>
      <w:tr w:rsidR="00E730BB" w:rsidRPr="00E730BB" w14:paraId="0FD407EF" w14:textId="77777777" w:rsidTr="00FC02ED">
        <w:trPr>
          <w:cantSplit/>
          <w:trHeight w:val="293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72D9F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Linearity: DF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DE88E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No clear evidence; P=0.895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F7E7B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Extended model did not converge after 500 iterations</w:t>
            </w:r>
          </w:p>
        </w:tc>
      </w:tr>
      <w:tr w:rsidR="00E730BB" w:rsidRPr="00E730BB" w14:paraId="3AC20BA0" w14:textId="77777777" w:rsidTr="00FC02ED">
        <w:trPr>
          <w:cantSplit/>
          <w:trHeight w:val="270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107BB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Linearity: graft length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27BB4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No clear evidence; P=0.324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0A25F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Potential nonlinearity; P=0.031</w:t>
            </w:r>
          </w:p>
        </w:tc>
      </w:tr>
      <w:tr w:rsidR="00E730BB" w:rsidRPr="00E730BB" w14:paraId="389C48B1" w14:textId="77777777" w:rsidTr="00FC02ED">
        <w:trPr>
          <w:cantSplit/>
          <w:trHeight w:val="431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4CF5E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Linearity: stenosis length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4259D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No clear evidence; P=0.130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3B10E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 xml:space="preserve">No </w:t>
            </w:r>
            <w:r w:rsidRPr="00E730BB">
              <w:rPr>
                <w:sz w:val="16"/>
              </w:rPr>
              <w:t>clear evidence</w:t>
            </w:r>
          </w:p>
        </w:tc>
      </w:tr>
      <w:tr w:rsidR="00E730BB" w:rsidRPr="00E730BB" w14:paraId="693F485B" w14:textId="77777777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D89A3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Multicollinearity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61C29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All VIFs &lt;1.3; max condition index 1.648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34AF4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All VIFs &lt;1.5; max condition index 1.911</w:t>
            </w:r>
          </w:p>
        </w:tc>
      </w:tr>
      <w:tr w:rsidR="00E730BB" w:rsidRPr="00E730BB" w14:paraId="6D18F6E5" w14:textId="77777777" w:rsidTr="00FC02ED">
        <w:trPr>
          <w:cantSplit/>
          <w:trHeight w:val="353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7C378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Influence analysis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2A875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Leave-one-observation-out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596D9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Leave-one-patient-out</w:t>
            </w:r>
          </w:p>
        </w:tc>
      </w:tr>
      <w:tr w:rsidR="00E730BB" w:rsidRPr="00E730BB" w14:paraId="3F65B83C" w14:textId="77777777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496F7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Main influence finding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0719A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 xml:space="preserve">Preoperative cFFR coefficient remained </w:t>
            </w:r>
            <w:r w:rsidRPr="00E730BB">
              <w:rPr>
                <w:sz w:val="16"/>
              </w:rPr>
              <w:t>positive and statistically significant in all refits.</w:t>
            </w:r>
          </w:p>
        </w:tc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2DBC4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Directions generally stable; some P values crossed 0.05</w:t>
            </w:r>
          </w:p>
        </w:tc>
      </w:tr>
      <w:tr w:rsidR="00E730BB" w:rsidRPr="00E730BB" w14:paraId="6E3789D1" w14:textId="77777777">
        <w:trPr>
          <w:cantSplit/>
          <w:jc w:val="center"/>
        </w:trPr>
        <w:tc>
          <w:tcPr>
            <w:tcW w:w="24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C599AF5" w14:textId="77777777" w:rsidR="00A83684" w:rsidRPr="00E730BB" w:rsidRDefault="00E730BB">
            <w:pPr>
              <w:keepNext/>
              <w:spacing w:after="0"/>
            </w:pPr>
            <w:r w:rsidRPr="00E730BB">
              <w:rPr>
                <w:sz w:val="16"/>
              </w:rPr>
              <w:t>Hosmer–</w:t>
            </w:r>
            <w:proofErr w:type="spellStart"/>
            <w:r w:rsidRPr="00E730BB">
              <w:rPr>
                <w:sz w:val="16"/>
              </w:rPr>
              <w:t>Lemeshow</w:t>
            </w:r>
            <w:proofErr w:type="spellEnd"/>
          </w:p>
        </w:tc>
        <w:tc>
          <w:tcPr>
            <w:tcW w:w="33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49A7594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χ²=6.153, df=8, P=0.630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49DA108" w14:textId="77777777" w:rsidR="00A83684" w:rsidRPr="00E730BB" w:rsidRDefault="00E730BB">
            <w:pPr>
              <w:spacing w:after="0"/>
            </w:pPr>
            <w:r w:rsidRPr="00E730BB">
              <w:rPr>
                <w:sz w:val="16"/>
              </w:rPr>
              <w:t>Not applied because of clustering and penalized PGEE</w:t>
            </w:r>
          </w:p>
        </w:tc>
      </w:tr>
    </w:tbl>
    <w:p w14:paraId="63AF15ED" w14:textId="77777777" w:rsidR="00A83684" w:rsidRPr="00E730BB" w:rsidRDefault="00E730BB">
      <w:pPr>
        <w:spacing w:after="100"/>
        <w:jc w:val="center"/>
      </w:pPr>
      <w:r w:rsidRPr="00E730BB">
        <w:rPr>
          <w:i/>
          <w:sz w:val="17"/>
        </w:rPr>
        <w:t xml:space="preserve">No observation or patient cluster was </w:t>
      </w:r>
      <w:r w:rsidRPr="00E730BB">
        <w:rPr>
          <w:i/>
          <w:sz w:val="17"/>
        </w:rPr>
        <w:t>removed from the primary analysis on the basis of diagnostic findings.</w:t>
      </w:r>
    </w:p>
    <w:p w14:paraId="4EE920CE" w14:textId="77777777" w:rsidR="00A83684" w:rsidRPr="00E730BB" w:rsidRDefault="00A83684"/>
    <w:p w14:paraId="609C5467" w14:textId="77777777" w:rsidR="00A83684" w:rsidRPr="00E730BB" w:rsidRDefault="00E730BB">
      <w:pPr>
        <w:keepNext/>
        <w:spacing w:after="100"/>
        <w:jc w:val="center"/>
      </w:pPr>
      <w:r w:rsidRPr="00E730BB">
        <w:rPr>
          <w:b/>
        </w:rPr>
        <w:t>Supplementary Table S6. SVG bootstrap coefficient-direction consistency.</w:t>
      </w:r>
    </w:p>
    <w:tbl>
      <w:tblPr>
        <w:tblW w:w="9858" w:type="dxa"/>
        <w:jc w:val="center"/>
        <w:tblLayout w:type="fixed"/>
        <w:tblLook w:val="04A0" w:firstRow="1" w:lastRow="0" w:firstColumn="1" w:lastColumn="0" w:noHBand="0" w:noVBand="1"/>
      </w:tblPr>
      <w:tblGrid>
        <w:gridCol w:w="4000"/>
        <w:gridCol w:w="5858"/>
      </w:tblGrid>
      <w:tr w:rsidR="00E730BB" w:rsidRPr="00E730BB" w14:paraId="11F65AE8" w14:textId="77777777">
        <w:trPr>
          <w:cantSplit/>
          <w:tblHeader/>
          <w:jc w:val="center"/>
        </w:trPr>
        <w:tc>
          <w:tcPr>
            <w:tcW w:w="40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A7351F1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8"/>
              </w:rPr>
              <w:t>Variable</w:t>
            </w:r>
          </w:p>
        </w:tc>
        <w:tc>
          <w:tcPr>
            <w:tcW w:w="585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51B436C" w14:textId="77777777" w:rsidR="00A83684" w:rsidRPr="00E730BB" w:rsidRDefault="00E730BB">
            <w:pPr>
              <w:spacing w:after="0"/>
            </w:pPr>
            <w:r w:rsidRPr="00E730BB">
              <w:rPr>
                <w:b/>
                <w:sz w:val="18"/>
              </w:rPr>
              <w:t>Bootstrap coefficient-direction consistency</w:t>
            </w:r>
          </w:p>
        </w:tc>
      </w:tr>
      <w:tr w:rsidR="00E730BB" w:rsidRPr="00E730BB" w14:paraId="5B2355FB" w14:textId="77777777">
        <w:trPr>
          <w:cantSplit/>
          <w:jc w:val="center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A3380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DF</w:t>
            </w:r>
          </w:p>
        </w:tc>
        <w:tc>
          <w:tcPr>
            <w:tcW w:w="5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67856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98.6%</w:t>
            </w:r>
          </w:p>
        </w:tc>
      </w:tr>
      <w:tr w:rsidR="00E730BB" w:rsidRPr="00E730BB" w14:paraId="7C390F84" w14:textId="77777777">
        <w:trPr>
          <w:cantSplit/>
          <w:jc w:val="center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656BF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 xml:space="preserve">Preoperative </w:t>
            </w:r>
            <w:proofErr w:type="spellStart"/>
            <w:r w:rsidRPr="00E730BB">
              <w:rPr>
                <w:sz w:val="18"/>
              </w:rPr>
              <w:t>cFFR</w:t>
            </w:r>
            <w:proofErr w:type="spellEnd"/>
          </w:p>
        </w:tc>
        <w:tc>
          <w:tcPr>
            <w:tcW w:w="5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AD20E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96.5%</w:t>
            </w:r>
          </w:p>
        </w:tc>
      </w:tr>
      <w:tr w:rsidR="00E730BB" w:rsidRPr="00E730BB" w14:paraId="7F95B959" w14:textId="77777777">
        <w:trPr>
          <w:cantSplit/>
          <w:jc w:val="center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53024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PI</w:t>
            </w:r>
          </w:p>
        </w:tc>
        <w:tc>
          <w:tcPr>
            <w:tcW w:w="5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4B237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87.2%</w:t>
            </w:r>
          </w:p>
        </w:tc>
      </w:tr>
      <w:tr w:rsidR="00E730BB" w:rsidRPr="00E730BB" w14:paraId="76EF8DA8" w14:textId="77777777">
        <w:trPr>
          <w:cantSplit/>
          <w:jc w:val="center"/>
        </w:trPr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49593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Stenosis length</w:t>
            </w:r>
          </w:p>
        </w:tc>
        <w:tc>
          <w:tcPr>
            <w:tcW w:w="58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B0730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84.5%</w:t>
            </w:r>
          </w:p>
        </w:tc>
      </w:tr>
      <w:tr w:rsidR="00E730BB" w:rsidRPr="00E730BB" w14:paraId="0B827B8B" w14:textId="77777777">
        <w:trPr>
          <w:cantSplit/>
          <w:jc w:val="center"/>
        </w:trPr>
        <w:tc>
          <w:tcPr>
            <w:tcW w:w="4000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F1A6256" w14:textId="77777777" w:rsidR="00A83684" w:rsidRPr="00E730BB" w:rsidRDefault="00E730BB">
            <w:pPr>
              <w:keepNext/>
              <w:spacing w:after="0"/>
            </w:pPr>
            <w:r w:rsidRPr="00E730BB">
              <w:rPr>
                <w:sz w:val="18"/>
              </w:rPr>
              <w:t>Graft length</w:t>
            </w:r>
          </w:p>
        </w:tc>
        <w:tc>
          <w:tcPr>
            <w:tcW w:w="585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23B6446" w14:textId="77777777" w:rsidR="00A83684" w:rsidRPr="00E730BB" w:rsidRDefault="00E730BB">
            <w:pPr>
              <w:spacing w:after="0"/>
            </w:pPr>
            <w:r w:rsidRPr="00E730BB">
              <w:rPr>
                <w:sz w:val="18"/>
              </w:rPr>
              <w:t>48.2%</w:t>
            </w:r>
          </w:p>
        </w:tc>
      </w:tr>
    </w:tbl>
    <w:p w14:paraId="27CA3A1F" w14:textId="77777777" w:rsidR="00A83684" w:rsidRPr="00E730BB" w:rsidRDefault="00E730BB">
      <w:pPr>
        <w:spacing w:after="100"/>
        <w:jc w:val="center"/>
      </w:pPr>
      <w:r w:rsidRPr="00E730BB">
        <w:rPr>
          <w:i/>
          <w:sz w:val="17"/>
        </w:rPr>
        <w:t>Percentages were calculated among successfully fitted SVG bootstrap models.</w:t>
      </w:r>
    </w:p>
    <w:p w14:paraId="14247AB3" w14:textId="77777777" w:rsidR="00A83684" w:rsidRPr="00E730BB" w:rsidRDefault="00A83684"/>
    <w:p w14:paraId="1DD2FEFB" w14:textId="7FFF387C" w:rsidR="00A83684" w:rsidRPr="00E730BB" w:rsidRDefault="00E730BB" w:rsidP="00FC02ED">
      <w:r w:rsidRPr="00E730BB">
        <w:br w:type="page"/>
      </w:r>
      <w:r w:rsidRPr="00E730BB">
        <w:rPr>
          <w:b/>
          <w:sz w:val="30"/>
        </w:rPr>
        <w:t>Supplementary Figures</w:t>
      </w:r>
    </w:p>
    <w:p w14:paraId="428CB47B" w14:textId="77777777" w:rsidR="00A83684" w:rsidRPr="00E730BB" w:rsidRDefault="00E730BB">
      <w:pPr>
        <w:keepNext/>
        <w:spacing w:after="60"/>
        <w:jc w:val="center"/>
      </w:pPr>
      <w:r w:rsidRPr="00E730BB">
        <w:rPr>
          <w:noProof/>
        </w:rPr>
        <w:drawing>
          <wp:inline distT="0" distB="0" distL="0" distR="0" wp14:anchorId="27B6DD9B" wp14:editId="2D60422D">
            <wp:extent cx="5832043" cy="453603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1_LIMA postoperative cFFR distribution_HD_1200dpi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43" cy="453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4AF99" w14:textId="77777777" w:rsidR="00A83684" w:rsidRPr="00E730BB" w:rsidRDefault="00E730BB">
      <w:pPr>
        <w:spacing w:after="100"/>
        <w:jc w:val="center"/>
      </w:pPr>
      <w:r w:rsidRPr="00E730BB">
        <w:rPr>
          <w:sz w:val="18"/>
        </w:rPr>
        <w:t>Supplementary Figure S1. Distribution of postoperative cFFR in the 86 low-flow LIMA grafts.</w:t>
      </w:r>
    </w:p>
    <w:p w14:paraId="328FE59A" w14:textId="77777777" w:rsidR="00A83684" w:rsidRPr="00E730BB" w:rsidRDefault="00E730BB">
      <w:pPr>
        <w:rPr>
          <w:lang w:eastAsia="zh-CN"/>
        </w:rPr>
      </w:pPr>
      <w:r w:rsidRPr="00E730BB">
        <w:rPr>
          <w:lang w:eastAsia="zh-CN"/>
        </w:rPr>
        <w:br w:type="page"/>
      </w:r>
    </w:p>
    <w:p w14:paraId="55682288" w14:textId="77777777" w:rsidR="00A83684" w:rsidRPr="00E730BB" w:rsidRDefault="00E730BB">
      <w:pPr>
        <w:keepNext/>
        <w:spacing w:after="60"/>
        <w:jc w:val="center"/>
      </w:pPr>
      <w:r w:rsidRPr="00E730BB">
        <w:rPr>
          <w:noProof/>
        </w:rPr>
        <w:drawing>
          <wp:inline distT="0" distB="0" distL="0" distR="0" wp14:anchorId="60D77B08" wp14:editId="4597D512">
            <wp:extent cx="5832043" cy="453603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2_SVG postoperative cFFR distribution_HD_1200dp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43" cy="4536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1903A" w14:textId="77777777" w:rsidR="00A83684" w:rsidRPr="00E730BB" w:rsidRDefault="00E730BB">
      <w:pPr>
        <w:spacing w:after="100"/>
        <w:jc w:val="center"/>
      </w:pPr>
      <w:r w:rsidRPr="00E730BB">
        <w:rPr>
          <w:sz w:val="18"/>
        </w:rPr>
        <w:t>Supplementary Figure S2. Distribution of postoperative cFFR in the 84 low-flow SVG grafts.</w:t>
      </w:r>
    </w:p>
    <w:p w14:paraId="49D587AA" w14:textId="77777777" w:rsidR="00A83684" w:rsidRPr="00E730BB" w:rsidRDefault="00E730BB">
      <w:pPr>
        <w:rPr>
          <w:lang w:eastAsia="zh-CN"/>
        </w:rPr>
      </w:pPr>
      <w:r w:rsidRPr="00E730BB">
        <w:rPr>
          <w:lang w:eastAsia="zh-CN"/>
        </w:rPr>
        <w:br w:type="page"/>
      </w:r>
    </w:p>
    <w:p w14:paraId="31AC5D1B" w14:textId="77777777" w:rsidR="00A83684" w:rsidRPr="00E730BB" w:rsidRDefault="00E730BB">
      <w:pPr>
        <w:keepNext/>
        <w:spacing w:after="60"/>
        <w:jc w:val="center"/>
      </w:pPr>
      <w:r w:rsidRPr="00E730BB">
        <w:rPr>
          <w:noProof/>
        </w:rPr>
        <w:drawing>
          <wp:inline distT="0" distB="0" distL="0" distR="0" wp14:anchorId="58D1C918" wp14:editId="031C9263">
            <wp:extent cx="5832043" cy="5301857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5_LIMA residual Q-Q plot_HD_1200dpi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2043" cy="5301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CAFFF" w14:textId="77777777" w:rsidR="00A83684" w:rsidRPr="00E730BB" w:rsidRDefault="00E730BB">
      <w:pPr>
        <w:keepLines/>
        <w:spacing w:after="120"/>
        <w:jc w:val="center"/>
      </w:pPr>
      <w:r w:rsidRPr="00E730BB">
        <w:rPr>
          <w:rFonts w:ascii="Arial" w:eastAsia="Arial" w:hAnsi="Arial"/>
          <w:sz w:val="18"/>
        </w:rPr>
        <w:t>Supplementary Figure S3. Residual Q–Q plot for the LIMA continuous-cFFR multivariable model.</w:t>
      </w:r>
    </w:p>
    <w:p w14:paraId="2D77AD3E" w14:textId="77777777" w:rsidR="00A83684" w:rsidRPr="00E730BB" w:rsidRDefault="00E730BB">
      <w:pPr>
        <w:rPr>
          <w:lang w:eastAsia="zh-CN"/>
        </w:rPr>
      </w:pPr>
      <w:r w:rsidRPr="00E730BB">
        <w:rPr>
          <w:lang w:eastAsia="zh-CN"/>
        </w:rPr>
        <w:br w:type="page"/>
      </w:r>
    </w:p>
    <w:p w14:paraId="633DF87E" w14:textId="77777777" w:rsidR="00A83684" w:rsidRPr="00E730BB" w:rsidRDefault="00E730BB">
      <w:pPr>
        <w:keepNext/>
        <w:spacing w:after="60"/>
        <w:jc w:val="center"/>
      </w:pPr>
      <w:r w:rsidRPr="00E730BB">
        <w:rPr>
          <w:noProof/>
        </w:rPr>
        <w:drawing>
          <wp:inline distT="0" distB="0" distL="0" distR="0" wp14:anchorId="7A288C52" wp14:editId="009C1404">
            <wp:extent cx="5832043" cy="317331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6_LIMA continuous cFFR coefficient plot_preoperative_cFFR_HD_1200dpi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32043" cy="317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2D2DD" w14:textId="77777777" w:rsidR="00A83684" w:rsidRPr="00E730BB" w:rsidRDefault="00E730BB">
      <w:pPr>
        <w:spacing w:after="100"/>
        <w:jc w:val="center"/>
      </w:pPr>
      <w:r w:rsidRPr="00E730BB">
        <w:rPr>
          <w:sz w:val="18"/>
        </w:rPr>
        <w:t>Supplementary Figure S4. Coefficient plot for the LIMA continuou</w:t>
      </w:r>
      <w:r w:rsidRPr="00E730BB">
        <w:rPr>
          <w:sz w:val="18"/>
        </w:rPr>
        <w:t>s-cFFR multivariable model.</w:t>
      </w:r>
    </w:p>
    <w:p w14:paraId="0D9A793D" w14:textId="77777777" w:rsidR="00A83684" w:rsidRPr="00E730BB" w:rsidRDefault="00E730BB">
      <w:pPr>
        <w:rPr>
          <w:lang w:eastAsia="zh-CN"/>
        </w:rPr>
      </w:pPr>
      <w:r w:rsidRPr="00E730BB">
        <w:rPr>
          <w:lang w:eastAsia="zh-CN"/>
        </w:rPr>
        <w:br w:type="page"/>
      </w:r>
    </w:p>
    <w:p w14:paraId="7A29E3A3" w14:textId="77777777" w:rsidR="00A83684" w:rsidRPr="00E730BB" w:rsidRDefault="00E730BB">
      <w:pPr>
        <w:keepNext/>
        <w:spacing w:after="60"/>
        <w:jc w:val="center"/>
      </w:pPr>
      <w:r w:rsidRPr="00E730BB">
        <w:rPr>
          <w:noProof/>
        </w:rPr>
        <w:drawing>
          <wp:inline distT="0" distB="0" distL="0" distR="0" wp14:anchorId="7EB888FC" wp14:editId="086C19D9">
            <wp:extent cx="5832043" cy="3173318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7_SVG continuous cFFR coefficient plot_preoperative_cFFR_HD_1200dpi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32043" cy="317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ED32F" w14:textId="77777777" w:rsidR="00A83684" w:rsidRPr="00E730BB" w:rsidRDefault="00E730BB">
      <w:pPr>
        <w:spacing w:after="100"/>
        <w:jc w:val="center"/>
      </w:pPr>
      <w:r w:rsidRPr="00E730BB">
        <w:rPr>
          <w:sz w:val="18"/>
        </w:rPr>
        <w:t>Supplementary Figure S5. Coefficient plot for the SVG continuous-cFFR Gaussian GEE model.</w:t>
      </w:r>
    </w:p>
    <w:p w14:paraId="23BDA0E8" w14:textId="77777777" w:rsidR="00A83684" w:rsidRPr="00E730BB" w:rsidRDefault="00E730BB">
      <w:r w:rsidRPr="00E730BB">
        <w:br w:type="page"/>
      </w:r>
    </w:p>
    <w:p w14:paraId="3CD2A4F2" w14:textId="77777777" w:rsidR="00A83684" w:rsidRPr="00E730BB" w:rsidRDefault="00E730BB">
      <w:pPr>
        <w:keepNext/>
        <w:spacing w:after="60"/>
        <w:jc w:val="center"/>
      </w:pPr>
      <w:r w:rsidRPr="00E730BB">
        <w:rPr>
          <w:noProof/>
        </w:rPr>
        <w:drawing>
          <wp:inline distT="0" distB="0" distL="0" distR="0" wp14:anchorId="362840DF" wp14:editId="414D76D7">
            <wp:extent cx="5832043" cy="4771672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8_SVG cluster size distribution_HD_1200dpi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32043" cy="4771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EA862" w14:textId="77777777" w:rsidR="00A83684" w:rsidRPr="00E730BB" w:rsidRDefault="00E730BB">
      <w:pPr>
        <w:spacing w:after="100"/>
        <w:jc w:val="center"/>
      </w:pPr>
      <w:r w:rsidRPr="00E730BB">
        <w:rPr>
          <w:sz w:val="18"/>
        </w:rPr>
        <w:t>Supplementary Figure S6. Distribution of the number of SVG grafts contributed per patient in the strict binary-analysis dataset.</w:t>
      </w:r>
    </w:p>
    <w:p w14:paraId="7E36E626" w14:textId="77777777" w:rsidR="00A83684" w:rsidRPr="00E730BB" w:rsidRDefault="00E730BB">
      <w:pPr>
        <w:rPr>
          <w:lang w:eastAsia="zh-CN"/>
        </w:rPr>
      </w:pPr>
      <w:r w:rsidRPr="00E730BB">
        <w:rPr>
          <w:lang w:eastAsia="zh-CN"/>
        </w:rPr>
        <w:br w:type="page"/>
      </w:r>
    </w:p>
    <w:p w14:paraId="1B2832E6" w14:textId="77777777" w:rsidR="00A83684" w:rsidRPr="00E730BB" w:rsidRDefault="00E730BB">
      <w:pPr>
        <w:keepNext/>
        <w:spacing w:after="60"/>
        <w:jc w:val="center"/>
      </w:pPr>
      <w:r w:rsidRPr="00E730BB">
        <w:rPr>
          <w:noProof/>
        </w:rPr>
        <w:drawing>
          <wp:inline distT="0" distB="0" distL="0" distR="0" wp14:anchorId="53D4E90D" wp14:editId="29FD747C">
            <wp:extent cx="5832043" cy="4771672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9_SVG within-patient phenotype composition_HD_1200dpi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32043" cy="4771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55507" w14:textId="77777777" w:rsidR="00A83684" w:rsidRPr="00E730BB" w:rsidRDefault="00E730BB">
      <w:pPr>
        <w:spacing w:after="100"/>
        <w:jc w:val="center"/>
      </w:pPr>
      <w:r w:rsidRPr="00E730BB">
        <w:rPr>
          <w:sz w:val="18"/>
        </w:rPr>
        <w:t>Supplementary Figure S7. Within-patient composition of SVG binary phenotypes.</w:t>
      </w:r>
    </w:p>
    <w:p w14:paraId="6873384E" w14:textId="77777777" w:rsidR="00A83684" w:rsidRPr="00E730BB" w:rsidRDefault="00E730BB">
      <w:pPr>
        <w:rPr>
          <w:lang w:eastAsia="zh-CN"/>
        </w:rPr>
      </w:pPr>
      <w:r w:rsidRPr="00E730BB">
        <w:rPr>
          <w:lang w:eastAsia="zh-CN"/>
        </w:rPr>
        <w:br w:type="page"/>
      </w:r>
    </w:p>
    <w:p w14:paraId="2743E480" w14:textId="77777777" w:rsidR="00A83684" w:rsidRPr="00E730BB" w:rsidRDefault="00E730BB">
      <w:pPr>
        <w:keepNext/>
        <w:spacing w:after="60"/>
        <w:jc w:val="center"/>
      </w:pPr>
      <w:r w:rsidRPr="00E730BB">
        <w:rPr>
          <w:noProof/>
        </w:rPr>
        <w:drawing>
          <wp:inline distT="0" distB="0" distL="0" distR="0" wp14:anchorId="7B6A8DF0" wp14:editId="41D428AC">
            <wp:extent cx="5832043" cy="3596427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10_SVG binary-model comparison_preoperative_cFFR_HD_1200dpi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32043" cy="359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1C602" w14:textId="77777777" w:rsidR="00A83684" w:rsidRPr="00E730BB" w:rsidRDefault="00E730BB">
      <w:pPr>
        <w:spacing w:after="100"/>
        <w:jc w:val="center"/>
      </w:pPr>
      <w:r w:rsidRPr="00E730BB">
        <w:rPr>
          <w:sz w:val="18"/>
        </w:rPr>
        <w:t>Supplementary Figure S8. Comparison of effect estimates across alternative SVG binary models.</w:t>
      </w:r>
    </w:p>
    <w:p w14:paraId="108884C5" w14:textId="77777777" w:rsidR="00A83684" w:rsidRPr="00E730BB" w:rsidRDefault="00E730BB">
      <w:pPr>
        <w:rPr>
          <w:lang w:eastAsia="zh-CN"/>
        </w:rPr>
      </w:pPr>
      <w:r w:rsidRPr="00E730BB">
        <w:rPr>
          <w:lang w:eastAsia="zh-CN"/>
        </w:rPr>
        <w:br w:type="page"/>
      </w:r>
    </w:p>
    <w:p w14:paraId="605A24E0" w14:textId="77777777" w:rsidR="00A83684" w:rsidRPr="00E730BB" w:rsidRDefault="00E730BB">
      <w:pPr>
        <w:keepNext/>
        <w:spacing w:after="60"/>
        <w:jc w:val="center"/>
      </w:pPr>
      <w:r w:rsidRPr="00E730BB">
        <w:rPr>
          <w:noProof/>
        </w:rPr>
        <w:drawing>
          <wp:inline distT="0" distB="0" distL="0" distR="0" wp14:anchorId="03292B53" wp14:editId="5D6FC4A6">
            <wp:extent cx="5832043" cy="2130939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11_SVG cluster-adjusted univariable comparisons_preoperative_cFFR_HD_1200dp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32043" cy="2130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57EC3" w14:textId="77777777" w:rsidR="00A83684" w:rsidRPr="00E730BB" w:rsidRDefault="00E730BB">
      <w:pPr>
        <w:spacing w:after="100"/>
        <w:jc w:val="center"/>
      </w:pPr>
      <w:r w:rsidRPr="00E730BB">
        <w:rPr>
          <w:sz w:val="18"/>
        </w:rPr>
        <w:t xml:space="preserve">Supplementary Figure S9. Graphical presentation of SVG </w:t>
      </w:r>
      <w:r w:rsidRPr="00E730BB">
        <w:rPr>
          <w:sz w:val="18"/>
        </w:rPr>
        <w:t>cluster-adjusted univariable comparisons.</w:t>
      </w:r>
    </w:p>
    <w:p w14:paraId="67B38EB6" w14:textId="77777777" w:rsidR="00A83684" w:rsidRPr="00E730BB" w:rsidRDefault="00E730BB">
      <w:pPr>
        <w:rPr>
          <w:lang w:eastAsia="zh-CN"/>
        </w:rPr>
      </w:pPr>
      <w:r w:rsidRPr="00E730BB">
        <w:rPr>
          <w:lang w:eastAsia="zh-CN"/>
        </w:rPr>
        <w:br w:type="page"/>
      </w:r>
    </w:p>
    <w:p w14:paraId="6E76CE88" w14:textId="77777777" w:rsidR="00A83684" w:rsidRPr="00E730BB" w:rsidRDefault="00E730BB">
      <w:pPr>
        <w:keepNext/>
        <w:spacing w:after="60"/>
        <w:jc w:val="center"/>
      </w:pPr>
      <w:r w:rsidRPr="00E730BB">
        <w:rPr>
          <w:noProof/>
        </w:rPr>
        <w:drawing>
          <wp:inline distT="0" distB="0" distL="0" distR="0" wp14:anchorId="23D808AC" wp14:editId="31D17C56">
            <wp:extent cx="5832043" cy="449900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12_Internal-validation AUC comparison_HD_1200dpi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32043" cy="449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E1F41" w14:textId="77777777" w:rsidR="00A83684" w:rsidRPr="00E730BB" w:rsidRDefault="00E730BB">
      <w:pPr>
        <w:spacing w:after="100"/>
        <w:jc w:val="center"/>
      </w:pPr>
      <w:r w:rsidRPr="00E730BB">
        <w:rPr>
          <w:sz w:val="18"/>
        </w:rPr>
        <w:t>Supplementary Figure S10. Comparison of apparent and optimism-corrected AUCs for the LIMA and SVG models.</w:t>
      </w:r>
    </w:p>
    <w:p w14:paraId="6B61B3A2" w14:textId="77777777" w:rsidR="00A83684" w:rsidRPr="00E730BB" w:rsidRDefault="00E730BB">
      <w:pPr>
        <w:rPr>
          <w:lang w:eastAsia="zh-CN"/>
        </w:rPr>
      </w:pPr>
      <w:r w:rsidRPr="00E730BB">
        <w:rPr>
          <w:lang w:eastAsia="zh-CN"/>
        </w:rPr>
        <w:br w:type="page"/>
      </w:r>
    </w:p>
    <w:p w14:paraId="1E353388" w14:textId="77777777" w:rsidR="00A83684" w:rsidRPr="00E730BB" w:rsidRDefault="00E730BB">
      <w:pPr>
        <w:keepNext/>
        <w:spacing w:after="60"/>
        <w:jc w:val="center"/>
      </w:pPr>
      <w:r w:rsidRPr="00E730BB">
        <w:rPr>
          <w:noProof/>
        </w:rPr>
        <w:drawing>
          <wp:inline distT="0" distB="0" distL="0" distR="0" wp14:anchorId="4C9BBE84" wp14:editId="0DE8AE8A">
            <wp:extent cx="5832043" cy="5332154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13_LIMA internal-validation ROC_HD_1200dpi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32043" cy="5332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6AE9C" w14:textId="77777777" w:rsidR="00A83684" w:rsidRPr="00E730BB" w:rsidRDefault="00E730BB">
      <w:pPr>
        <w:spacing w:after="100"/>
        <w:jc w:val="center"/>
      </w:pPr>
      <w:r w:rsidRPr="00E730BB">
        <w:rPr>
          <w:sz w:val="18"/>
        </w:rPr>
        <w:t xml:space="preserve">Supplementary Figure S11. LIMA ROC curve annotated with apparent and optimism-corrected AUC values. </w:t>
      </w:r>
      <w:r w:rsidRPr="00E730BB">
        <w:rPr>
          <w:sz w:val="18"/>
        </w:rPr>
        <w:t>The marked cutoff represents the optimal model-predicted probability cutoff and does not represent a cFFR threshold.</w:t>
      </w:r>
    </w:p>
    <w:p w14:paraId="6E7C33FC" w14:textId="77777777" w:rsidR="00A83684" w:rsidRPr="00E730BB" w:rsidRDefault="00E730BB">
      <w:pPr>
        <w:keepNext/>
        <w:pageBreakBefore/>
        <w:spacing w:after="60"/>
        <w:jc w:val="center"/>
      </w:pPr>
      <w:r w:rsidRPr="00E730BB">
        <w:rPr>
          <w:noProof/>
        </w:rPr>
        <w:drawing>
          <wp:inline distT="0" distB="0" distL="0" distR="0" wp14:anchorId="327C9CC8" wp14:editId="7197646B">
            <wp:extent cx="5832043" cy="5332154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S14_SVG internal-validation ROC_HD_1200dpi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32043" cy="5332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329C8" w14:textId="77777777" w:rsidR="00A83684" w:rsidRPr="00E730BB" w:rsidRDefault="00E730BB">
      <w:pPr>
        <w:keepLines/>
        <w:spacing w:after="120"/>
        <w:jc w:val="center"/>
      </w:pPr>
      <w:r w:rsidRPr="00E730BB">
        <w:rPr>
          <w:rFonts w:ascii="Arial" w:eastAsia="Arial" w:hAnsi="Arial"/>
          <w:sz w:val="18"/>
        </w:rPr>
        <w:t>Supplementary Figure S12. SVG ROC curve annotated with apparent and optimism-corrected AUC values. The marked cutoff represents the optim</w:t>
      </w:r>
      <w:r w:rsidRPr="00E730BB">
        <w:rPr>
          <w:rFonts w:ascii="Arial" w:eastAsia="Arial" w:hAnsi="Arial"/>
          <w:sz w:val="18"/>
        </w:rPr>
        <w:t>al model-predicted probability cutoff and does not represent a cFFR threshold.</w:t>
      </w:r>
    </w:p>
    <w:sectPr w:rsidR="00A83684" w:rsidRPr="00E730BB" w:rsidSect="00E730BB">
      <w:pgSz w:w="12240" w:h="15840"/>
      <w:pgMar w:top="1134" w:right="1191" w:bottom="113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5AD7F" w14:textId="77777777" w:rsidR="009851EA" w:rsidRDefault="009851EA">
      <w:pPr>
        <w:spacing w:after="0" w:line="240" w:lineRule="auto"/>
      </w:pPr>
      <w:r>
        <w:separator/>
      </w:r>
    </w:p>
  </w:endnote>
  <w:endnote w:type="continuationSeparator" w:id="0">
    <w:p w14:paraId="1460495E" w14:textId="77777777" w:rsidR="009851EA" w:rsidRDefault="00985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92525" w14:textId="77777777" w:rsidR="009851EA" w:rsidRDefault="009851EA">
      <w:pPr>
        <w:spacing w:after="0" w:line="240" w:lineRule="auto"/>
      </w:pPr>
      <w:r>
        <w:separator/>
      </w:r>
    </w:p>
  </w:footnote>
  <w:footnote w:type="continuationSeparator" w:id="0">
    <w:p w14:paraId="2F4F19A1" w14:textId="77777777" w:rsidR="009851EA" w:rsidRDefault="009851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4DF0"/>
    <w:rsid w:val="000E068B"/>
    <w:rsid w:val="0015074B"/>
    <w:rsid w:val="0029639D"/>
    <w:rsid w:val="00326F90"/>
    <w:rsid w:val="006B5266"/>
    <w:rsid w:val="00946961"/>
    <w:rsid w:val="009851EA"/>
    <w:rsid w:val="00A83684"/>
    <w:rsid w:val="00AA1D8D"/>
    <w:rsid w:val="00B47730"/>
    <w:rsid w:val="00CB0664"/>
    <w:rsid w:val="00D17B48"/>
    <w:rsid w:val="00E375C3"/>
    <w:rsid w:val="00E65312"/>
    <w:rsid w:val="00E730BB"/>
    <w:rsid w:val="00ED0A46"/>
    <w:rsid w:val="00FB74D2"/>
    <w:rsid w:val="00FC02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643366"/>
  <w14:defaultImageDpi w14:val="300"/>
  <w15:docId w15:val="{4C7C58E9-70EA-4DAD-81B4-90F075B2D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SimSu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陈</dc:creator>
  <cp:keywords/>
  <dc:description>generated by python-docx</dc:description>
  <cp:lastModifiedBy>Revathi Thangaraj</cp:lastModifiedBy>
  <cp:revision>3</cp:revision>
  <dcterms:created xsi:type="dcterms:W3CDTF">2026-08-04T15:45:00Z</dcterms:created>
  <dcterms:modified xsi:type="dcterms:W3CDTF">2026-08-29T11:38:00Z</dcterms:modified>
  <cp:category/>
</cp:coreProperties>
</file>