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6045EF" w14:textId="77777777" w:rsidR="0050259C" w:rsidRPr="0066775A" w:rsidRDefault="0050259C" w:rsidP="0050259C">
      <w:pPr>
        <w:spacing w:after="120"/>
        <w:rPr>
          <w:rFonts w:ascii="Helvetica Light" w:hAnsi="Helvetica Light" w:cs="Arial"/>
          <w:b/>
          <w:szCs w:val="20"/>
        </w:rPr>
      </w:pPr>
      <w:r w:rsidRPr="0066775A">
        <w:rPr>
          <w:rFonts w:ascii="Helvetica Light" w:hAnsi="Helvetica Light" w:cs="Arial"/>
          <w:b/>
          <w:szCs w:val="20"/>
        </w:rPr>
        <w:t xml:space="preserve">Additional file 3: Rules for building </w:t>
      </w:r>
      <w:r w:rsidR="00635221" w:rsidRPr="0066775A">
        <w:rPr>
          <w:rFonts w:ascii="Helvetica Light" w:hAnsi="Helvetica Light" w:cs="Arial"/>
          <w:b/>
          <w:szCs w:val="20"/>
        </w:rPr>
        <w:t xml:space="preserve">diagram in </w:t>
      </w:r>
      <w:r w:rsidRPr="0066775A">
        <w:rPr>
          <w:rFonts w:ascii="Helvetica Light" w:hAnsi="Helvetica Light" w:cs="Arial"/>
          <w:b/>
          <w:szCs w:val="20"/>
        </w:rPr>
        <w:t>figure 2.</w:t>
      </w:r>
    </w:p>
    <w:p w14:paraId="6F678AA8" w14:textId="77777777" w:rsidR="0050259C" w:rsidRDefault="0050259C" w:rsidP="0050259C">
      <w:pPr>
        <w:spacing w:after="120"/>
        <w:rPr>
          <w:rFonts w:ascii="Helvetica Light" w:hAnsi="Helvetica Light" w:cs="Arial"/>
          <w:sz w:val="20"/>
          <w:szCs w:val="20"/>
        </w:rPr>
      </w:pPr>
      <w:r>
        <w:rPr>
          <w:rFonts w:ascii="Helvetica Light" w:hAnsi="Helvetica Light" w:cs="Arial"/>
          <w:sz w:val="20"/>
          <w:szCs w:val="20"/>
        </w:rPr>
        <w:t>The diagram presented on figure 2 was built according to the following rules:</w:t>
      </w:r>
    </w:p>
    <w:p w14:paraId="723F4F02" w14:textId="77777777" w:rsidR="0050259C" w:rsidRPr="00CD4CED" w:rsidRDefault="0050259C" w:rsidP="0050259C">
      <w:pPr>
        <w:pStyle w:val="ListParagraph"/>
        <w:numPr>
          <w:ilvl w:val="0"/>
          <w:numId w:val="1"/>
        </w:numPr>
        <w:spacing w:after="120"/>
        <w:rPr>
          <w:rFonts w:ascii="Helvetica Light" w:hAnsi="Helvetica Light" w:cs="Arial"/>
          <w:sz w:val="20"/>
          <w:szCs w:val="20"/>
        </w:rPr>
      </w:pPr>
      <w:r>
        <w:rPr>
          <w:rFonts w:ascii="Helvetica Light" w:hAnsi="Helvetica Light" w:cs="Arial"/>
          <w:sz w:val="20"/>
          <w:szCs w:val="20"/>
        </w:rPr>
        <w:t xml:space="preserve">Health outcomes are presented inside the circle. </w:t>
      </w:r>
      <w:r w:rsidRPr="00CD4CED">
        <w:rPr>
          <w:rFonts w:ascii="Helvetica Light" w:hAnsi="Helvetica Light" w:cs="Arial"/>
          <w:sz w:val="20"/>
          <w:szCs w:val="20"/>
        </w:rPr>
        <w:t xml:space="preserve">Only health outcomes that were used in </w:t>
      </w:r>
      <w:r>
        <w:rPr>
          <w:rFonts w:ascii="Helvetica Light" w:hAnsi="Helvetica Light" w:cs="Arial"/>
          <w:sz w:val="20"/>
          <w:szCs w:val="20"/>
        </w:rPr>
        <w:t>six or more</w:t>
      </w:r>
      <w:r w:rsidRPr="00CD4CED">
        <w:rPr>
          <w:rFonts w:ascii="Helvetica Light" w:hAnsi="Helvetica Light" w:cs="Arial"/>
          <w:sz w:val="20"/>
          <w:szCs w:val="20"/>
        </w:rPr>
        <w:t xml:space="preserve"> </w:t>
      </w:r>
      <w:r>
        <w:rPr>
          <w:rFonts w:ascii="Helvetica Light" w:hAnsi="Helvetica Light" w:cs="Arial"/>
          <w:sz w:val="20"/>
          <w:szCs w:val="20"/>
        </w:rPr>
        <w:t>eligible publications</w:t>
      </w:r>
      <w:r w:rsidRPr="00CD4CED">
        <w:rPr>
          <w:rFonts w:ascii="Helvetica Light" w:hAnsi="Helvetica Light" w:cs="Arial"/>
          <w:sz w:val="20"/>
          <w:szCs w:val="20"/>
        </w:rPr>
        <w:t xml:space="preserve"> are </w:t>
      </w:r>
      <w:r>
        <w:rPr>
          <w:rFonts w:ascii="Helvetica Light" w:hAnsi="Helvetica Light" w:cs="Arial"/>
          <w:sz w:val="20"/>
          <w:szCs w:val="20"/>
        </w:rPr>
        <w:t>used</w:t>
      </w:r>
      <w:r w:rsidRPr="00CD4CED">
        <w:rPr>
          <w:rFonts w:ascii="Helvetica Light" w:hAnsi="Helvetica Light" w:cs="Arial"/>
          <w:sz w:val="20"/>
          <w:szCs w:val="20"/>
        </w:rPr>
        <w:t>. The font size is proport</w:t>
      </w:r>
      <w:r>
        <w:rPr>
          <w:rFonts w:ascii="Helvetica Light" w:hAnsi="Helvetica Light" w:cs="Arial"/>
          <w:sz w:val="20"/>
          <w:szCs w:val="20"/>
        </w:rPr>
        <w:t>ional to the number of publications in which that outcome is used.</w:t>
      </w:r>
    </w:p>
    <w:p w14:paraId="01C6E2DC" w14:textId="77777777" w:rsidR="0050259C" w:rsidRDefault="0050259C" w:rsidP="0050259C">
      <w:pPr>
        <w:pStyle w:val="ListParagraph"/>
        <w:numPr>
          <w:ilvl w:val="0"/>
          <w:numId w:val="1"/>
        </w:numPr>
        <w:spacing w:after="120"/>
        <w:rPr>
          <w:rFonts w:ascii="Helvetica Light" w:hAnsi="Helvetica Light" w:cs="Arial"/>
          <w:sz w:val="20"/>
          <w:szCs w:val="20"/>
        </w:rPr>
      </w:pPr>
      <w:r>
        <w:rPr>
          <w:rFonts w:ascii="Helvetica Light" w:hAnsi="Helvetica Light" w:cs="Arial"/>
          <w:sz w:val="20"/>
          <w:szCs w:val="20"/>
        </w:rPr>
        <w:t>SES variables are represented by c</w:t>
      </w:r>
      <w:r w:rsidRPr="00CD4CED">
        <w:rPr>
          <w:rFonts w:ascii="Helvetica Light" w:hAnsi="Helvetica Light" w:cs="Arial"/>
          <w:sz w:val="20"/>
          <w:szCs w:val="20"/>
        </w:rPr>
        <w:t>ircles in the circumference perimeter</w:t>
      </w:r>
      <w:r>
        <w:rPr>
          <w:rFonts w:ascii="Helvetica Light" w:hAnsi="Helvetica Light" w:cs="Arial"/>
          <w:sz w:val="20"/>
          <w:szCs w:val="20"/>
        </w:rPr>
        <w:t xml:space="preserve">. </w:t>
      </w:r>
      <w:r w:rsidRPr="00CD4CED">
        <w:rPr>
          <w:rFonts w:ascii="Helvetica Light" w:hAnsi="Helvetica Light" w:cs="Arial"/>
          <w:sz w:val="20"/>
          <w:szCs w:val="20"/>
        </w:rPr>
        <w:t xml:space="preserve">Only SES variables that were used in </w:t>
      </w:r>
      <w:r>
        <w:rPr>
          <w:rFonts w:ascii="Helvetica Light" w:hAnsi="Helvetica Light" w:cs="Arial"/>
          <w:sz w:val="20"/>
          <w:szCs w:val="20"/>
        </w:rPr>
        <w:t xml:space="preserve">six or </w:t>
      </w:r>
      <w:r w:rsidRPr="00CD4CED">
        <w:rPr>
          <w:rFonts w:ascii="Helvetica Light" w:hAnsi="Helvetica Light" w:cs="Arial"/>
          <w:sz w:val="20"/>
          <w:szCs w:val="20"/>
        </w:rPr>
        <w:t xml:space="preserve">more </w:t>
      </w:r>
      <w:r>
        <w:rPr>
          <w:rFonts w:ascii="Helvetica Light" w:hAnsi="Helvetica Light" w:cs="Arial"/>
          <w:sz w:val="20"/>
          <w:szCs w:val="20"/>
        </w:rPr>
        <w:t>eligible publications</w:t>
      </w:r>
      <w:r w:rsidRPr="00CD4CED">
        <w:rPr>
          <w:rFonts w:ascii="Helvetica Light" w:hAnsi="Helvetica Light" w:cs="Arial"/>
          <w:sz w:val="20"/>
          <w:szCs w:val="20"/>
        </w:rPr>
        <w:t xml:space="preserve"> are presented. </w:t>
      </w:r>
      <w:r>
        <w:rPr>
          <w:rFonts w:ascii="Helvetica Light" w:hAnsi="Helvetica Light" w:cs="Arial"/>
          <w:sz w:val="20"/>
          <w:szCs w:val="20"/>
        </w:rPr>
        <w:t xml:space="preserve">The size of the circles is </w:t>
      </w:r>
      <w:r w:rsidRPr="00CD4CED">
        <w:rPr>
          <w:rFonts w:ascii="Helvetica Light" w:hAnsi="Helvetica Light" w:cs="Arial"/>
          <w:sz w:val="20"/>
          <w:szCs w:val="20"/>
        </w:rPr>
        <w:t xml:space="preserve">proportional to the number of </w:t>
      </w:r>
      <w:r>
        <w:rPr>
          <w:rFonts w:ascii="Helvetica Light" w:hAnsi="Helvetica Light" w:cs="Arial"/>
          <w:sz w:val="20"/>
          <w:szCs w:val="20"/>
        </w:rPr>
        <w:t>publications</w:t>
      </w:r>
      <w:r w:rsidRPr="00CD4CED">
        <w:rPr>
          <w:rFonts w:ascii="Helvetica Light" w:hAnsi="Helvetica Light" w:cs="Arial"/>
          <w:sz w:val="20"/>
          <w:szCs w:val="20"/>
        </w:rPr>
        <w:t xml:space="preserve"> in which </w:t>
      </w:r>
      <w:r>
        <w:rPr>
          <w:rFonts w:ascii="Helvetica Light" w:hAnsi="Helvetica Light" w:cs="Arial"/>
          <w:sz w:val="20"/>
          <w:szCs w:val="20"/>
        </w:rPr>
        <w:t>the SES variable is used.</w:t>
      </w:r>
    </w:p>
    <w:p w14:paraId="45F9D163" w14:textId="77777777" w:rsidR="0050259C" w:rsidRPr="004F6838" w:rsidRDefault="0050259C" w:rsidP="0050259C">
      <w:pPr>
        <w:pStyle w:val="ListParagraph"/>
        <w:numPr>
          <w:ilvl w:val="0"/>
          <w:numId w:val="1"/>
        </w:numPr>
        <w:spacing w:after="120"/>
        <w:rPr>
          <w:rFonts w:ascii="Helvetica Light" w:hAnsi="Helvetica Light" w:cs="Arial"/>
          <w:sz w:val="20"/>
          <w:szCs w:val="20"/>
        </w:rPr>
      </w:pPr>
      <w:r>
        <w:rPr>
          <w:rFonts w:ascii="Helvetica Light" w:hAnsi="Helvetica Light" w:cs="Arial"/>
          <w:sz w:val="20"/>
          <w:szCs w:val="20"/>
        </w:rPr>
        <w:t xml:space="preserve">Main findings from eligible publications were broken down to identify every combination of SES variable – health outcome analyzed. Each association was categorized as “positive”, “negative” or “null”. </w:t>
      </w:r>
    </w:p>
    <w:p w14:paraId="1BE2970A" w14:textId="77777777" w:rsidR="0050259C" w:rsidRDefault="0050259C" w:rsidP="0050259C">
      <w:pPr>
        <w:pStyle w:val="ListParagraph"/>
        <w:numPr>
          <w:ilvl w:val="1"/>
          <w:numId w:val="1"/>
        </w:numPr>
        <w:spacing w:after="120"/>
        <w:rPr>
          <w:rFonts w:ascii="Helvetica Light" w:hAnsi="Helvetica Light" w:cs="Arial"/>
          <w:sz w:val="20"/>
          <w:szCs w:val="20"/>
        </w:rPr>
      </w:pPr>
      <w:r>
        <w:rPr>
          <w:rFonts w:ascii="Helvetica Light" w:hAnsi="Helvetica Light" w:cs="Arial"/>
          <w:sz w:val="20"/>
          <w:szCs w:val="20"/>
        </w:rPr>
        <w:t xml:space="preserve">Associations were considered “positive” if </w:t>
      </w:r>
      <w:r w:rsidRPr="00CD4CED">
        <w:rPr>
          <w:rFonts w:ascii="Helvetica Light" w:hAnsi="Helvetica Light" w:cs="Arial"/>
          <w:sz w:val="20"/>
          <w:szCs w:val="20"/>
        </w:rPr>
        <w:t>ill-health was associated with lower education, lower income, female gender, unemployment, deprivation, being a migrant or belonging to an ethnic group other than Caucasian, not being married, having a less differentiated occupation and living in</w:t>
      </w:r>
      <w:r>
        <w:rPr>
          <w:rFonts w:ascii="Helvetica Light" w:hAnsi="Helvetica Light" w:cs="Arial"/>
          <w:sz w:val="20"/>
          <w:szCs w:val="20"/>
        </w:rPr>
        <w:t xml:space="preserve"> an unfavorable or urban area. </w:t>
      </w:r>
    </w:p>
    <w:p w14:paraId="5EC91D78" w14:textId="77777777" w:rsidR="0050259C" w:rsidRDefault="0050259C" w:rsidP="0050259C">
      <w:pPr>
        <w:pStyle w:val="ListParagraph"/>
        <w:numPr>
          <w:ilvl w:val="1"/>
          <w:numId w:val="1"/>
        </w:numPr>
        <w:spacing w:after="120"/>
        <w:rPr>
          <w:rFonts w:ascii="Helvetica Light" w:hAnsi="Helvetica Light" w:cs="Arial"/>
          <w:sz w:val="20"/>
          <w:szCs w:val="20"/>
        </w:rPr>
      </w:pPr>
      <w:r>
        <w:rPr>
          <w:rFonts w:ascii="Helvetica Light" w:hAnsi="Helvetica Light" w:cs="Arial"/>
          <w:sz w:val="20"/>
          <w:szCs w:val="20"/>
        </w:rPr>
        <w:t xml:space="preserve">Associations were considered </w:t>
      </w:r>
      <w:r w:rsidRPr="004F6838">
        <w:rPr>
          <w:rFonts w:ascii="Helvetica Light" w:hAnsi="Helvetica Light" w:cs="Arial"/>
          <w:sz w:val="20"/>
          <w:szCs w:val="20"/>
        </w:rPr>
        <w:t>“</w:t>
      </w:r>
      <w:r>
        <w:rPr>
          <w:rFonts w:ascii="Helvetica Light" w:hAnsi="Helvetica Light" w:cs="Arial"/>
          <w:sz w:val="20"/>
          <w:szCs w:val="20"/>
        </w:rPr>
        <w:t>n</w:t>
      </w:r>
      <w:r w:rsidRPr="004F6838">
        <w:rPr>
          <w:rFonts w:ascii="Helvetica Light" w:hAnsi="Helvetica Light" w:cs="Arial"/>
          <w:sz w:val="20"/>
          <w:szCs w:val="20"/>
        </w:rPr>
        <w:t xml:space="preserve">egative” </w:t>
      </w:r>
      <w:r>
        <w:rPr>
          <w:rFonts w:ascii="Helvetica Light" w:hAnsi="Helvetica Light" w:cs="Arial"/>
          <w:sz w:val="20"/>
          <w:szCs w:val="20"/>
        </w:rPr>
        <w:t xml:space="preserve">if there was a significant association in the opposite </w:t>
      </w:r>
      <w:r w:rsidRPr="004F6838">
        <w:rPr>
          <w:rFonts w:ascii="Helvetica Light" w:hAnsi="Helvetica Light" w:cs="Arial"/>
          <w:sz w:val="20"/>
          <w:szCs w:val="20"/>
        </w:rPr>
        <w:t>direction.</w:t>
      </w:r>
    </w:p>
    <w:p w14:paraId="647C5F54" w14:textId="77777777" w:rsidR="0050259C" w:rsidRDefault="0050259C" w:rsidP="0050259C">
      <w:pPr>
        <w:pStyle w:val="ListParagraph"/>
        <w:numPr>
          <w:ilvl w:val="1"/>
          <w:numId w:val="1"/>
        </w:numPr>
        <w:spacing w:after="120"/>
        <w:rPr>
          <w:rFonts w:ascii="Helvetica Light" w:hAnsi="Helvetica Light" w:cs="Arial"/>
          <w:sz w:val="20"/>
          <w:szCs w:val="20"/>
        </w:rPr>
      </w:pPr>
      <w:r>
        <w:rPr>
          <w:rFonts w:ascii="Helvetica Light" w:hAnsi="Helvetica Light" w:cs="Arial"/>
          <w:sz w:val="20"/>
          <w:szCs w:val="20"/>
        </w:rPr>
        <w:t>Associations were considered “null” if they were not significant.</w:t>
      </w:r>
    </w:p>
    <w:p w14:paraId="12621872" w14:textId="77777777" w:rsidR="0050259C" w:rsidRPr="004F6838" w:rsidRDefault="0050259C" w:rsidP="0050259C">
      <w:pPr>
        <w:pStyle w:val="ListParagraph"/>
        <w:numPr>
          <w:ilvl w:val="0"/>
          <w:numId w:val="1"/>
        </w:numPr>
        <w:spacing w:after="120"/>
        <w:rPr>
          <w:rFonts w:ascii="Helvetica Light" w:hAnsi="Helvetica Light" w:cs="Arial"/>
          <w:sz w:val="20"/>
          <w:szCs w:val="20"/>
        </w:rPr>
      </w:pPr>
      <w:r>
        <w:rPr>
          <w:rFonts w:ascii="Helvetica Light" w:hAnsi="Helvetica Light" w:cs="Arial"/>
          <w:sz w:val="20"/>
          <w:szCs w:val="20"/>
        </w:rPr>
        <w:t>Arrows in the diagram represent these associations. These were constructed based on the following rules:</w:t>
      </w:r>
    </w:p>
    <w:p w14:paraId="58509BB7" w14:textId="6897CAFE" w:rsidR="0050259C" w:rsidRDefault="0050259C" w:rsidP="0050259C">
      <w:pPr>
        <w:pStyle w:val="ListParagraph"/>
        <w:numPr>
          <w:ilvl w:val="1"/>
          <w:numId w:val="1"/>
        </w:numPr>
        <w:spacing w:after="120"/>
        <w:rPr>
          <w:rFonts w:ascii="Helvetica Light" w:hAnsi="Helvetica Light" w:cs="Arial"/>
          <w:sz w:val="20"/>
          <w:szCs w:val="20"/>
        </w:rPr>
      </w:pPr>
      <w:r w:rsidRPr="00BB2762">
        <w:rPr>
          <w:rFonts w:ascii="Helvetica Light" w:hAnsi="Helvetica Light" w:cs="Arial"/>
          <w:i/>
          <w:sz w:val="20"/>
          <w:szCs w:val="20"/>
        </w:rPr>
        <w:t>Grey</w:t>
      </w:r>
      <w:r w:rsidRPr="00CD4CED">
        <w:rPr>
          <w:rFonts w:ascii="Helvetica Light" w:hAnsi="Helvetica Light" w:cs="Arial"/>
          <w:sz w:val="20"/>
          <w:szCs w:val="20"/>
        </w:rPr>
        <w:t xml:space="preserve"> arrows indicate </w:t>
      </w:r>
      <w:r w:rsidRPr="00BB2762">
        <w:rPr>
          <w:rFonts w:ascii="Helvetica Light" w:hAnsi="Helvetica Light" w:cs="Arial"/>
          <w:i/>
          <w:sz w:val="20"/>
          <w:szCs w:val="20"/>
        </w:rPr>
        <w:t>weak</w:t>
      </w:r>
      <w:r>
        <w:rPr>
          <w:rFonts w:ascii="Helvetica Light" w:hAnsi="Helvetica Light" w:cs="Arial"/>
          <w:sz w:val="20"/>
          <w:szCs w:val="20"/>
        </w:rPr>
        <w:t xml:space="preserve"> evidence. Evidence was considered weak when the difference between the number of “positive” and “negative” associations found was </w:t>
      </w:r>
      <w:r w:rsidR="001A1A57">
        <w:rPr>
          <w:rFonts w:ascii="Helvetica Light" w:hAnsi="Helvetica Light" w:cs="Arial"/>
          <w:sz w:val="20"/>
          <w:szCs w:val="20"/>
        </w:rPr>
        <w:t>two or three</w:t>
      </w:r>
      <w:r>
        <w:rPr>
          <w:rFonts w:ascii="Helvetica Light" w:hAnsi="Helvetica Light" w:cs="Arial"/>
          <w:sz w:val="20"/>
          <w:szCs w:val="20"/>
        </w:rPr>
        <w:t xml:space="preserve">. For example, obesity was found to be associated with female gender in three analyses and with male gender in one; this was considered to be weak evidence that female gender was associated with obesity. </w:t>
      </w:r>
    </w:p>
    <w:p w14:paraId="27728E34" w14:textId="77777777" w:rsidR="0050259C" w:rsidRDefault="0050259C" w:rsidP="0050259C">
      <w:pPr>
        <w:pStyle w:val="ListParagraph"/>
        <w:numPr>
          <w:ilvl w:val="1"/>
          <w:numId w:val="1"/>
        </w:numPr>
        <w:spacing w:after="120"/>
        <w:rPr>
          <w:rFonts w:ascii="Helvetica Light" w:hAnsi="Helvetica Light" w:cs="Arial"/>
          <w:sz w:val="20"/>
          <w:szCs w:val="20"/>
        </w:rPr>
      </w:pPr>
      <w:r w:rsidRPr="00F7509E">
        <w:rPr>
          <w:rFonts w:ascii="Helvetica Light" w:hAnsi="Helvetica Light" w:cs="Arial"/>
          <w:i/>
          <w:sz w:val="20"/>
          <w:szCs w:val="20"/>
        </w:rPr>
        <w:t xml:space="preserve">Black </w:t>
      </w:r>
      <w:r w:rsidRPr="00F7509E">
        <w:rPr>
          <w:rFonts w:ascii="Helvetica Light" w:hAnsi="Helvetica Light" w:cs="Arial"/>
          <w:sz w:val="20"/>
          <w:szCs w:val="20"/>
        </w:rPr>
        <w:t>arrows indicate</w:t>
      </w:r>
      <w:r w:rsidRPr="00F7509E">
        <w:rPr>
          <w:rFonts w:ascii="Helvetica Light" w:hAnsi="Helvetica Light" w:cs="Arial"/>
          <w:i/>
          <w:sz w:val="20"/>
          <w:szCs w:val="20"/>
        </w:rPr>
        <w:t xml:space="preserve"> strong </w:t>
      </w:r>
      <w:r w:rsidRPr="00F7509E">
        <w:rPr>
          <w:rFonts w:ascii="Helvetica Light" w:hAnsi="Helvetica Light" w:cs="Arial"/>
          <w:sz w:val="20"/>
          <w:szCs w:val="20"/>
        </w:rPr>
        <w:t>evidence</w:t>
      </w:r>
      <w:r>
        <w:rPr>
          <w:rFonts w:ascii="Helvetica Light" w:hAnsi="Helvetica Light" w:cs="Arial"/>
          <w:sz w:val="20"/>
          <w:szCs w:val="20"/>
        </w:rPr>
        <w:t xml:space="preserve">. Evidence was considered strong when the difference between the number of “positive” and “negative” associations was more than three. </w:t>
      </w:r>
      <w:r w:rsidRPr="00742AFD">
        <w:rPr>
          <w:rFonts w:ascii="Helvetica Light" w:hAnsi="Helvetica Light" w:cs="Arial"/>
          <w:sz w:val="20"/>
          <w:szCs w:val="20"/>
        </w:rPr>
        <w:t>For example,</w:t>
      </w:r>
      <w:r>
        <w:rPr>
          <w:rFonts w:ascii="Helvetica Light" w:hAnsi="Helvetica Light" w:cs="Arial"/>
          <w:sz w:val="20"/>
          <w:szCs w:val="20"/>
        </w:rPr>
        <w:t xml:space="preserve"> worse subjective health was associated with lower levels of education in five analyses, and the opposite in one. This was considered strong evidence that higher education is associated with better self-rated health. </w:t>
      </w:r>
    </w:p>
    <w:p w14:paraId="31E981D6" w14:textId="758B7498" w:rsidR="001A1A57" w:rsidRPr="00635221" w:rsidRDefault="001A1A57" w:rsidP="001A1A57">
      <w:pPr>
        <w:pStyle w:val="ListParagraph"/>
        <w:numPr>
          <w:ilvl w:val="1"/>
          <w:numId w:val="1"/>
        </w:numPr>
        <w:spacing w:after="120"/>
        <w:rPr>
          <w:rFonts w:ascii="Helvetica Light" w:hAnsi="Helvetica Light" w:cs="Arial"/>
          <w:sz w:val="20"/>
          <w:szCs w:val="20"/>
        </w:rPr>
      </w:pPr>
      <w:r>
        <w:rPr>
          <w:rFonts w:ascii="Helvetica Light" w:hAnsi="Helvetica Light" w:cs="Arial"/>
          <w:sz w:val="20"/>
          <w:szCs w:val="20"/>
        </w:rPr>
        <w:t xml:space="preserve">When </w:t>
      </w:r>
      <w:r w:rsidRPr="00635221">
        <w:rPr>
          <w:rFonts w:ascii="Helvetica Light" w:hAnsi="Helvetica Light" w:cs="Arial"/>
          <w:sz w:val="20"/>
          <w:szCs w:val="20"/>
        </w:rPr>
        <w:t xml:space="preserve">there was only </w:t>
      </w:r>
      <w:r>
        <w:rPr>
          <w:rFonts w:ascii="Helvetica Light" w:hAnsi="Helvetica Light" w:cs="Arial"/>
          <w:sz w:val="20"/>
          <w:szCs w:val="20"/>
        </w:rPr>
        <w:t xml:space="preserve">a difference of </w:t>
      </w:r>
      <w:r w:rsidRPr="00635221">
        <w:rPr>
          <w:rFonts w:ascii="Helvetica Light" w:hAnsi="Helvetica Light" w:cs="Arial"/>
          <w:sz w:val="20"/>
          <w:szCs w:val="20"/>
        </w:rPr>
        <w:t>one analysis on a particular pair of SES variable and health outcome, it was considered insufficient evidence and excluded from the diagram.</w:t>
      </w:r>
    </w:p>
    <w:p w14:paraId="70C628BF" w14:textId="77777777" w:rsidR="0050259C" w:rsidRPr="001A1A57" w:rsidRDefault="0050259C" w:rsidP="001A1A57">
      <w:pPr>
        <w:pStyle w:val="ListParagraph"/>
        <w:numPr>
          <w:ilvl w:val="1"/>
          <w:numId w:val="1"/>
        </w:numPr>
        <w:spacing w:after="120"/>
        <w:rPr>
          <w:rFonts w:ascii="Helvetica Light" w:hAnsi="Helvetica Light" w:cs="Arial"/>
          <w:sz w:val="20"/>
          <w:szCs w:val="20"/>
        </w:rPr>
      </w:pPr>
      <w:r w:rsidRPr="001A1A57">
        <w:rPr>
          <w:rFonts w:ascii="Helvetica Light" w:hAnsi="Helvetica Light" w:cs="Arial"/>
          <w:sz w:val="20"/>
          <w:szCs w:val="20"/>
        </w:rPr>
        <w:t>When there were equal number of “positive” and “negative” associations, the result was considered contradictory and was not included in the diagram.</w:t>
      </w:r>
    </w:p>
    <w:p w14:paraId="7D1608A4" w14:textId="77777777" w:rsidR="00635221" w:rsidRDefault="0050259C" w:rsidP="0050259C">
      <w:pPr>
        <w:pStyle w:val="ListParagraph"/>
        <w:numPr>
          <w:ilvl w:val="1"/>
          <w:numId w:val="1"/>
        </w:numPr>
        <w:spacing w:after="120"/>
        <w:rPr>
          <w:rFonts w:ascii="Helvetica Light" w:hAnsi="Helvetica Light" w:cs="Arial"/>
          <w:sz w:val="20"/>
          <w:szCs w:val="20"/>
        </w:rPr>
      </w:pPr>
      <w:r>
        <w:rPr>
          <w:rFonts w:ascii="Helvetica Light" w:hAnsi="Helvetica Light" w:cs="Arial"/>
          <w:sz w:val="20"/>
          <w:szCs w:val="20"/>
        </w:rPr>
        <w:t>Non-significant results and associations in which “null” results were as common as either “positive” or “negative” were also excluded from the diagram.</w:t>
      </w:r>
    </w:p>
    <w:p w14:paraId="04E4F2C1" w14:textId="1FD8B464" w:rsidR="002B03DA" w:rsidRDefault="002B03DA" w:rsidP="002B03DA">
      <w:pPr>
        <w:pStyle w:val="ListParagraph"/>
        <w:numPr>
          <w:ilvl w:val="0"/>
          <w:numId w:val="1"/>
        </w:numPr>
        <w:spacing w:after="120"/>
        <w:rPr>
          <w:rFonts w:ascii="Helvetica Light" w:hAnsi="Helvetica Light" w:cs="Arial"/>
          <w:sz w:val="20"/>
          <w:szCs w:val="20"/>
        </w:rPr>
      </w:pPr>
      <w:r w:rsidRPr="002B03DA">
        <w:rPr>
          <w:rFonts w:ascii="Helvetica Light" w:hAnsi="Helvetica Light" w:cs="Arial"/>
          <w:iCs/>
          <w:sz w:val="20"/>
          <w:szCs w:val="20"/>
          <w:lang w:val="en-GB"/>
        </w:rPr>
        <w:t xml:space="preserve">The visual aspect of the diagram, but not the rules for its construction, was based on the </w:t>
      </w:r>
      <w:r>
        <w:rPr>
          <w:rFonts w:ascii="Helvetica Light" w:hAnsi="Helvetica Light" w:cs="Arial"/>
          <w:iCs/>
          <w:sz w:val="20"/>
          <w:szCs w:val="20"/>
          <w:lang w:val="en-GB"/>
        </w:rPr>
        <w:t>diagram built</w:t>
      </w:r>
      <w:bookmarkStart w:id="0" w:name="_GoBack"/>
      <w:bookmarkEnd w:id="0"/>
      <w:r w:rsidRPr="002B03DA">
        <w:rPr>
          <w:rFonts w:ascii="Helvetica Light" w:hAnsi="Helvetica Light" w:cs="Arial"/>
          <w:iCs/>
          <w:sz w:val="20"/>
          <w:szCs w:val="20"/>
          <w:lang w:val="en-GB"/>
        </w:rPr>
        <w:t xml:space="preserve"> by</w:t>
      </w:r>
      <w:r w:rsidRPr="002B03DA">
        <w:rPr>
          <w:rFonts w:ascii="Helvetica Light" w:hAnsi="Helvetica Light" w:cs="Arial"/>
          <w:iCs/>
          <w:sz w:val="20"/>
          <w:szCs w:val="20"/>
        </w:rPr>
        <w:t xml:space="preserve"> Ashley EA et al., “Clinical assessment incorporating a personal genome” </w:t>
      </w:r>
      <w:r w:rsidRPr="002B03DA">
        <w:rPr>
          <w:rFonts w:ascii="Helvetica Light" w:hAnsi="Helvetica Light" w:cs="Arial"/>
          <w:i/>
          <w:iCs/>
          <w:sz w:val="20"/>
          <w:szCs w:val="20"/>
        </w:rPr>
        <w:t>The Lancet</w:t>
      </w:r>
      <w:r w:rsidRPr="002B03DA">
        <w:rPr>
          <w:rFonts w:ascii="Helvetica Light" w:hAnsi="Helvetica Light" w:cs="Arial"/>
          <w:iCs/>
          <w:sz w:val="20"/>
          <w:szCs w:val="20"/>
        </w:rPr>
        <w:t> 375(2010): 1525-35.</w:t>
      </w:r>
    </w:p>
    <w:sectPr w:rsidR="002B03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Helvetica Light">
    <w:panose1 w:val="020B0403020202020204"/>
    <w:charset w:val="00"/>
    <w:family w:val="auto"/>
    <w:pitch w:val="variable"/>
    <w:sig w:usb0="800000AF" w:usb1="4000204A"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B926FE"/>
    <w:multiLevelType w:val="hybridMultilevel"/>
    <w:tmpl w:val="44E43704"/>
    <w:lvl w:ilvl="0" w:tplc="18805E04">
      <w:start w:val="1"/>
      <w:numFmt w:val="bullet"/>
      <w:lvlText w:val=""/>
      <w:lvlJc w:val="left"/>
      <w:pPr>
        <w:ind w:left="720" w:hanging="360"/>
      </w:pPr>
      <w:rPr>
        <w:rFonts w:ascii="Symbol" w:eastAsiaTheme="minorEastAsia" w:hAnsi="Symbol" w:cs="Aria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59C"/>
    <w:rsid w:val="00003E4B"/>
    <w:rsid w:val="001A1A57"/>
    <w:rsid w:val="002B03DA"/>
    <w:rsid w:val="0050259C"/>
    <w:rsid w:val="00635221"/>
    <w:rsid w:val="006677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714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59C"/>
    <w:pPr>
      <w:spacing w:after="0" w:line="240" w:lineRule="auto"/>
    </w:pPr>
    <w:rPr>
      <w:rFonts w:eastAsiaTheme="minorEastAsia"/>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9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59C"/>
    <w:pPr>
      <w:spacing w:after="0" w:line="240" w:lineRule="auto"/>
    </w:pPr>
    <w:rPr>
      <w:rFonts w:eastAsiaTheme="minorEastAsia"/>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431</Words>
  <Characters>2457</Characters>
  <Application>Microsoft Macintosh Word</Application>
  <DocSecurity>0</DocSecurity>
  <Lines>20</Lines>
  <Paragraphs>5</Paragraphs>
  <ScaleCrop>false</ScaleCrop>
  <Company/>
  <LinksUpToDate>false</LinksUpToDate>
  <CharactersWithSpaces>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Inês</cp:lastModifiedBy>
  <cp:revision>5</cp:revision>
  <dcterms:created xsi:type="dcterms:W3CDTF">2015-09-30T15:06:00Z</dcterms:created>
  <dcterms:modified xsi:type="dcterms:W3CDTF">2016-01-19T19:08:00Z</dcterms:modified>
</cp:coreProperties>
</file>