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86D2C" w14:textId="08EFDE5A" w:rsidR="00D85C25" w:rsidRPr="00DF0520" w:rsidRDefault="00D85C25" w:rsidP="00D85C25">
      <w:pPr>
        <w:pStyle w:val="Caption"/>
        <w:keepNext/>
        <w:spacing w:after="0"/>
        <w:rPr>
          <w:rFonts w:ascii="Arial" w:hAnsi="Arial" w:cs="Arial"/>
          <w:b/>
          <w:color w:val="auto"/>
          <w:sz w:val="20"/>
          <w:szCs w:val="20"/>
        </w:rPr>
      </w:pPr>
      <w:bookmarkStart w:id="0" w:name="_Toc530131898"/>
      <w:r w:rsidRPr="00DF0520">
        <w:rPr>
          <w:rFonts w:ascii="Arial" w:hAnsi="Arial" w:cs="Arial"/>
          <w:b/>
          <w:color w:val="auto"/>
          <w:sz w:val="20"/>
        </w:rPr>
        <w:t>Supplementary</w:t>
      </w:r>
      <w:r w:rsidRPr="00DF0520">
        <w:rPr>
          <w:rFonts w:ascii="Arial" w:hAnsi="Arial" w:cs="Arial"/>
          <w:b/>
          <w:color w:val="auto"/>
          <w:sz w:val="20"/>
          <w:szCs w:val="20"/>
        </w:rPr>
        <w:t xml:space="preserve"> Table </w:t>
      </w:r>
      <w:r>
        <w:rPr>
          <w:rFonts w:ascii="Arial" w:hAnsi="Arial" w:cs="Arial"/>
          <w:b/>
          <w:color w:val="auto"/>
          <w:sz w:val="20"/>
          <w:szCs w:val="20"/>
        </w:rPr>
        <w:t>2</w:t>
      </w:r>
      <w:bookmarkStart w:id="1" w:name="_GoBack"/>
      <w:bookmarkEnd w:id="1"/>
      <w:r w:rsidRPr="00DF0520">
        <w:rPr>
          <w:rFonts w:ascii="Arial" w:hAnsi="Arial" w:cs="Arial"/>
          <w:b/>
          <w:color w:val="auto"/>
          <w:sz w:val="20"/>
          <w:szCs w:val="20"/>
        </w:rPr>
        <w:t>. Data Extraction and Assessment Summary, Research Studies</w:t>
      </w:r>
      <w:bookmarkEnd w:id="0"/>
    </w:p>
    <w:tbl>
      <w:tblPr>
        <w:tblW w:w="13188"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23"/>
        <w:gridCol w:w="1843"/>
        <w:gridCol w:w="2693"/>
        <w:gridCol w:w="1276"/>
        <w:gridCol w:w="1984"/>
        <w:gridCol w:w="1134"/>
        <w:gridCol w:w="1985"/>
        <w:gridCol w:w="141"/>
        <w:gridCol w:w="709"/>
      </w:tblGrid>
      <w:tr w:rsidR="00D85C25" w:rsidRPr="00D85C25" w14:paraId="7A201DD3" w14:textId="77777777" w:rsidTr="00F125EB">
        <w:trPr>
          <w:trHeight w:val="249"/>
          <w:tblHeader/>
        </w:trPr>
        <w:tc>
          <w:tcPr>
            <w:tcW w:w="1423" w:type="dxa"/>
            <w:vMerge w:val="restart"/>
            <w:shd w:val="clear" w:color="auto" w:fill="auto"/>
            <w:vAlign w:val="bottom"/>
          </w:tcPr>
          <w:p w14:paraId="4D713575" w14:textId="77777777" w:rsidR="00D85C25" w:rsidRPr="00D85C25" w:rsidRDefault="00D85C25" w:rsidP="00F125EB">
            <w:pPr>
              <w:spacing w:after="0" w:line="240" w:lineRule="auto"/>
              <w:jc w:val="center"/>
              <w:rPr>
                <w:rFonts w:ascii="Arial" w:eastAsia="Cambria" w:hAnsi="Arial" w:cs="Arial"/>
                <w:b/>
                <w:sz w:val="16"/>
                <w:szCs w:val="20"/>
                <w:lang w:eastAsia="en-CA"/>
              </w:rPr>
            </w:pPr>
            <w:r w:rsidRPr="00D85C25">
              <w:rPr>
                <w:rFonts w:ascii="Arial" w:eastAsia="Cambria" w:hAnsi="Arial" w:cs="Arial"/>
                <w:b/>
                <w:sz w:val="16"/>
                <w:szCs w:val="20"/>
                <w:lang w:eastAsia="en-CA"/>
              </w:rPr>
              <w:t>Authors (Year)</w:t>
            </w:r>
          </w:p>
          <w:p w14:paraId="0B1CA8BE" w14:textId="77777777" w:rsidR="00D85C25" w:rsidRPr="00D85C25" w:rsidRDefault="00D85C25" w:rsidP="00F125EB">
            <w:pPr>
              <w:spacing w:after="0" w:line="240" w:lineRule="auto"/>
              <w:jc w:val="center"/>
              <w:rPr>
                <w:rFonts w:ascii="Arial" w:eastAsia="Cambria" w:hAnsi="Arial" w:cs="Arial"/>
                <w:b/>
                <w:sz w:val="16"/>
                <w:szCs w:val="20"/>
                <w:lang w:eastAsia="en-CA"/>
              </w:rPr>
            </w:pPr>
          </w:p>
          <w:p w14:paraId="65822F54" w14:textId="77777777" w:rsidR="00D85C25" w:rsidRPr="00D85C25" w:rsidRDefault="00D85C25" w:rsidP="00F125EB">
            <w:pPr>
              <w:spacing w:after="0" w:line="240" w:lineRule="auto"/>
              <w:jc w:val="center"/>
              <w:rPr>
                <w:rFonts w:ascii="Arial" w:eastAsia="Cambria" w:hAnsi="Arial" w:cs="Arial"/>
                <w:b/>
                <w:sz w:val="16"/>
                <w:szCs w:val="20"/>
                <w:lang w:eastAsia="en-CA"/>
              </w:rPr>
            </w:pPr>
            <w:r w:rsidRPr="00D85C25">
              <w:rPr>
                <w:rFonts w:ascii="Arial" w:eastAsia="Cambria" w:hAnsi="Arial" w:cs="Arial"/>
                <w:b/>
                <w:sz w:val="16"/>
                <w:szCs w:val="20"/>
                <w:lang w:eastAsia="en-CA"/>
              </w:rPr>
              <w:t>Discipline, Location*</w:t>
            </w:r>
          </w:p>
        </w:tc>
        <w:tc>
          <w:tcPr>
            <w:tcW w:w="1843" w:type="dxa"/>
            <w:vMerge w:val="restart"/>
            <w:shd w:val="clear" w:color="auto" w:fill="auto"/>
            <w:vAlign w:val="bottom"/>
          </w:tcPr>
          <w:p w14:paraId="4E5E8D18" w14:textId="77777777" w:rsidR="00D85C25" w:rsidRPr="00D85C25" w:rsidRDefault="00D85C25" w:rsidP="00F125EB">
            <w:pPr>
              <w:spacing w:after="0" w:line="240" w:lineRule="auto"/>
              <w:jc w:val="center"/>
              <w:rPr>
                <w:rFonts w:ascii="Arial" w:eastAsia="Cambria" w:hAnsi="Arial" w:cs="Arial"/>
                <w:b/>
                <w:sz w:val="16"/>
                <w:szCs w:val="20"/>
                <w:lang w:eastAsia="en-CA"/>
              </w:rPr>
            </w:pPr>
            <w:r w:rsidRPr="00D85C25">
              <w:rPr>
                <w:rFonts w:ascii="Arial" w:eastAsia="Cambria" w:hAnsi="Arial" w:cs="Arial"/>
                <w:b/>
                <w:sz w:val="16"/>
                <w:szCs w:val="20"/>
                <w:lang w:eastAsia="en-CA"/>
              </w:rPr>
              <w:t>Title</w:t>
            </w:r>
          </w:p>
        </w:tc>
        <w:tc>
          <w:tcPr>
            <w:tcW w:w="2693" w:type="dxa"/>
            <w:vMerge w:val="restart"/>
            <w:shd w:val="clear" w:color="auto" w:fill="auto"/>
            <w:vAlign w:val="bottom"/>
          </w:tcPr>
          <w:p w14:paraId="1C57BAEC" w14:textId="77777777" w:rsidR="00D85C25" w:rsidRPr="00D85C25" w:rsidRDefault="00D85C25" w:rsidP="00F125EB">
            <w:pPr>
              <w:spacing w:after="0" w:line="240" w:lineRule="auto"/>
              <w:jc w:val="center"/>
              <w:rPr>
                <w:rFonts w:ascii="Arial" w:eastAsia="Cambria" w:hAnsi="Arial" w:cs="Arial"/>
                <w:b/>
                <w:sz w:val="16"/>
                <w:szCs w:val="20"/>
                <w:lang w:eastAsia="en-CA"/>
              </w:rPr>
            </w:pPr>
            <w:r w:rsidRPr="00D85C25">
              <w:rPr>
                <w:rFonts w:ascii="Arial" w:eastAsia="Cambria" w:hAnsi="Arial" w:cs="Arial"/>
                <w:b/>
                <w:sz w:val="16"/>
                <w:szCs w:val="20"/>
                <w:lang w:eastAsia="en-CA"/>
              </w:rPr>
              <w:t>Study Purpose</w:t>
            </w:r>
          </w:p>
        </w:tc>
        <w:tc>
          <w:tcPr>
            <w:tcW w:w="1276" w:type="dxa"/>
            <w:vMerge w:val="restart"/>
            <w:shd w:val="clear" w:color="auto" w:fill="auto"/>
            <w:vAlign w:val="bottom"/>
          </w:tcPr>
          <w:p w14:paraId="6CAAA41B" w14:textId="77777777" w:rsidR="00D85C25" w:rsidRPr="00D85C25" w:rsidRDefault="00D85C25" w:rsidP="00F125EB">
            <w:pPr>
              <w:spacing w:after="0" w:line="240" w:lineRule="auto"/>
              <w:jc w:val="center"/>
              <w:rPr>
                <w:rFonts w:ascii="Arial" w:eastAsia="Cambria" w:hAnsi="Arial" w:cs="Arial"/>
                <w:b/>
                <w:sz w:val="16"/>
                <w:szCs w:val="20"/>
                <w:lang w:eastAsia="en-CA"/>
              </w:rPr>
            </w:pPr>
            <w:r w:rsidRPr="00D85C25">
              <w:rPr>
                <w:rFonts w:ascii="Arial" w:eastAsia="Cambria" w:hAnsi="Arial" w:cs="Arial"/>
                <w:b/>
                <w:sz w:val="16"/>
                <w:szCs w:val="20"/>
                <w:lang w:eastAsia="en-CA"/>
              </w:rPr>
              <w:t>Methods</w:t>
            </w:r>
          </w:p>
        </w:tc>
        <w:tc>
          <w:tcPr>
            <w:tcW w:w="1984" w:type="dxa"/>
            <w:vMerge w:val="restart"/>
            <w:shd w:val="clear" w:color="auto" w:fill="auto"/>
            <w:vAlign w:val="bottom"/>
          </w:tcPr>
          <w:p w14:paraId="69669EBC" w14:textId="77777777" w:rsidR="00D85C25" w:rsidRPr="00D85C25" w:rsidRDefault="00D85C25" w:rsidP="00F125EB">
            <w:pPr>
              <w:spacing w:after="0" w:line="240" w:lineRule="auto"/>
              <w:jc w:val="center"/>
              <w:rPr>
                <w:rFonts w:ascii="Arial" w:eastAsia="Cambria" w:hAnsi="Arial" w:cs="Arial"/>
                <w:b/>
                <w:sz w:val="16"/>
                <w:szCs w:val="20"/>
                <w:lang w:eastAsia="en-CA"/>
              </w:rPr>
            </w:pPr>
            <w:r w:rsidRPr="00D85C25">
              <w:rPr>
                <w:rFonts w:ascii="Arial" w:eastAsia="Cambria" w:hAnsi="Arial" w:cs="Arial"/>
                <w:b/>
                <w:sz w:val="16"/>
                <w:szCs w:val="20"/>
                <w:lang w:eastAsia="en-CA"/>
              </w:rPr>
              <w:t>Practices Examined or Derived</w:t>
            </w:r>
          </w:p>
        </w:tc>
        <w:tc>
          <w:tcPr>
            <w:tcW w:w="3969" w:type="dxa"/>
            <w:gridSpan w:val="4"/>
            <w:shd w:val="clear" w:color="auto" w:fill="auto"/>
            <w:vAlign w:val="bottom"/>
          </w:tcPr>
          <w:p w14:paraId="20E4871D" w14:textId="77777777" w:rsidR="00D85C25" w:rsidRPr="00D85C25" w:rsidRDefault="00D85C25" w:rsidP="00F125EB">
            <w:pPr>
              <w:spacing w:after="0" w:line="240" w:lineRule="auto"/>
              <w:jc w:val="center"/>
              <w:rPr>
                <w:rFonts w:ascii="Arial" w:eastAsia="Cambria" w:hAnsi="Arial" w:cs="Arial"/>
                <w:b/>
                <w:sz w:val="16"/>
                <w:szCs w:val="20"/>
                <w:lang w:eastAsia="en-CA"/>
              </w:rPr>
            </w:pPr>
            <w:r w:rsidRPr="00D85C25">
              <w:rPr>
                <w:rFonts w:ascii="Arial" w:eastAsia="Cambria" w:hAnsi="Arial" w:cs="Arial"/>
                <w:b/>
                <w:sz w:val="16"/>
                <w:szCs w:val="20"/>
                <w:lang w:eastAsia="en-CA"/>
              </w:rPr>
              <w:t>Assessment of Articles</w:t>
            </w:r>
          </w:p>
        </w:tc>
      </w:tr>
      <w:tr w:rsidR="00D85C25" w:rsidRPr="00DF0520" w14:paraId="29007569" w14:textId="77777777" w:rsidTr="00D85C25">
        <w:trPr>
          <w:trHeight w:val="619"/>
          <w:tblHeader/>
        </w:trPr>
        <w:tc>
          <w:tcPr>
            <w:tcW w:w="1423" w:type="dxa"/>
            <w:vMerge/>
            <w:shd w:val="clear" w:color="auto" w:fill="auto"/>
          </w:tcPr>
          <w:p w14:paraId="3D2533FE" w14:textId="77777777" w:rsidR="00D85C25" w:rsidRPr="00DF0520" w:rsidRDefault="00D85C25" w:rsidP="00F125EB">
            <w:pPr>
              <w:spacing w:after="0" w:line="240" w:lineRule="auto"/>
              <w:rPr>
                <w:rFonts w:ascii="Arial" w:eastAsia="Cambria" w:hAnsi="Arial" w:cs="Arial"/>
                <w:sz w:val="20"/>
                <w:szCs w:val="20"/>
                <w:lang w:eastAsia="en-CA"/>
              </w:rPr>
            </w:pPr>
          </w:p>
        </w:tc>
        <w:tc>
          <w:tcPr>
            <w:tcW w:w="1843" w:type="dxa"/>
            <w:vMerge/>
            <w:shd w:val="clear" w:color="auto" w:fill="auto"/>
          </w:tcPr>
          <w:p w14:paraId="5748795A" w14:textId="77777777" w:rsidR="00D85C25" w:rsidRPr="00DF0520" w:rsidRDefault="00D85C25" w:rsidP="00F125EB">
            <w:pPr>
              <w:spacing w:after="0" w:line="240" w:lineRule="auto"/>
              <w:rPr>
                <w:rFonts w:ascii="Arial" w:eastAsia="Cambria" w:hAnsi="Arial" w:cs="Arial"/>
                <w:sz w:val="20"/>
                <w:szCs w:val="20"/>
                <w:lang w:eastAsia="en-CA"/>
              </w:rPr>
            </w:pPr>
          </w:p>
        </w:tc>
        <w:tc>
          <w:tcPr>
            <w:tcW w:w="2693" w:type="dxa"/>
            <w:vMerge/>
            <w:shd w:val="clear" w:color="auto" w:fill="auto"/>
          </w:tcPr>
          <w:p w14:paraId="126468FC" w14:textId="77777777" w:rsidR="00D85C25" w:rsidRPr="00DF0520" w:rsidRDefault="00D85C25" w:rsidP="00F125EB">
            <w:pPr>
              <w:spacing w:after="0" w:line="240" w:lineRule="auto"/>
              <w:rPr>
                <w:rFonts w:ascii="Arial" w:eastAsia="Cambria" w:hAnsi="Arial" w:cs="Arial"/>
                <w:sz w:val="20"/>
                <w:szCs w:val="20"/>
                <w:lang w:eastAsia="en-CA"/>
              </w:rPr>
            </w:pPr>
          </w:p>
        </w:tc>
        <w:tc>
          <w:tcPr>
            <w:tcW w:w="1276" w:type="dxa"/>
            <w:vMerge/>
            <w:shd w:val="clear" w:color="auto" w:fill="auto"/>
          </w:tcPr>
          <w:p w14:paraId="311C459E" w14:textId="77777777" w:rsidR="00D85C25" w:rsidRPr="00DF0520" w:rsidRDefault="00D85C25" w:rsidP="00F125EB">
            <w:pPr>
              <w:spacing w:after="0" w:line="240" w:lineRule="auto"/>
              <w:rPr>
                <w:rFonts w:ascii="Arial" w:eastAsia="Cambria" w:hAnsi="Arial" w:cs="Arial"/>
                <w:sz w:val="20"/>
                <w:szCs w:val="20"/>
                <w:lang w:eastAsia="en-CA"/>
              </w:rPr>
            </w:pPr>
          </w:p>
        </w:tc>
        <w:tc>
          <w:tcPr>
            <w:tcW w:w="1984" w:type="dxa"/>
            <w:vMerge/>
            <w:shd w:val="clear" w:color="auto" w:fill="auto"/>
          </w:tcPr>
          <w:p w14:paraId="24A78F79" w14:textId="77777777" w:rsidR="00D85C25" w:rsidRPr="00DF0520" w:rsidRDefault="00D85C25" w:rsidP="00F125EB">
            <w:pPr>
              <w:spacing w:after="0" w:line="240" w:lineRule="auto"/>
              <w:rPr>
                <w:rFonts w:ascii="Arial" w:eastAsia="Cambria" w:hAnsi="Arial" w:cs="Arial"/>
                <w:sz w:val="20"/>
                <w:szCs w:val="20"/>
                <w:lang w:eastAsia="en-CA"/>
              </w:rPr>
            </w:pPr>
          </w:p>
        </w:tc>
        <w:tc>
          <w:tcPr>
            <w:tcW w:w="1134" w:type="dxa"/>
            <w:shd w:val="clear" w:color="auto" w:fill="auto"/>
            <w:vAlign w:val="bottom"/>
          </w:tcPr>
          <w:p w14:paraId="4B37DCF6" w14:textId="77777777" w:rsidR="00D85C25" w:rsidRPr="00D85C25" w:rsidRDefault="00D85C25" w:rsidP="00F125EB">
            <w:pPr>
              <w:spacing w:after="0" w:line="240" w:lineRule="auto"/>
              <w:jc w:val="center"/>
              <w:rPr>
                <w:rFonts w:ascii="Arial" w:eastAsia="Cambria" w:hAnsi="Arial" w:cs="Arial"/>
                <w:sz w:val="15"/>
                <w:szCs w:val="20"/>
                <w:lang w:eastAsia="en-CA"/>
              </w:rPr>
            </w:pPr>
            <w:r w:rsidRPr="00D85C25">
              <w:rPr>
                <w:rFonts w:ascii="Arial" w:eastAsia="Cambria" w:hAnsi="Arial" w:cs="Arial"/>
                <w:b/>
                <w:sz w:val="15"/>
                <w:szCs w:val="20"/>
                <w:lang w:eastAsia="en-CA"/>
              </w:rPr>
              <w:t>Orientation to Root Causes</w:t>
            </w:r>
          </w:p>
        </w:tc>
        <w:tc>
          <w:tcPr>
            <w:tcW w:w="1985" w:type="dxa"/>
            <w:shd w:val="clear" w:color="auto" w:fill="auto"/>
            <w:vAlign w:val="bottom"/>
          </w:tcPr>
          <w:p w14:paraId="3924B890" w14:textId="77777777" w:rsidR="00D85C25" w:rsidRPr="00D85C25" w:rsidRDefault="00D85C25" w:rsidP="00F125EB">
            <w:pPr>
              <w:spacing w:after="0" w:line="240" w:lineRule="auto"/>
              <w:jc w:val="center"/>
              <w:rPr>
                <w:rFonts w:ascii="Arial" w:eastAsia="Cambria" w:hAnsi="Arial" w:cs="Arial"/>
                <w:b/>
                <w:sz w:val="15"/>
                <w:szCs w:val="20"/>
                <w:lang w:eastAsia="en-CA"/>
              </w:rPr>
            </w:pPr>
            <w:r w:rsidRPr="00D85C25">
              <w:rPr>
                <w:rFonts w:ascii="Arial" w:eastAsia="Cambria" w:hAnsi="Arial" w:cs="Arial"/>
                <w:b/>
                <w:sz w:val="15"/>
                <w:szCs w:val="20"/>
                <w:lang w:eastAsia="en-CA"/>
              </w:rPr>
              <w:t>Clarity/Quality Assessment</w:t>
            </w:r>
          </w:p>
          <w:p w14:paraId="50C93511" w14:textId="77777777" w:rsidR="00D85C25" w:rsidRPr="00D85C25" w:rsidRDefault="00D85C25" w:rsidP="00F125EB">
            <w:pPr>
              <w:spacing w:after="0" w:line="240" w:lineRule="auto"/>
              <w:jc w:val="center"/>
              <w:rPr>
                <w:rFonts w:ascii="Arial" w:eastAsia="Cambria" w:hAnsi="Arial" w:cs="Arial"/>
                <w:b/>
                <w:sz w:val="15"/>
                <w:szCs w:val="20"/>
                <w:lang w:eastAsia="en-CA"/>
              </w:rPr>
            </w:pPr>
            <w:r w:rsidRPr="00D85C25">
              <w:rPr>
                <w:rFonts w:ascii="Arial" w:eastAsia="Cambria" w:hAnsi="Arial" w:cs="Arial"/>
                <w:b/>
                <w:sz w:val="15"/>
                <w:szCs w:val="20"/>
                <w:lang w:eastAsia="en-CA"/>
              </w:rPr>
              <w:t>AO + Des + Met + D + An</w:t>
            </w:r>
          </w:p>
          <w:p w14:paraId="5205B553" w14:textId="77777777" w:rsidR="00D85C25" w:rsidRPr="00D85C25" w:rsidRDefault="00D85C25" w:rsidP="00F125EB">
            <w:pPr>
              <w:spacing w:after="0" w:line="240" w:lineRule="auto"/>
              <w:jc w:val="center"/>
              <w:rPr>
                <w:rFonts w:ascii="Arial" w:eastAsia="Cambria" w:hAnsi="Arial" w:cs="Arial"/>
                <w:sz w:val="15"/>
                <w:szCs w:val="20"/>
                <w:lang w:eastAsia="en-CA"/>
              </w:rPr>
            </w:pPr>
            <w:r w:rsidRPr="00D85C25">
              <w:rPr>
                <w:rFonts w:ascii="Arial" w:eastAsia="Cambria" w:hAnsi="Arial" w:cs="Arial"/>
                <w:b/>
                <w:sz w:val="15"/>
                <w:szCs w:val="20"/>
                <w:lang w:eastAsia="en-CA"/>
              </w:rPr>
              <w:t>Comments</w:t>
            </w:r>
          </w:p>
        </w:tc>
        <w:tc>
          <w:tcPr>
            <w:tcW w:w="850" w:type="dxa"/>
            <w:gridSpan w:val="2"/>
            <w:shd w:val="clear" w:color="auto" w:fill="auto"/>
            <w:vAlign w:val="bottom"/>
          </w:tcPr>
          <w:p w14:paraId="400A1D6D" w14:textId="77777777" w:rsidR="00D85C25" w:rsidRPr="00D85C25" w:rsidRDefault="00D85C25" w:rsidP="00F125EB">
            <w:pPr>
              <w:spacing w:after="0" w:line="240" w:lineRule="auto"/>
              <w:jc w:val="center"/>
              <w:rPr>
                <w:rFonts w:ascii="Arial" w:eastAsia="Cambria" w:hAnsi="Arial" w:cs="Arial"/>
                <w:b/>
                <w:sz w:val="15"/>
                <w:szCs w:val="20"/>
                <w:lang w:eastAsia="en-CA"/>
              </w:rPr>
            </w:pPr>
            <w:r w:rsidRPr="00D85C25">
              <w:rPr>
                <w:rFonts w:ascii="Arial" w:eastAsia="Cambria" w:hAnsi="Arial" w:cs="Arial"/>
                <w:b/>
                <w:sz w:val="15"/>
                <w:szCs w:val="20"/>
                <w:lang w:eastAsia="en-CA"/>
              </w:rPr>
              <w:t>Clarity Quality</w:t>
            </w:r>
          </w:p>
          <w:p w14:paraId="5F17A421" w14:textId="77777777" w:rsidR="00D85C25" w:rsidRPr="00D85C25" w:rsidRDefault="00D85C25" w:rsidP="00F125EB">
            <w:pPr>
              <w:spacing w:after="0" w:line="240" w:lineRule="auto"/>
              <w:jc w:val="center"/>
              <w:rPr>
                <w:rFonts w:ascii="Arial" w:eastAsia="Cambria" w:hAnsi="Arial" w:cs="Arial"/>
                <w:b/>
                <w:sz w:val="15"/>
                <w:szCs w:val="20"/>
                <w:lang w:eastAsia="en-CA"/>
              </w:rPr>
            </w:pPr>
            <w:r w:rsidRPr="00D85C25">
              <w:rPr>
                <w:rFonts w:ascii="Arial" w:eastAsia="Cambria" w:hAnsi="Arial" w:cs="Arial"/>
                <w:b/>
                <w:sz w:val="15"/>
                <w:szCs w:val="20"/>
                <w:lang w:eastAsia="en-CA"/>
              </w:rPr>
              <w:t>Score</w:t>
            </w:r>
          </w:p>
        </w:tc>
      </w:tr>
      <w:tr w:rsidR="00D85C25" w:rsidRPr="00DF0520" w14:paraId="499F2D91" w14:textId="77777777" w:rsidTr="00F125EB">
        <w:trPr>
          <w:trHeight w:val="548"/>
        </w:trPr>
        <w:tc>
          <w:tcPr>
            <w:tcW w:w="1423" w:type="dxa"/>
            <w:shd w:val="clear" w:color="auto" w:fill="auto"/>
          </w:tcPr>
          <w:p w14:paraId="11A4F472"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Baum et al. (2010)</w:t>
            </w:r>
          </w:p>
          <w:p w14:paraId="00426ED8" w14:textId="77777777" w:rsidR="00D85C25" w:rsidRPr="00DF0520" w:rsidRDefault="00D85C25" w:rsidP="00F125EB">
            <w:pPr>
              <w:spacing w:after="0" w:line="240" w:lineRule="auto"/>
              <w:rPr>
                <w:rFonts w:ascii="Arial" w:eastAsia="Times New Roman" w:hAnsi="Arial" w:cs="Arial"/>
                <w:sz w:val="20"/>
                <w:szCs w:val="20"/>
                <w:lang w:eastAsia="en-CA"/>
              </w:rPr>
            </w:pPr>
          </w:p>
          <w:p w14:paraId="0FA2F524"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Public Health, Australia</w:t>
            </w:r>
          </w:p>
        </w:tc>
        <w:tc>
          <w:tcPr>
            <w:tcW w:w="1843" w:type="dxa"/>
            <w:shd w:val="clear" w:color="auto" w:fill="auto"/>
          </w:tcPr>
          <w:p w14:paraId="79A3210C"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Can a regional government's social inclusion initiative contribute to the quest for health equity?</w:t>
            </w:r>
          </w:p>
        </w:tc>
        <w:tc>
          <w:tcPr>
            <w:tcW w:w="2693" w:type="dxa"/>
            <w:shd w:val="clear" w:color="auto" w:fill="auto"/>
          </w:tcPr>
          <w:p w14:paraId="0237AFB2"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examine “the evidence to determine if a social inclusion initiative is a useful aspect of government action to reduce health inequity” (p. 475).</w:t>
            </w:r>
          </w:p>
        </w:tc>
        <w:tc>
          <w:tcPr>
            <w:tcW w:w="1276" w:type="dxa"/>
            <w:shd w:val="clear" w:color="auto" w:fill="auto"/>
          </w:tcPr>
          <w:p w14:paraId="2D5BFFB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Rapid appraisal using case studies </w:t>
            </w:r>
          </w:p>
          <w:p w14:paraId="3D6E6807" w14:textId="77777777" w:rsidR="00D85C25" w:rsidRPr="00DF0520" w:rsidRDefault="00D85C25" w:rsidP="00F125EB">
            <w:pPr>
              <w:spacing w:after="0" w:line="240" w:lineRule="auto"/>
              <w:rPr>
                <w:rFonts w:ascii="Arial" w:eastAsia="Cambria" w:hAnsi="Arial" w:cs="Arial"/>
                <w:sz w:val="20"/>
                <w:szCs w:val="20"/>
                <w:lang w:eastAsia="en-CA"/>
              </w:rPr>
            </w:pPr>
          </w:p>
        </w:tc>
        <w:tc>
          <w:tcPr>
            <w:tcW w:w="1984" w:type="dxa"/>
            <w:shd w:val="clear" w:color="auto" w:fill="auto"/>
          </w:tcPr>
          <w:p w14:paraId="4F999CC6"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 xml:space="preserve">Social inclusion initiative </w:t>
            </w:r>
          </w:p>
          <w:p w14:paraId="532035AA" w14:textId="77777777" w:rsidR="00D85C25" w:rsidRPr="00DF0520" w:rsidRDefault="00D85C25" w:rsidP="00F125EB">
            <w:pPr>
              <w:spacing w:after="0" w:line="240" w:lineRule="auto"/>
              <w:rPr>
                <w:rFonts w:ascii="Arial" w:eastAsia="Cambria" w:hAnsi="Arial" w:cs="Arial"/>
                <w:sz w:val="20"/>
                <w:szCs w:val="20"/>
                <w:lang w:eastAsia="en-CA"/>
              </w:rPr>
            </w:pPr>
          </w:p>
          <w:p w14:paraId="15B79D84"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Apply the WHO Social Exclusion Knowledge Network framework</w:t>
            </w:r>
          </w:p>
        </w:tc>
        <w:tc>
          <w:tcPr>
            <w:tcW w:w="1134" w:type="dxa"/>
            <w:shd w:val="clear" w:color="auto" w:fill="auto"/>
          </w:tcPr>
          <w:p w14:paraId="402293DD"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098F66FF"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Des(1) + Met(1) + D(1) + An(2)</w:t>
            </w:r>
          </w:p>
          <w:p w14:paraId="5D6EF2B7" w14:textId="77777777" w:rsidR="00D85C25" w:rsidRPr="00DF0520" w:rsidRDefault="00D85C25" w:rsidP="00F125EB">
            <w:pPr>
              <w:spacing w:after="0" w:line="240" w:lineRule="auto"/>
              <w:rPr>
                <w:rFonts w:ascii="Arial" w:eastAsia="Times New Roman" w:hAnsi="Arial" w:cs="Arial"/>
                <w:sz w:val="20"/>
                <w:szCs w:val="20"/>
                <w:lang w:eastAsia="en-CA"/>
              </w:rPr>
            </w:pPr>
          </w:p>
          <w:p w14:paraId="04624B8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Document review + policy analysis + key informant interviews (n=10)</w:t>
            </w:r>
          </w:p>
        </w:tc>
        <w:tc>
          <w:tcPr>
            <w:tcW w:w="709" w:type="dxa"/>
            <w:shd w:val="clear" w:color="auto" w:fill="auto"/>
          </w:tcPr>
          <w:p w14:paraId="49F7FC84"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5</w:t>
            </w:r>
          </w:p>
        </w:tc>
      </w:tr>
      <w:tr w:rsidR="00D85C25" w:rsidRPr="00DF0520" w14:paraId="3D8A6ADC" w14:textId="77777777" w:rsidTr="00F125EB">
        <w:trPr>
          <w:trHeight w:val="548"/>
        </w:trPr>
        <w:tc>
          <w:tcPr>
            <w:tcW w:w="1423" w:type="dxa"/>
            <w:shd w:val="clear" w:color="auto" w:fill="auto"/>
          </w:tcPr>
          <w:p w14:paraId="7AA3F6CD"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Baum et al. (2013)</w:t>
            </w:r>
          </w:p>
          <w:p w14:paraId="7F402296" w14:textId="77777777" w:rsidR="00D85C25" w:rsidRPr="00DF0520" w:rsidRDefault="00D85C25" w:rsidP="00F125EB">
            <w:pPr>
              <w:spacing w:after="0" w:line="240" w:lineRule="auto"/>
              <w:rPr>
                <w:rFonts w:ascii="Arial" w:eastAsia="Times New Roman" w:hAnsi="Arial" w:cs="Arial"/>
                <w:sz w:val="20"/>
                <w:szCs w:val="20"/>
                <w:lang w:eastAsia="en-CA"/>
              </w:rPr>
            </w:pPr>
          </w:p>
          <w:p w14:paraId="5A7BC81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Public Health, Australia</w:t>
            </w:r>
          </w:p>
        </w:tc>
        <w:tc>
          <w:tcPr>
            <w:tcW w:w="1843" w:type="dxa"/>
            <w:shd w:val="clear" w:color="auto" w:fill="auto"/>
          </w:tcPr>
          <w:p w14:paraId="59B8982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"Never mind the logic, give me the numbers": Former Australian health ministers' perspectives on the social determinants of health</w:t>
            </w:r>
          </w:p>
        </w:tc>
        <w:tc>
          <w:tcPr>
            <w:tcW w:w="2693" w:type="dxa"/>
            <w:shd w:val="clear" w:color="auto" w:fill="auto"/>
          </w:tcPr>
          <w:p w14:paraId="19B158E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To report “empirical information relevant to theoretical debates about political and other factors inﬂuencing translation of evidence into policy. It reports on the views of twenty former health ministers about policy opportunities during their tenure to address SDH and health inequities” (p. 139). </w:t>
            </w:r>
          </w:p>
        </w:tc>
        <w:tc>
          <w:tcPr>
            <w:tcW w:w="1276" w:type="dxa"/>
            <w:shd w:val="clear" w:color="auto" w:fill="auto"/>
          </w:tcPr>
          <w:p w14:paraId="43AB3AE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Qualitative</w:t>
            </w:r>
          </w:p>
          <w:p w14:paraId="1AFF8C3B" w14:textId="77777777" w:rsidR="00D85C25" w:rsidRPr="00DF0520" w:rsidRDefault="00D85C25" w:rsidP="00F125EB">
            <w:pPr>
              <w:spacing w:after="0" w:line="240" w:lineRule="auto"/>
              <w:rPr>
                <w:rFonts w:ascii="Arial" w:eastAsia="Times New Roman" w:hAnsi="Arial" w:cs="Arial"/>
                <w:i/>
                <w:sz w:val="20"/>
                <w:szCs w:val="20"/>
                <w:lang w:eastAsia="en-CA"/>
              </w:rPr>
            </w:pPr>
          </w:p>
        </w:tc>
        <w:tc>
          <w:tcPr>
            <w:tcW w:w="1984" w:type="dxa"/>
            <w:shd w:val="clear" w:color="auto" w:fill="auto"/>
          </w:tcPr>
          <w:p w14:paraId="58B384E1"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Policy windows for action on SDH</w:t>
            </w:r>
          </w:p>
          <w:p w14:paraId="79FD9695" w14:textId="77777777" w:rsidR="00D85C25" w:rsidRPr="00DF0520" w:rsidRDefault="00D85C25" w:rsidP="00F125EB">
            <w:pPr>
              <w:spacing w:after="0" w:line="240" w:lineRule="auto"/>
              <w:rPr>
                <w:rFonts w:ascii="Arial" w:eastAsia="Cambria" w:hAnsi="Arial" w:cs="Arial"/>
                <w:sz w:val="20"/>
                <w:szCs w:val="20"/>
                <w:lang w:eastAsia="en-CA"/>
              </w:rPr>
            </w:pPr>
          </w:p>
          <w:p w14:paraId="1086D315"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Apply Kingdon’s Policy theory</w:t>
            </w:r>
          </w:p>
        </w:tc>
        <w:tc>
          <w:tcPr>
            <w:tcW w:w="1134" w:type="dxa"/>
            <w:shd w:val="clear" w:color="auto" w:fill="auto"/>
          </w:tcPr>
          <w:p w14:paraId="1F5C9756"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3E267564"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 xml:space="preserve">1) + Des(0) + Met(1) + D(1) + An(1) </w:t>
            </w:r>
          </w:p>
          <w:p w14:paraId="64724B2D" w14:textId="77777777" w:rsidR="00D85C25" w:rsidRPr="00DF0520" w:rsidRDefault="00D85C25" w:rsidP="00F125EB">
            <w:pPr>
              <w:spacing w:after="0" w:line="240" w:lineRule="auto"/>
              <w:rPr>
                <w:rFonts w:ascii="Arial" w:eastAsia="Cambria" w:hAnsi="Arial" w:cs="Arial"/>
                <w:sz w:val="20"/>
                <w:szCs w:val="20"/>
                <w:lang w:eastAsia="en-CA"/>
              </w:rPr>
            </w:pPr>
          </w:p>
          <w:p w14:paraId="0FBAF2FD"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Interviews with former health ministers (n=20)</w:t>
            </w:r>
          </w:p>
          <w:p w14:paraId="12088E22" w14:textId="77777777" w:rsidR="00D85C25" w:rsidRPr="00DF0520" w:rsidRDefault="00D85C25" w:rsidP="00F125EB">
            <w:pPr>
              <w:spacing w:after="0" w:line="240" w:lineRule="auto"/>
              <w:rPr>
                <w:rFonts w:ascii="Arial" w:eastAsia="Times New Roman" w:hAnsi="Arial" w:cs="Arial"/>
                <w:sz w:val="20"/>
                <w:szCs w:val="20"/>
                <w:lang w:eastAsia="en-CA"/>
              </w:rPr>
            </w:pPr>
          </w:p>
          <w:p w14:paraId="6D4166FF"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No specific qualitative approach named</w:t>
            </w:r>
          </w:p>
        </w:tc>
        <w:tc>
          <w:tcPr>
            <w:tcW w:w="709" w:type="dxa"/>
            <w:shd w:val="clear" w:color="auto" w:fill="auto"/>
          </w:tcPr>
          <w:p w14:paraId="01192AC5"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4</w:t>
            </w:r>
          </w:p>
        </w:tc>
      </w:tr>
      <w:tr w:rsidR="00D85C25" w:rsidRPr="00DF0520" w14:paraId="199A3D67" w14:textId="77777777" w:rsidTr="00F125EB">
        <w:trPr>
          <w:trHeight w:val="548"/>
        </w:trPr>
        <w:tc>
          <w:tcPr>
            <w:tcW w:w="1423" w:type="dxa"/>
            <w:shd w:val="clear" w:color="auto" w:fill="auto"/>
          </w:tcPr>
          <w:p w14:paraId="0232429C"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Blanchard et al. (2013)</w:t>
            </w:r>
          </w:p>
          <w:p w14:paraId="5D31FA97" w14:textId="77777777" w:rsidR="00D85C25" w:rsidRPr="00DF0520" w:rsidRDefault="00D85C25" w:rsidP="00F125EB">
            <w:pPr>
              <w:spacing w:after="0" w:line="240" w:lineRule="auto"/>
              <w:rPr>
                <w:rFonts w:ascii="Arial" w:eastAsia="Times New Roman" w:hAnsi="Arial" w:cs="Arial"/>
                <w:sz w:val="20"/>
                <w:szCs w:val="20"/>
                <w:lang w:eastAsia="en-CA"/>
              </w:rPr>
            </w:pPr>
          </w:p>
          <w:p w14:paraId="61675B3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 Promotion, France</w:t>
            </w:r>
          </w:p>
        </w:tc>
        <w:tc>
          <w:tcPr>
            <w:tcW w:w="1843" w:type="dxa"/>
            <w:shd w:val="clear" w:color="auto" w:fill="auto"/>
          </w:tcPr>
          <w:p w14:paraId="5523D84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Improving policy and practice to promote equity and social justice: A qualitative comparative analysis building on key learnings from a twinning exchange between England and the US</w:t>
            </w:r>
          </w:p>
        </w:tc>
        <w:tc>
          <w:tcPr>
            <w:tcW w:w="2693" w:type="dxa"/>
            <w:shd w:val="clear" w:color="auto" w:fill="auto"/>
          </w:tcPr>
          <w:p w14:paraId="5B2BE5B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“to share and develop a better understanding of strategies for actions that can effectively address the SDH and social injustice” (p.46). </w:t>
            </w:r>
          </w:p>
          <w:p w14:paraId="3E188ED9"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276" w:type="dxa"/>
            <w:shd w:val="clear" w:color="auto" w:fill="auto"/>
          </w:tcPr>
          <w:p w14:paraId="4F2CEDD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Qualitative</w:t>
            </w:r>
          </w:p>
        </w:tc>
        <w:tc>
          <w:tcPr>
            <w:tcW w:w="1984" w:type="dxa"/>
            <w:shd w:val="clear" w:color="auto" w:fill="auto"/>
          </w:tcPr>
          <w:p w14:paraId="09ADA7EE"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Learning exchanges used as a means to identify and examine lessons learnt, drivers, factors for success and strategies that work for action on SDH</w:t>
            </w:r>
          </w:p>
        </w:tc>
        <w:tc>
          <w:tcPr>
            <w:tcW w:w="1134" w:type="dxa"/>
            <w:shd w:val="clear" w:color="auto" w:fill="auto"/>
          </w:tcPr>
          <w:p w14:paraId="660FFFDE"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0ED7E083"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 xml:space="preserve">1) + Des(1) + Met(2) + D(1) + An(1) </w:t>
            </w:r>
          </w:p>
          <w:p w14:paraId="0ACCB48B" w14:textId="77777777" w:rsidR="00D85C25" w:rsidRPr="00DF0520" w:rsidRDefault="00D85C25" w:rsidP="00F125EB">
            <w:pPr>
              <w:spacing w:after="0" w:line="240" w:lineRule="auto"/>
              <w:rPr>
                <w:rFonts w:ascii="Arial" w:eastAsia="Times New Roman" w:hAnsi="Arial" w:cs="Arial"/>
                <w:sz w:val="20"/>
                <w:szCs w:val="20"/>
                <w:lang w:eastAsia="en-CA"/>
              </w:rPr>
            </w:pPr>
          </w:p>
          <w:p w14:paraId="6A36FFC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Questionnaires (n=16 organizations)</w:t>
            </w:r>
          </w:p>
          <w:p w14:paraId="5AFE5EFC" w14:textId="77777777" w:rsidR="00D85C25" w:rsidRPr="00DF0520" w:rsidRDefault="00D85C25" w:rsidP="00F125EB">
            <w:pPr>
              <w:spacing w:after="0" w:line="240" w:lineRule="auto"/>
              <w:rPr>
                <w:rFonts w:ascii="Arial" w:eastAsia="Times New Roman" w:hAnsi="Arial" w:cs="Arial"/>
                <w:sz w:val="20"/>
                <w:szCs w:val="20"/>
                <w:lang w:eastAsia="en-CA"/>
              </w:rPr>
            </w:pPr>
          </w:p>
          <w:p w14:paraId="6B8EDB83"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No specific qualitative approach named, state use ‘thematic analysis’ in analysis</w:t>
            </w:r>
          </w:p>
        </w:tc>
        <w:tc>
          <w:tcPr>
            <w:tcW w:w="709" w:type="dxa"/>
            <w:shd w:val="clear" w:color="auto" w:fill="auto"/>
          </w:tcPr>
          <w:p w14:paraId="628814FE"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6</w:t>
            </w:r>
          </w:p>
        </w:tc>
      </w:tr>
      <w:tr w:rsidR="00D85C25" w:rsidRPr="00DF0520" w14:paraId="42BC24C2" w14:textId="77777777" w:rsidTr="00F125EB">
        <w:trPr>
          <w:trHeight w:val="548"/>
        </w:trPr>
        <w:tc>
          <w:tcPr>
            <w:tcW w:w="1423" w:type="dxa"/>
            <w:shd w:val="clear" w:color="auto" w:fill="auto"/>
          </w:tcPr>
          <w:p w14:paraId="4D3245D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Borde, Akerman, &amp; Pelligrini</w:t>
            </w:r>
          </w:p>
          <w:p w14:paraId="1CAD8C5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(2014)</w:t>
            </w:r>
          </w:p>
          <w:p w14:paraId="48EDB388" w14:textId="77777777" w:rsidR="00D85C25" w:rsidRPr="00DF0520" w:rsidRDefault="00D85C25" w:rsidP="00F125EB">
            <w:pPr>
              <w:spacing w:after="0" w:line="240" w:lineRule="auto"/>
              <w:rPr>
                <w:rFonts w:ascii="Arial" w:eastAsia="Times New Roman" w:hAnsi="Arial" w:cs="Arial"/>
                <w:sz w:val="20"/>
                <w:szCs w:val="20"/>
                <w:lang w:eastAsia="en-CA"/>
              </w:rPr>
            </w:pPr>
          </w:p>
          <w:p w14:paraId="620D3EA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Public Health, Brasil</w:t>
            </w:r>
          </w:p>
        </w:tc>
        <w:tc>
          <w:tcPr>
            <w:tcW w:w="1843" w:type="dxa"/>
            <w:shd w:val="clear" w:color="auto" w:fill="auto"/>
          </w:tcPr>
          <w:p w14:paraId="312942C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 xml:space="preserve">Mapping of capacities for research on </w:t>
            </w:r>
            <w:r w:rsidRPr="00DF0520">
              <w:rPr>
                <w:rFonts w:ascii="Arial" w:eastAsia="Times New Roman" w:hAnsi="Arial" w:cs="Arial"/>
                <w:sz w:val="20"/>
                <w:szCs w:val="20"/>
                <w:lang w:eastAsia="en-CA"/>
              </w:rPr>
              <w:lastRenderedPageBreak/>
              <w:t>health and its social determinants in Brazil</w:t>
            </w:r>
          </w:p>
        </w:tc>
        <w:tc>
          <w:tcPr>
            <w:tcW w:w="2693" w:type="dxa"/>
            <w:shd w:val="clear" w:color="auto" w:fill="auto"/>
          </w:tcPr>
          <w:p w14:paraId="16F3389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 xml:space="preserve">“to contribute to the identification of capacities for research on health and </w:t>
            </w:r>
            <w:r w:rsidRPr="00DF0520">
              <w:rPr>
                <w:rFonts w:ascii="Arial" w:eastAsia="Times New Roman" w:hAnsi="Arial" w:cs="Arial"/>
                <w:sz w:val="20"/>
                <w:szCs w:val="20"/>
                <w:lang w:eastAsia="en-CA"/>
              </w:rPr>
              <w:lastRenderedPageBreak/>
              <w:t>its social determinants in Brazil by mapping research activities and the scope of SDH research as well as research system structures, policies and networks defining research on health and its social determinants in Brazil, focusing on the developments since the establishment of the World Health Organization Commission on SDH (CSDH) in 2005” (p. 2082).</w:t>
            </w:r>
          </w:p>
        </w:tc>
        <w:tc>
          <w:tcPr>
            <w:tcW w:w="1276" w:type="dxa"/>
            <w:shd w:val="clear" w:color="auto" w:fill="auto"/>
          </w:tcPr>
          <w:p w14:paraId="0BCEB51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Mapping study</w:t>
            </w:r>
          </w:p>
          <w:p w14:paraId="14065B6C"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52EE01D2"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 xml:space="preserve">Health research systems and </w:t>
            </w:r>
            <w:r w:rsidRPr="00DF0520">
              <w:rPr>
                <w:rFonts w:ascii="Arial" w:eastAsia="Times New Roman" w:hAnsi="Arial" w:cs="Arial"/>
                <w:sz w:val="20"/>
                <w:szCs w:val="20"/>
                <w:lang w:eastAsia="en-CA"/>
              </w:rPr>
              <w:lastRenderedPageBreak/>
              <w:t>capacity for SDH research</w:t>
            </w:r>
          </w:p>
        </w:tc>
        <w:tc>
          <w:tcPr>
            <w:tcW w:w="1134" w:type="dxa"/>
            <w:shd w:val="clear" w:color="auto" w:fill="auto"/>
          </w:tcPr>
          <w:p w14:paraId="0FC8A8FD"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lastRenderedPageBreak/>
              <w:t>Illuminate</w:t>
            </w:r>
          </w:p>
        </w:tc>
        <w:tc>
          <w:tcPr>
            <w:tcW w:w="2126" w:type="dxa"/>
            <w:gridSpan w:val="2"/>
            <w:shd w:val="clear" w:color="auto" w:fill="auto"/>
          </w:tcPr>
          <w:p w14:paraId="2007A144"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Des(0) + Met(2) + D(1) + An(1)</w:t>
            </w:r>
          </w:p>
          <w:p w14:paraId="5FC27FBF" w14:textId="77777777" w:rsidR="00D85C25" w:rsidRPr="00DF0520" w:rsidRDefault="00D85C25" w:rsidP="00F125EB">
            <w:pPr>
              <w:spacing w:after="0" w:line="240" w:lineRule="auto"/>
              <w:rPr>
                <w:rFonts w:ascii="Arial" w:eastAsia="Times New Roman" w:hAnsi="Arial" w:cs="Arial"/>
                <w:sz w:val="20"/>
                <w:szCs w:val="20"/>
                <w:lang w:eastAsia="en-CA"/>
              </w:rPr>
            </w:pPr>
          </w:p>
          <w:p w14:paraId="43ABBE9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Literature reviews + semi-structured key informant interviews + database (knowledge translation platforms) consultations</w:t>
            </w:r>
          </w:p>
          <w:p w14:paraId="2EBC9362" w14:textId="77777777" w:rsidR="00D85C25" w:rsidRPr="00DF0520" w:rsidRDefault="00D85C25" w:rsidP="00F125EB">
            <w:pPr>
              <w:spacing w:after="0" w:line="240" w:lineRule="auto"/>
              <w:rPr>
                <w:rFonts w:ascii="Arial" w:eastAsia="Times New Roman" w:hAnsi="Arial" w:cs="Arial"/>
                <w:sz w:val="20"/>
                <w:szCs w:val="20"/>
                <w:lang w:eastAsia="en-CA"/>
              </w:rPr>
            </w:pPr>
          </w:p>
          <w:p w14:paraId="136EE43B"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No specific mapping methodology described</w:t>
            </w:r>
          </w:p>
          <w:p w14:paraId="203665CE" w14:textId="77777777" w:rsidR="00D85C25" w:rsidRPr="00DF0520" w:rsidRDefault="00D85C25" w:rsidP="00F125EB">
            <w:pPr>
              <w:spacing w:after="0" w:line="240" w:lineRule="auto"/>
              <w:rPr>
                <w:rFonts w:ascii="Arial" w:eastAsia="Cambria" w:hAnsi="Arial" w:cs="Arial"/>
                <w:sz w:val="20"/>
                <w:szCs w:val="20"/>
                <w:lang w:eastAsia="en-CA"/>
              </w:rPr>
            </w:pPr>
          </w:p>
        </w:tc>
        <w:tc>
          <w:tcPr>
            <w:tcW w:w="709" w:type="dxa"/>
            <w:shd w:val="clear" w:color="auto" w:fill="auto"/>
          </w:tcPr>
          <w:p w14:paraId="61EC566B"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lastRenderedPageBreak/>
              <w:t>5</w:t>
            </w:r>
          </w:p>
        </w:tc>
      </w:tr>
      <w:tr w:rsidR="00D85C25" w:rsidRPr="00DF0520" w14:paraId="2DFAC91B" w14:textId="77777777" w:rsidTr="00F125EB">
        <w:trPr>
          <w:trHeight w:val="548"/>
        </w:trPr>
        <w:tc>
          <w:tcPr>
            <w:tcW w:w="1423" w:type="dxa"/>
            <w:shd w:val="clear" w:color="auto" w:fill="auto"/>
          </w:tcPr>
          <w:p w14:paraId="46DAF0C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Brassolotto et al. (2014)</w:t>
            </w:r>
          </w:p>
          <w:p w14:paraId="5854EFDE" w14:textId="77777777" w:rsidR="00D85C25" w:rsidRPr="00DF0520" w:rsidRDefault="00D85C25" w:rsidP="00F125EB">
            <w:pPr>
              <w:spacing w:after="0" w:line="240" w:lineRule="auto"/>
              <w:rPr>
                <w:rFonts w:ascii="Arial" w:eastAsia="Times New Roman" w:hAnsi="Arial" w:cs="Arial"/>
                <w:sz w:val="20"/>
                <w:szCs w:val="20"/>
                <w:lang w:eastAsia="en-CA"/>
              </w:rPr>
            </w:pPr>
          </w:p>
          <w:p w14:paraId="4D82FA1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 Policy, Canada</w:t>
            </w:r>
          </w:p>
        </w:tc>
        <w:tc>
          <w:tcPr>
            <w:tcW w:w="1843" w:type="dxa"/>
            <w:shd w:val="clear" w:color="auto" w:fill="auto"/>
          </w:tcPr>
          <w:p w14:paraId="34C1AB3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Epistemological barriers to addressing the social determinants of health among public health professionals in Ontario, Canada </w:t>
            </w:r>
          </w:p>
        </w:tc>
        <w:tc>
          <w:tcPr>
            <w:tcW w:w="2693" w:type="dxa"/>
            <w:shd w:val="clear" w:color="auto" w:fill="auto"/>
          </w:tcPr>
          <w:p w14:paraId="04D2027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examine our assumption that there might be epistemological challenges to PHUs applying [social determinants of health] concepts… [and] to understand the worldviews of public health ofﬁcials concerning these issues” (p. 2).</w:t>
            </w:r>
          </w:p>
        </w:tc>
        <w:tc>
          <w:tcPr>
            <w:tcW w:w="1276" w:type="dxa"/>
            <w:shd w:val="clear" w:color="auto" w:fill="auto"/>
          </w:tcPr>
          <w:p w14:paraId="07B4A25D"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Qualitative interviews</w:t>
            </w:r>
          </w:p>
          <w:p w14:paraId="37C5802F"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2ED35FF8"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Daily public health work </w:t>
            </w:r>
          </w:p>
        </w:tc>
        <w:tc>
          <w:tcPr>
            <w:tcW w:w="1134" w:type="dxa"/>
            <w:shd w:val="clear" w:color="auto" w:fill="auto"/>
          </w:tcPr>
          <w:p w14:paraId="7E157F36"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19BE3DD2"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Des(0) + Met(1) + D(2) + An(2)</w:t>
            </w:r>
          </w:p>
          <w:p w14:paraId="325656DD" w14:textId="77777777" w:rsidR="00D85C25" w:rsidRPr="00DF0520" w:rsidRDefault="00D85C25" w:rsidP="00F125EB">
            <w:pPr>
              <w:spacing w:after="0" w:line="240" w:lineRule="auto"/>
              <w:rPr>
                <w:rFonts w:ascii="Arial" w:eastAsia="Times New Roman" w:hAnsi="Arial" w:cs="Arial"/>
                <w:sz w:val="20"/>
                <w:szCs w:val="20"/>
                <w:lang w:eastAsia="en-CA"/>
              </w:rPr>
            </w:pPr>
          </w:p>
          <w:p w14:paraId="354F314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No specific qualitative approach named; orientation to root causes of health inequities well described</w:t>
            </w:r>
          </w:p>
        </w:tc>
        <w:tc>
          <w:tcPr>
            <w:tcW w:w="709" w:type="dxa"/>
            <w:shd w:val="clear" w:color="auto" w:fill="auto"/>
          </w:tcPr>
          <w:p w14:paraId="3A2163B4"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6</w:t>
            </w:r>
          </w:p>
        </w:tc>
      </w:tr>
      <w:tr w:rsidR="00D85C25" w:rsidRPr="00DF0520" w14:paraId="3FEAABF5" w14:textId="77777777" w:rsidTr="00F125EB">
        <w:trPr>
          <w:trHeight w:val="548"/>
        </w:trPr>
        <w:tc>
          <w:tcPr>
            <w:tcW w:w="1423" w:type="dxa"/>
            <w:shd w:val="clear" w:color="auto" w:fill="auto"/>
          </w:tcPr>
          <w:p w14:paraId="0901ED0D"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Cacari-Stone et al. (2014)</w:t>
            </w:r>
          </w:p>
          <w:p w14:paraId="29EFAFD7" w14:textId="77777777" w:rsidR="00D85C25" w:rsidRPr="00DF0520" w:rsidRDefault="00D85C25" w:rsidP="00F125EB">
            <w:pPr>
              <w:spacing w:after="0" w:line="240" w:lineRule="auto"/>
              <w:rPr>
                <w:rFonts w:ascii="Arial" w:eastAsia="Times New Roman" w:hAnsi="Arial" w:cs="Arial"/>
                <w:sz w:val="20"/>
                <w:szCs w:val="20"/>
                <w:lang w:eastAsia="en-CA"/>
              </w:rPr>
            </w:pPr>
          </w:p>
          <w:p w14:paraId="6B3993B5"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Public Health, United States of America</w:t>
            </w:r>
          </w:p>
        </w:tc>
        <w:tc>
          <w:tcPr>
            <w:tcW w:w="1843" w:type="dxa"/>
            <w:shd w:val="clear" w:color="auto" w:fill="auto"/>
          </w:tcPr>
          <w:p w14:paraId="1AE48755"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The promise of community-based participatory research for health equity: A conceptual model for bridging evidence with policy</w:t>
            </w:r>
          </w:p>
        </w:tc>
        <w:tc>
          <w:tcPr>
            <w:tcW w:w="2693" w:type="dxa"/>
            <w:shd w:val="clear" w:color="auto" w:fill="auto"/>
          </w:tcPr>
          <w:p w14:paraId="4C28960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explore how community-based participatory research (CBPR) responds to two knowledge-to-action challenges: “1) the gap between scientiﬁc evidence and policy action based on evidence, and (2) the difﬁculty of mobilizing civic engagement for policymaking in the United States” (p. 1615).</w:t>
            </w:r>
          </w:p>
        </w:tc>
        <w:tc>
          <w:tcPr>
            <w:tcW w:w="1276" w:type="dxa"/>
            <w:shd w:val="clear" w:color="auto" w:fill="auto"/>
          </w:tcPr>
          <w:p w14:paraId="4C1075B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Descriptive case study</w:t>
            </w:r>
          </w:p>
          <w:p w14:paraId="2E7FD767" w14:textId="77777777" w:rsidR="00D85C25" w:rsidRPr="00DF0520" w:rsidRDefault="00D85C25" w:rsidP="00F125EB">
            <w:pPr>
              <w:spacing w:after="0" w:line="240" w:lineRule="auto"/>
              <w:rPr>
                <w:rFonts w:ascii="Arial" w:eastAsia="Times New Roman" w:hAnsi="Arial" w:cs="Arial"/>
                <w:sz w:val="20"/>
                <w:szCs w:val="20"/>
                <w:lang w:eastAsia="en-CA"/>
              </w:rPr>
            </w:pPr>
          </w:p>
          <w:p w14:paraId="7977448F"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6F8E205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Community-based participatory research practices </w:t>
            </w:r>
          </w:p>
          <w:p w14:paraId="3A7C0705" w14:textId="77777777" w:rsidR="00D85C25" w:rsidRPr="00DF0520" w:rsidRDefault="00D85C25" w:rsidP="00F125EB">
            <w:pPr>
              <w:spacing w:after="0" w:line="240" w:lineRule="auto"/>
              <w:rPr>
                <w:rFonts w:ascii="Arial" w:eastAsia="Times New Roman" w:hAnsi="Arial" w:cs="Arial"/>
                <w:sz w:val="20"/>
                <w:szCs w:val="20"/>
                <w:lang w:eastAsia="en-CA"/>
              </w:rPr>
            </w:pPr>
          </w:p>
          <w:p w14:paraId="43261B1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Derive a framework linking CBPR and policy making</w:t>
            </w:r>
          </w:p>
        </w:tc>
        <w:tc>
          <w:tcPr>
            <w:tcW w:w="1134" w:type="dxa"/>
            <w:shd w:val="clear" w:color="auto" w:fill="auto"/>
          </w:tcPr>
          <w:p w14:paraId="27E92342"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Interrupt</w:t>
            </w:r>
          </w:p>
        </w:tc>
        <w:tc>
          <w:tcPr>
            <w:tcW w:w="2126" w:type="dxa"/>
            <w:gridSpan w:val="2"/>
            <w:shd w:val="clear" w:color="auto" w:fill="auto"/>
          </w:tcPr>
          <w:p w14:paraId="35FA6AC7"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Des(0) + Met(0) + D(1) + An(1)</w:t>
            </w:r>
          </w:p>
          <w:p w14:paraId="62DF18ED" w14:textId="77777777" w:rsidR="00D85C25" w:rsidRPr="00DF0520" w:rsidRDefault="00D85C25" w:rsidP="00F125EB">
            <w:pPr>
              <w:spacing w:after="0" w:line="240" w:lineRule="auto"/>
              <w:rPr>
                <w:rFonts w:ascii="Arial" w:eastAsia="Times New Roman" w:hAnsi="Arial" w:cs="Arial"/>
                <w:sz w:val="20"/>
                <w:szCs w:val="20"/>
                <w:lang w:eastAsia="en-CA"/>
              </w:rPr>
            </w:pPr>
          </w:p>
          <w:p w14:paraId="23CC24A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No specific qualitative approach named </w:t>
            </w:r>
          </w:p>
          <w:p w14:paraId="69A5D082" w14:textId="77777777" w:rsidR="00D85C25" w:rsidRPr="00DF0520" w:rsidRDefault="00D85C25" w:rsidP="00F125EB">
            <w:pPr>
              <w:spacing w:after="0" w:line="240" w:lineRule="auto"/>
              <w:rPr>
                <w:rFonts w:ascii="Arial" w:eastAsia="Times New Roman" w:hAnsi="Arial" w:cs="Arial"/>
                <w:sz w:val="20"/>
                <w:szCs w:val="20"/>
                <w:lang w:eastAsia="en-CA"/>
              </w:rPr>
            </w:pPr>
          </w:p>
          <w:p w14:paraId="193D08E2" w14:textId="77777777" w:rsidR="00D85C25" w:rsidRPr="00DF0520" w:rsidRDefault="00D85C25" w:rsidP="00F125EB">
            <w:pPr>
              <w:spacing w:after="0" w:line="240" w:lineRule="auto"/>
              <w:rPr>
                <w:rFonts w:ascii="Arial" w:eastAsia="Cambria" w:hAnsi="Arial" w:cs="Arial"/>
                <w:sz w:val="20"/>
                <w:szCs w:val="20"/>
                <w:lang w:eastAsia="en-CA"/>
              </w:rPr>
            </w:pPr>
          </w:p>
        </w:tc>
        <w:tc>
          <w:tcPr>
            <w:tcW w:w="709" w:type="dxa"/>
            <w:shd w:val="clear" w:color="auto" w:fill="auto"/>
          </w:tcPr>
          <w:p w14:paraId="558A9107"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3</w:t>
            </w:r>
          </w:p>
        </w:tc>
      </w:tr>
      <w:tr w:rsidR="00D85C25" w:rsidRPr="00DF0520" w14:paraId="3F55B98C" w14:textId="77777777" w:rsidTr="00F125EB">
        <w:trPr>
          <w:trHeight w:val="548"/>
        </w:trPr>
        <w:tc>
          <w:tcPr>
            <w:tcW w:w="1423" w:type="dxa"/>
            <w:shd w:val="clear" w:color="auto" w:fill="auto"/>
          </w:tcPr>
          <w:p w14:paraId="28D3BDD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Carey &amp; Crammond (2015)</w:t>
            </w:r>
          </w:p>
          <w:p w14:paraId="5E274AF5" w14:textId="77777777" w:rsidR="00D85C25" w:rsidRPr="00DF0520" w:rsidRDefault="00D85C25" w:rsidP="00F125EB">
            <w:pPr>
              <w:spacing w:after="0" w:line="240" w:lineRule="auto"/>
              <w:rPr>
                <w:rFonts w:ascii="Arial" w:eastAsia="Times New Roman" w:hAnsi="Arial" w:cs="Arial"/>
                <w:sz w:val="20"/>
                <w:szCs w:val="20"/>
                <w:lang w:eastAsia="en-CA"/>
              </w:rPr>
            </w:pPr>
          </w:p>
          <w:p w14:paraId="24736F0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Epidemiology &amp; Public Health, Australia</w:t>
            </w:r>
          </w:p>
        </w:tc>
        <w:tc>
          <w:tcPr>
            <w:tcW w:w="1843" w:type="dxa"/>
            <w:shd w:val="clear" w:color="auto" w:fill="auto"/>
          </w:tcPr>
          <w:p w14:paraId="7B7700BC"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Systems change for the social determinants of health</w:t>
            </w:r>
          </w:p>
          <w:p w14:paraId="1F64180C"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5DFB3FA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review evidence on joined-up approaches, illuminating ‘system leverage points’ and how action for change can be effective in complex systems that determine health outcomes.</w:t>
            </w:r>
          </w:p>
        </w:tc>
        <w:tc>
          <w:tcPr>
            <w:tcW w:w="1276" w:type="dxa"/>
            <w:shd w:val="clear" w:color="auto" w:fill="auto"/>
          </w:tcPr>
          <w:p w14:paraId="0AC4D0F8"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Policy analysis</w:t>
            </w:r>
          </w:p>
          <w:p w14:paraId="3B916687"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541717D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Systems-level approaches for leveraging action on causes of health inequities</w:t>
            </w:r>
          </w:p>
          <w:p w14:paraId="14FB7CCA" w14:textId="77777777" w:rsidR="00D85C25" w:rsidRPr="00DF0520" w:rsidRDefault="00D85C25" w:rsidP="00F125EB">
            <w:pPr>
              <w:spacing w:after="0" w:line="240" w:lineRule="auto"/>
              <w:rPr>
                <w:rFonts w:ascii="Arial" w:eastAsia="Times New Roman" w:hAnsi="Arial" w:cs="Arial"/>
                <w:sz w:val="20"/>
                <w:szCs w:val="20"/>
                <w:lang w:eastAsia="en-CA"/>
              </w:rPr>
            </w:pPr>
          </w:p>
          <w:p w14:paraId="0EEEFC65"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Analytical framework includes an adapted version of Meadow’s ’12 places to intervene in a system’</w:t>
            </w:r>
          </w:p>
        </w:tc>
        <w:tc>
          <w:tcPr>
            <w:tcW w:w="1134" w:type="dxa"/>
            <w:shd w:val="clear" w:color="auto" w:fill="auto"/>
          </w:tcPr>
          <w:p w14:paraId="01556C36"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45250BF7"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Des(2) + Met(2) + D(2) + An(2)</w:t>
            </w:r>
          </w:p>
          <w:p w14:paraId="3948CCFC" w14:textId="77777777" w:rsidR="00D85C25" w:rsidRPr="00DF0520" w:rsidRDefault="00D85C25" w:rsidP="00F125EB">
            <w:pPr>
              <w:spacing w:after="0" w:line="240" w:lineRule="auto"/>
              <w:rPr>
                <w:rFonts w:ascii="Arial" w:eastAsia="Cambria" w:hAnsi="Arial" w:cs="Arial"/>
                <w:sz w:val="20"/>
                <w:szCs w:val="20"/>
                <w:lang w:eastAsia="en-CA"/>
              </w:rPr>
            </w:pPr>
          </w:p>
          <w:p w14:paraId="38ECC513" w14:textId="77777777" w:rsidR="00D85C25" w:rsidRPr="00DF0520" w:rsidRDefault="00D85C25" w:rsidP="00F125EB">
            <w:pPr>
              <w:spacing w:after="0" w:line="240" w:lineRule="auto"/>
              <w:rPr>
                <w:rFonts w:ascii="Arial" w:eastAsia="Cambria" w:hAnsi="Arial" w:cs="Arial"/>
                <w:sz w:val="20"/>
                <w:szCs w:val="20"/>
                <w:lang w:eastAsia="en-CA"/>
              </w:rPr>
            </w:pPr>
          </w:p>
        </w:tc>
        <w:tc>
          <w:tcPr>
            <w:tcW w:w="709" w:type="dxa"/>
            <w:shd w:val="clear" w:color="auto" w:fill="auto"/>
          </w:tcPr>
          <w:p w14:paraId="6E514876"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9</w:t>
            </w:r>
          </w:p>
        </w:tc>
      </w:tr>
      <w:tr w:rsidR="00D85C25" w:rsidRPr="00DF0520" w14:paraId="5831B2F1" w14:textId="77777777" w:rsidTr="00F125EB">
        <w:trPr>
          <w:trHeight w:val="548"/>
        </w:trPr>
        <w:tc>
          <w:tcPr>
            <w:tcW w:w="1423" w:type="dxa"/>
            <w:shd w:val="clear" w:color="auto" w:fill="auto"/>
          </w:tcPr>
          <w:p w14:paraId="56BC123D"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deAndre et al. (2015)</w:t>
            </w:r>
          </w:p>
          <w:p w14:paraId="08149AF6" w14:textId="77777777" w:rsidR="00D85C25" w:rsidRPr="00DF0520" w:rsidRDefault="00D85C25" w:rsidP="00F125EB">
            <w:pPr>
              <w:spacing w:after="0" w:line="240" w:lineRule="auto"/>
              <w:rPr>
                <w:rFonts w:ascii="Arial" w:eastAsia="Times New Roman" w:hAnsi="Arial" w:cs="Arial"/>
                <w:sz w:val="20"/>
                <w:szCs w:val="20"/>
                <w:lang w:eastAsia="en-CA"/>
              </w:rPr>
            </w:pPr>
          </w:p>
          <w:p w14:paraId="198978F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Medicine, Brasil</w:t>
            </w:r>
          </w:p>
        </w:tc>
        <w:tc>
          <w:tcPr>
            <w:tcW w:w="1843" w:type="dxa"/>
            <w:shd w:val="clear" w:color="auto" w:fill="auto"/>
          </w:tcPr>
          <w:p w14:paraId="49F1FB3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Social determinants of health, universal health coverage, and sustainable development: Case studies from Latin American countries</w:t>
            </w:r>
          </w:p>
          <w:p w14:paraId="633F26E6"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08C42F0F"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“assess the experiences in the design and implementation at national scale social programmes underpinned by intersectoral action and social participation aimed at addressing social determinants of health, improving health, and reducing health inequities” (p. 1344).</w:t>
            </w:r>
          </w:p>
          <w:p w14:paraId="694DFC55"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276" w:type="dxa"/>
            <w:shd w:val="clear" w:color="auto" w:fill="auto"/>
          </w:tcPr>
          <w:p w14:paraId="6FD63752"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Case series* </w:t>
            </w:r>
          </w:p>
          <w:p w14:paraId="08153AF4"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3183675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 systems collaboration with other sectors to address upstream determinants of health; universal health coverage</w:t>
            </w:r>
          </w:p>
        </w:tc>
        <w:tc>
          <w:tcPr>
            <w:tcW w:w="1134" w:type="dxa"/>
            <w:shd w:val="clear" w:color="auto" w:fill="auto"/>
          </w:tcPr>
          <w:p w14:paraId="1920B0D4"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Interrupt</w:t>
            </w:r>
          </w:p>
        </w:tc>
        <w:tc>
          <w:tcPr>
            <w:tcW w:w="2126" w:type="dxa"/>
            <w:gridSpan w:val="2"/>
            <w:shd w:val="clear" w:color="auto" w:fill="auto"/>
          </w:tcPr>
          <w:p w14:paraId="162C7349"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0) + Des(1) + Met(1) + D(1) + An(2)</w:t>
            </w:r>
          </w:p>
          <w:p w14:paraId="424F68D3" w14:textId="77777777" w:rsidR="00D85C25" w:rsidRPr="00DF0520" w:rsidRDefault="00D85C25" w:rsidP="00F125EB">
            <w:pPr>
              <w:spacing w:after="0" w:line="240" w:lineRule="auto"/>
              <w:rPr>
                <w:rFonts w:ascii="Arial" w:eastAsia="Times New Roman" w:hAnsi="Arial" w:cs="Arial"/>
                <w:sz w:val="20"/>
                <w:szCs w:val="20"/>
                <w:lang w:eastAsia="en-CA"/>
              </w:rPr>
            </w:pPr>
          </w:p>
          <w:p w14:paraId="7B752E0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Document review + secondary analysis of public health outcomes data (n=4 cases: Brasil, Chile, Columbia, and Cuba)</w:t>
            </w:r>
          </w:p>
          <w:p w14:paraId="5974D342" w14:textId="77777777" w:rsidR="00D85C25" w:rsidRPr="00DF0520" w:rsidRDefault="00D85C25" w:rsidP="00F125EB">
            <w:pPr>
              <w:spacing w:after="0" w:line="240" w:lineRule="auto"/>
              <w:rPr>
                <w:rFonts w:ascii="Arial" w:eastAsia="Times New Roman" w:hAnsi="Arial" w:cs="Arial"/>
                <w:sz w:val="20"/>
                <w:szCs w:val="20"/>
                <w:lang w:eastAsia="en-CA"/>
              </w:rPr>
            </w:pPr>
          </w:p>
          <w:p w14:paraId="71D974B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Strong analysis of sociopolitical and historical contexts </w:t>
            </w:r>
          </w:p>
        </w:tc>
        <w:tc>
          <w:tcPr>
            <w:tcW w:w="709" w:type="dxa"/>
            <w:shd w:val="clear" w:color="auto" w:fill="auto"/>
          </w:tcPr>
          <w:p w14:paraId="3E5EDC2E"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5</w:t>
            </w:r>
          </w:p>
        </w:tc>
      </w:tr>
      <w:tr w:rsidR="00D85C25" w:rsidRPr="00DF0520" w14:paraId="769F9BE8" w14:textId="77777777" w:rsidTr="00F125EB">
        <w:trPr>
          <w:trHeight w:val="548"/>
        </w:trPr>
        <w:tc>
          <w:tcPr>
            <w:tcW w:w="1423" w:type="dxa"/>
            <w:shd w:val="clear" w:color="auto" w:fill="auto"/>
          </w:tcPr>
          <w:p w14:paraId="05AAA66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Estey et al. (2010)</w:t>
            </w:r>
          </w:p>
          <w:p w14:paraId="7EBEE255" w14:textId="77777777" w:rsidR="00D85C25" w:rsidRPr="00DF0520" w:rsidRDefault="00D85C25" w:rsidP="00F125EB">
            <w:pPr>
              <w:spacing w:after="0" w:line="240" w:lineRule="auto"/>
              <w:rPr>
                <w:rFonts w:ascii="Arial" w:eastAsia="Times New Roman" w:hAnsi="Arial" w:cs="Arial"/>
                <w:sz w:val="20"/>
                <w:szCs w:val="20"/>
                <w:lang w:eastAsia="en-CA"/>
              </w:rPr>
            </w:pPr>
          </w:p>
          <w:p w14:paraId="7BFDCF1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Knowledge Translation, Canada</w:t>
            </w:r>
          </w:p>
        </w:tc>
        <w:tc>
          <w:tcPr>
            <w:tcW w:w="1843" w:type="dxa"/>
            <w:shd w:val="clear" w:color="auto" w:fill="auto"/>
          </w:tcPr>
          <w:p w14:paraId="52FD802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Thinking about aboriginal KT: learning from the Network Environments for Aboriginal Health Research British Columbia (NEARBC)</w:t>
            </w:r>
          </w:p>
          <w:p w14:paraId="6229AB22"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7397312F"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highlight the complexity of Aboriginal KT (a shorthand used by the authors to refer to KT in Aboriginal health research contexts), but also areas for action” (p. 83).</w:t>
            </w:r>
          </w:p>
        </w:tc>
        <w:tc>
          <w:tcPr>
            <w:tcW w:w="1276" w:type="dxa"/>
            <w:shd w:val="clear" w:color="auto" w:fill="auto"/>
          </w:tcPr>
          <w:p w14:paraId="0A46BF4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Exploratory case study</w:t>
            </w:r>
          </w:p>
        </w:tc>
        <w:tc>
          <w:tcPr>
            <w:tcW w:w="1984" w:type="dxa"/>
            <w:shd w:val="clear" w:color="auto" w:fill="auto"/>
          </w:tcPr>
          <w:p w14:paraId="5723D8BC"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Indigenous approaches in knowledge translation</w:t>
            </w:r>
          </w:p>
        </w:tc>
        <w:tc>
          <w:tcPr>
            <w:tcW w:w="1134" w:type="dxa"/>
            <w:shd w:val="clear" w:color="auto" w:fill="auto"/>
          </w:tcPr>
          <w:p w14:paraId="153E8003"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19C1B328"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Des(1) + Met(1) + D(2) + An(1)</w:t>
            </w:r>
          </w:p>
          <w:p w14:paraId="3702C49F" w14:textId="77777777" w:rsidR="00D85C25" w:rsidRPr="00DF0520" w:rsidRDefault="00D85C25" w:rsidP="00F125EB">
            <w:pPr>
              <w:spacing w:after="0" w:line="240" w:lineRule="auto"/>
              <w:rPr>
                <w:rFonts w:ascii="Arial" w:eastAsia="Cambria" w:hAnsi="Arial" w:cs="Arial"/>
                <w:sz w:val="20"/>
                <w:szCs w:val="20"/>
                <w:lang w:eastAsia="en-CA"/>
              </w:rPr>
            </w:pPr>
          </w:p>
          <w:p w14:paraId="003DDF5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Interviews with people involved in the Network Environments for Aboriginal Research British Columbia</w:t>
            </w:r>
          </w:p>
          <w:p w14:paraId="60AE667F"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lastRenderedPageBreak/>
              <w:t>(n=10)</w:t>
            </w:r>
          </w:p>
        </w:tc>
        <w:tc>
          <w:tcPr>
            <w:tcW w:w="709" w:type="dxa"/>
            <w:shd w:val="clear" w:color="auto" w:fill="auto"/>
          </w:tcPr>
          <w:p w14:paraId="1D9EF812"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lastRenderedPageBreak/>
              <w:t>7</w:t>
            </w:r>
          </w:p>
        </w:tc>
      </w:tr>
      <w:tr w:rsidR="00D85C25" w:rsidRPr="00DF0520" w14:paraId="03F7D18A" w14:textId="77777777" w:rsidTr="00F125EB">
        <w:trPr>
          <w:trHeight w:val="548"/>
        </w:trPr>
        <w:tc>
          <w:tcPr>
            <w:tcW w:w="1423" w:type="dxa"/>
            <w:shd w:val="clear" w:color="auto" w:fill="auto"/>
          </w:tcPr>
          <w:p w14:paraId="642D1D8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Gore &amp; Kothari (2012)</w:t>
            </w:r>
          </w:p>
          <w:p w14:paraId="31D27C77" w14:textId="77777777" w:rsidR="00D85C25" w:rsidRPr="00DF0520" w:rsidRDefault="00D85C25" w:rsidP="00F125EB">
            <w:pPr>
              <w:spacing w:after="0" w:line="240" w:lineRule="auto"/>
              <w:rPr>
                <w:rFonts w:ascii="Arial" w:eastAsia="Times New Roman" w:hAnsi="Arial" w:cs="Arial"/>
                <w:sz w:val="20"/>
                <w:szCs w:val="20"/>
                <w:lang w:eastAsia="en-CA"/>
              </w:rPr>
            </w:pPr>
          </w:p>
          <w:p w14:paraId="72FDB27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 Sciences, Canada</w:t>
            </w:r>
          </w:p>
        </w:tc>
        <w:tc>
          <w:tcPr>
            <w:tcW w:w="1843" w:type="dxa"/>
            <w:shd w:val="clear" w:color="auto" w:fill="auto"/>
          </w:tcPr>
          <w:p w14:paraId="09B3E21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Social determinants of health in Canada: Are healthy living initiatives there yet? A policy analysis</w:t>
            </w:r>
          </w:p>
        </w:tc>
        <w:tc>
          <w:tcPr>
            <w:tcW w:w="2693" w:type="dxa"/>
            <w:shd w:val="clear" w:color="auto" w:fill="auto"/>
          </w:tcPr>
          <w:p w14:paraId="54F526A8"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“to evaluate healthy living initiatives in </w:t>
            </w:r>
          </w:p>
          <w:p w14:paraId="5BD8CB8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BC and ON that focus on healthy eating and physical activity based on their approach to the social determinants of health and health inequities” (p. 3).</w:t>
            </w:r>
          </w:p>
        </w:tc>
        <w:tc>
          <w:tcPr>
            <w:tcW w:w="1276" w:type="dxa"/>
            <w:shd w:val="clear" w:color="auto" w:fill="auto"/>
          </w:tcPr>
          <w:p w14:paraId="2703F0D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Policy analysis</w:t>
            </w:r>
          </w:p>
        </w:tc>
        <w:tc>
          <w:tcPr>
            <w:tcW w:w="1984" w:type="dxa"/>
            <w:shd w:val="clear" w:color="auto" w:fill="auto"/>
          </w:tcPr>
          <w:p w14:paraId="5D3B9EA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Healthy living initiatives</w:t>
            </w:r>
          </w:p>
          <w:p w14:paraId="5341729C" w14:textId="77777777" w:rsidR="00D85C25" w:rsidRPr="00DF0520" w:rsidRDefault="00D85C25" w:rsidP="00F125EB">
            <w:pPr>
              <w:spacing w:after="0" w:line="240" w:lineRule="auto"/>
              <w:rPr>
                <w:rFonts w:ascii="Arial" w:eastAsia="Times New Roman" w:hAnsi="Arial" w:cs="Arial"/>
                <w:sz w:val="20"/>
                <w:szCs w:val="20"/>
                <w:lang w:eastAsia="en-CA"/>
              </w:rPr>
            </w:pPr>
          </w:p>
          <w:p w14:paraId="10D6A8A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Derive an analytical framework to assess policies for type of initiative (life-style, environment, or structural) and mechanism (direct program, blueprint, or building block)</w:t>
            </w:r>
          </w:p>
        </w:tc>
        <w:tc>
          <w:tcPr>
            <w:tcW w:w="1134" w:type="dxa"/>
            <w:shd w:val="clear" w:color="auto" w:fill="auto"/>
          </w:tcPr>
          <w:p w14:paraId="16102027"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03AE2EB8"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Des(2) + Met(1) + D(2) + An(2)</w:t>
            </w:r>
          </w:p>
          <w:p w14:paraId="4C43054F" w14:textId="77777777" w:rsidR="00D85C25" w:rsidRPr="00DF0520" w:rsidRDefault="00D85C25" w:rsidP="00F125EB">
            <w:pPr>
              <w:spacing w:after="0" w:line="240" w:lineRule="auto"/>
              <w:rPr>
                <w:rFonts w:ascii="Arial" w:eastAsia="Cambria" w:hAnsi="Arial" w:cs="Arial"/>
                <w:sz w:val="20"/>
                <w:szCs w:val="20"/>
                <w:lang w:eastAsia="en-CA"/>
              </w:rPr>
            </w:pPr>
          </w:p>
          <w:p w14:paraId="422F97F1"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Searched documents, website, database, and health organizations to identify initiatives in 2 Canadian provinces (n=60 Ontario initiatives; n=61 British Columbia initiatives)</w:t>
            </w:r>
          </w:p>
        </w:tc>
        <w:tc>
          <w:tcPr>
            <w:tcW w:w="709" w:type="dxa"/>
            <w:shd w:val="clear" w:color="auto" w:fill="auto"/>
          </w:tcPr>
          <w:p w14:paraId="36E4D623"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9</w:t>
            </w:r>
          </w:p>
        </w:tc>
      </w:tr>
      <w:tr w:rsidR="00D85C25" w:rsidRPr="00DF0520" w14:paraId="60601CB2" w14:textId="77777777" w:rsidTr="00F125EB">
        <w:trPr>
          <w:trHeight w:val="548"/>
        </w:trPr>
        <w:tc>
          <w:tcPr>
            <w:tcW w:w="1423" w:type="dxa"/>
            <w:shd w:val="clear" w:color="auto" w:fill="auto"/>
          </w:tcPr>
          <w:p w14:paraId="552E3FEC"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Grundy et al. 2014</w:t>
            </w:r>
          </w:p>
          <w:p w14:paraId="6A5721B0" w14:textId="77777777" w:rsidR="00D85C25" w:rsidRPr="00DF0520" w:rsidRDefault="00D85C25" w:rsidP="00F125EB">
            <w:pPr>
              <w:spacing w:after="0" w:line="240" w:lineRule="auto"/>
              <w:rPr>
                <w:rFonts w:ascii="Arial" w:eastAsia="Times New Roman" w:hAnsi="Arial" w:cs="Arial"/>
                <w:sz w:val="20"/>
                <w:szCs w:val="20"/>
                <w:lang w:eastAsia="en-CA"/>
              </w:rPr>
            </w:pPr>
          </w:p>
          <w:p w14:paraId="2BB45EC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Global Health, Cambodia</w:t>
            </w:r>
          </w:p>
        </w:tc>
        <w:tc>
          <w:tcPr>
            <w:tcW w:w="1843" w:type="dxa"/>
            <w:shd w:val="clear" w:color="auto" w:fill="auto"/>
          </w:tcPr>
          <w:p w14:paraId="41A53CE8"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Improving average health and persisting health inequities: Towards a justice and fairness platform for health policy making in Asia</w:t>
            </w:r>
          </w:p>
        </w:tc>
        <w:tc>
          <w:tcPr>
            <w:tcW w:w="2693" w:type="dxa"/>
            <w:shd w:val="clear" w:color="auto" w:fill="auto"/>
          </w:tcPr>
          <w:p w14:paraId="7B1E5BB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To “describe the existing trends in inequity reduction” in eight Asian countries (Bangladesh, Cambodia, India, Indonesia, Nepal, Pakistan, Phillipines, Vietnam) </w:t>
            </w:r>
            <w:proofErr w:type="gramStart"/>
            <w:r w:rsidRPr="00DF0520">
              <w:rPr>
                <w:rFonts w:ascii="Arial" w:eastAsia="Times New Roman" w:hAnsi="Arial" w:cs="Arial"/>
                <w:sz w:val="20"/>
                <w:szCs w:val="20"/>
                <w:lang w:eastAsia="en-CA"/>
              </w:rPr>
              <w:t>…“</w:t>
            </w:r>
            <w:proofErr w:type="gramEnd"/>
            <w:r w:rsidRPr="00DF0520">
              <w:rPr>
                <w:rFonts w:ascii="Arial" w:eastAsia="Times New Roman" w:hAnsi="Arial" w:cs="Arial"/>
                <w:sz w:val="20"/>
                <w:szCs w:val="20"/>
                <w:lang w:eastAsia="en-CA"/>
              </w:rPr>
              <w:t>and then to consider the implications of these findings for the practice of health policy making at national and global level” (p. 875).</w:t>
            </w:r>
          </w:p>
        </w:tc>
        <w:tc>
          <w:tcPr>
            <w:tcW w:w="1276" w:type="dxa"/>
            <w:shd w:val="clear" w:color="auto" w:fill="auto"/>
          </w:tcPr>
          <w:p w14:paraId="56B211C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Case Comparison</w:t>
            </w:r>
          </w:p>
        </w:tc>
        <w:tc>
          <w:tcPr>
            <w:tcW w:w="1984" w:type="dxa"/>
            <w:shd w:val="clear" w:color="auto" w:fill="auto"/>
          </w:tcPr>
          <w:p w14:paraId="0860575C"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Wealth re-distribution and universal access policies</w:t>
            </w:r>
          </w:p>
        </w:tc>
        <w:tc>
          <w:tcPr>
            <w:tcW w:w="1134" w:type="dxa"/>
            <w:shd w:val="clear" w:color="auto" w:fill="auto"/>
          </w:tcPr>
          <w:p w14:paraId="73041F03"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0026B7F2"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Des(1) + Met(1) + D(1) + An(1)</w:t>
            </w:r>
          </w:p>
          <w:p w14:paraId="686B6A25" w14:textId="77777777" w:rsidR="00D85C25" w:rsidRPr="00DF0520" w:rsidRDefault="00D85C25" w:rsidP="00F125EB">
            <w:pPr>
              <w:spacing w:after="0" w:line="240" w:lineRule="auto"/>
              <w:rPr>
                <w:rFonts w:ascii="Arial" w:eastAsia="Cambria" w:hAnsi="Arial" w:cs="Arial"/>
                <w:sz w:val="20"/>
                <w:szCs w:val="20"/>
                <w:lang w:eastAsia="en-CA"/>
              </w:rPr>
            </w:pPr>
          </w:p>
          <w:p w14:paraId="7BD40639"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Literature review + secondary analysis of Demographic Health Survey Data</w:t>
            </w:r>
          </w:p>
          <w:p w14:paraId="0FFFBFCE" w14:textId="77777777" w:rsidR="00D85C25" w:rsidRPr="00DF0520" w:rsidRDefault="00D85C25" w:rsidP="00F125EB">
            <w:pPr>
              <w:spacing w:after="0" w:line="240" w:lineRule="auto"/>
              <w:rPr>
                <w:rFonts w:ascii="Arial" w:eastAsia="Times New Roman" w:hAnsi="Arial" w:cs="Arial"/>
                <w:sz w:val="20"/>
                <w:szCs w:val="20"/>
                <w:lang w:eastAsia="en-CA"/>
              </w:rPr>
            </w:pPr>
          </w:p>
          <w:p w14:paraId="616E087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No specific methodological approach named </w:t>
            </w:r>
          </w:p>
        </w:tc>
        <w:tc>
          <w:tcPr>
            <w:tcW w:w="709" w:type="dxa"/>
            <w:shd w:val="clear" w:color="auto" w:fill="auto"/>
          </w:tcPr>
          <w:p w14:paraId="5548AEA0"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5</w:t>
            </w:r>
          </w:p>
        </w:tc>
      </w:tr>
      <w:tr w:rsidR="00D85C25" w:rsidRPr="00DF0520" w14:paraId="4296E4A9" w14:textId="77777777" w:rsidTr="00F125EB">
        <w:trPr>
          <w:trHeight w:val="548"/>
        </w:trPr>
        <w:tc>
          <w:tcPr>
            <w:tcW w:w="1423" w:type="dxa"/>
            <w:shd w:val="clear" w:color="auto" w:fill="auto"/>
          </w:tcPr>
          <w:p w14:paraId="6239BA12"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Kirst et al. (2017)</w:t>
            </w:r>
          </w:p>
          <w:p w14:paraId="5BA42379" w14:textId="77777777" w:rsidR="00D85C25" w:rsidRPr="00DF0520" w:rsidRDefault="00D85C25" w:rsidP="00F125EB">
            <w:pPr>
              <w:spacing w:after="0" w:line="240" w:lineRule="auto"/>
              <w:rPr>
                <w:rFonts w:ascii="Arial" w:eastAsia="Times New Roman" w:hAnsi="Arial" w:cs="Arial"/>
                <w:sz w:val="20"/>
                <w:szCs w:val="20"/>
                <w:lang w:eastAsia="en-CA"/>
              </w:rPr>
            </w:pPr>
          </w:p>
          <w:p w14:paraId="42F1B81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Psychology, Canada</w:t>
            </w:r>
          </w:p>
        </w:tc>
        <w:tc>
          <w:tcPr>
            <w:tcW w:w="1843" w:type="dxa"/>
            <w:shd w:val="clear" w:color="auto" w:fill="auto"/>
          </w:tcPr>
          <w:p w14:paraId="4E312499"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Addressing health inequities in Ontario, Canada: What solutions do the public support?</w:t>
            </w:r>
          </w:p>
          <w:p w14:paraId="4E55E948"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50E357F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“examine the relationship between how the public attribute health inequities and support for targeted vs. broader health equity interventions” (p. 2).</w:t>
            </w:r>
          </w:p>
          <w:p w14:paraId="3CB31672"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276" w:type="dxa"/>
            <w:shd w:val="clear" w:color="auto" w:fill="auto"/>
          </w:tcPr>
          <w:p w14:paraId="3D70DA39"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Survey study with multivariate analysis</w:t>
            </w:r>
          </w:p>
          <w:p w14:paraId="2D708923"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5149C1A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Public knowledge and opinion about health equity; call for messaging that connects health inequities with distribution of </w:t>
            </w:r>
            <w:r w:rsidRPr="00DF0520">
              <w:rPr>
                <w:rFonts w:ascii="Arial" w:eastAsia="Times New Roman" w:hAnsi="Arial" w:cs="Arial"/>
                <w:sz w:val="20"/>
                <w:szCs w:val="20"/>
                <w:lang w:eastAsia="en-CA"/>
              </w:rPr>
              <w:lastRenderedPageBreak/>
              <w:t>power and privilege between rich and poor</w:t>
            </w:r>
          </w:p>
        </w:tc>
        <w:tc>
          <w:tcPr>
            <w:tcW w:w="1134" w:type="dxa"/>
            <w:shd w:val="clear" w:color="auto" w:fill="auto"/>
          </w:tcPr>
          <w:p w14:paraId="1598125F"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lastRenderedPageBreak/>
              <w:t>Illuminate</w:t>
            </w:r>
          </w:p>
        </w:tc>
        <w:tc>
          <w:tcPr>
            <w:tcW w:w="2126" w:type="dxa"/>
            <w:gridSpan w:val="2"/>
            <w:shd w:val="clear" w:color="auto" w:fill="auto"/>
          </w:tcPr>
          <w:p w14:paraId="0605780B"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Des(2) + Met(2) + D(2) + An(2)</w:t>
            </w:r>
          </w:p>
          <w:p w14:paraId="1ADAF3F2" w14:textId="77777777" w:rsidR="00D85C25" w:rsidRPr="00DF0520" w:rsidRDefault="00D85C25" w:rsidP="00F125EB">
            <w:pPr>
              <w:spacing w:after="0" w:line="240" w:lineRule="auto"/>
              <w:rPr>
                <w:rFonts w:ascii="Arial" w:eastAsia="Cambria" w:hAnsi="Arial" w:cs="Arial"/>
                <w:sz w:val="20"/>
                <w:szCs w:val="20"/>
                <w:lang w:eastAsia="en-CA"/>
              </w:rPr>
            </w:pPr>
          </w:p>
          <w:p w14:paraId="5CCD5C5C" w14:textId="77777777" w:rsidR="00D85C25" w:rsidRPr="00DF0520" w:rsidRDefault="00D85C25" w:rsidP="00F125EB">
            <w:pPr>
              <w:spacing w:after="0" w:line="240" w:lineRule="auto"/>
              <w:rPr>
                <w:rFonts w:ascii="Arial" w:eastAsia="Cambria" w:hAnsi="Arial" w:cs="Arial"/>
                <w:sz w:val="20"/>
                <w:szCs w:val="20"/>
                <w:lang w:eastAsia="en-CA"/>
              </w:rPr>
            </w:pPr>
          </w:p>
          <w:p w14:paraId="4D5D2045"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Telephone surveys (n=2006)</w:t>
            </w:r>
          </w:p>
        </w:tc>
        <w:tc>
          <w:tcPr>
            <w:tcW w:w="709" w:type="dxa"/>
            <w:shd w:val="clear" w:color="auto" w:fill="auto"/>
          </w:tcPr>
          <w:p w14:paraId="08ABD1A9"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10</w:t>
            </w:r>
          </w:p>
        </w:tc>
      </w:tr>
      <w:tr w:rsidR="00D85C25" w:rsidRPr="00DF0520" w14:paraId="64A9C314" w14:textId="77777777" w:rsidTr="00F125EB">
        <w:trPr>
          <w:trHeight w:val="939"/>
        </w:trPr>
        <w:tc>
          <w:tcPr>
            <w:tcW w:w="1423" w:type="dxa"/>
            <w:shd w:val="clear" w:color="auto" w:fill="auto"/>
          </w:tcPr>
          <w:p w14:paraId="31CEFDF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Knight (2014)</w:t>
            </w:r>
          </w:p>
          <w:p w14:paraId="6CF0B228" w14:textId="77777777" w:rsidR="00D85C25" w:rsidRPr="00DF0520" w:rsidRDefault="00D85C25" w:rsidP="00F125EB">
            <w:pPr>
              <w:spacing w:after="0" w:line="240" w:lineRule="auto"/>
              <w:rPr>
                <w:rFonts w:ascii="Arial" w:eastAsia="Times New Roman" w:hAnsi="Arial" w:cs="Arial"/>
                <w:sz w:val="20"/>
                <w:szCs w:val="20"/>
                <w:lang w:eastAsia="en-CA"/>
              </w:rPr>
            </w:pPr>
          </w:p>
          <w:p w14:paraId="68EF9DC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Public Policy, USA</w:t>
            </w:r>
          </w:p>
        </w:tc>
        <w:tc>
          <w:tcPr>
            <w:tcW w:w="1843" w:type="dxa"/>
            <w:shd w:val="clear" w:color="auto" w:fill="auto"/>
          </w:tcPr>
          <w:p w14:paraId="4B8558ED"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Shifting public health practice to advance health equity: Recommendations from experts and community leaders</w:t>
            </w:r>
          </w:p>
        </w:tc>
        <w:tc>
          <w:tcPr>
            <w:tcW w:w="2693" w:type="dxa"/>
            <w:shd w:val="clear" w:color="auto" w:fill="auto"/>
          </w:tcPr>
          <w:p w14:paraId="55B1505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To “build on the </w:t>
            </w:r>
            <w:r w:rsidRPr="00DF0520">
              <w:rPr>
                <w:rFonts w:ascii="Arial" w:eastAsia="Times New Roman" w:hAnsi="Arial" w:cs="Arial"/>
                <w:i/>
                <w:sz w:val="20"/>
                <w:szCs w:val="20"/>
                <w:lang w:eastAsia="en-CA"/>
              </w:rPr>
              <w:t>Unnatural Causes</w:t>
            </w:r>
            <w:r w:rsidRPr="00DF0520">
              <w:rPr>
                <w:rFonts w:ascii="Arial" w:eastAsia="Times New Roman" w:hAnsi="Arial" w:cs="Arial"/>
                <w:sz w:val="20"/>
                <w:szCs w:val="20"/>
                <w:lang w:eastAsia="en-CA"/>
              </w:rPr>
              <w:t xml:space="preserve"> campaign by gathering and disseminating recommendations about public health strategies for achieving health equity” (p. 189).</w:t>
            </w:r>
          </w:p>
        </w:tc>
        <w:tc>
          <w:tcPr>
            <w:tcW w:w="1276" w:type="dxa"/>
            <w:shd w:val="clear" w:color="auto" w:fill="auto"/>
          </w:tcPr>
          <w:p w14:paraId="0E63139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Qualitative</w:t>
            </w:r>
          </w:p>
        </w:tc>
        <w:tc>
          <w:tcPr>
            <w:tcW w:w="1984" w:type="dxa"/>
            <w:shd w:val="clear" w:color="auto" w:fill="auto"/>
          </w:tcPr>
          <w:p w14:paraId="09F2308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Documentary as means of raising public awareness of nature and context of health inequities</w:t>
            </w:r>
          </w:p>
        </w:tc>
        <w:tc>
          <w:tcPr>
            <w:tcW w:w="1134" w:type="dxa"/>
            <w:shd w:val="clear" w:color="auto" w:fill="auto"/>
          </w:tcPr>
          <w:p w14:paraId="2B3BEA15"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348FEEF6"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Des(1) + Met(1) + D(2) + An(1)</w:t>
            </w:r>
          </w:p>
          <w:p w14:paraId="10CF2A36" w14:textId="77777777" w:rsidR="00D85C25" w:rsidRPr="00DF0520" w:rsidRDefault="00D85C25" w:rsidP="00F125EB">
            <w:pPr>
              <w:spacing w:after="0" w:line="240" w:lineRule="auto"/>
              <w:rPr>
                <w:rFonts w:ascii="Arial" w:eastAsia="Cambria" w:hAnsi="Arial" w:cs="Arial"/>
                <w:sz w:val="20"/>
                <w:szCs w:val="20"/>
                <w:lang w:eastAsia="en-CA"/>
              </w:rPr>
            </w:pPr>
          </w:p>
          <w:p w14:paraId="76932119"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Interviews</w:t>
            </w:r>
          </w:p>
          <w:p w14:paraId="0569A0DD"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(n=29) </w:t>
            </w:r>
          </w:p>
        </w:tc>
        <w:tc>
          <w:tcPr>
            <w:tcW w:w="709" w:type="dxa"/>
            <w:shd w:val="clear" w:color="auto" w:fill="auto"/>
          </w:tcPr>
          <w:p w14:paraId="404CFD9A"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6</w:t>
            </w:r>
          </w:p>
        </w:tc>
      </w:tr>
      <w:tr w:rsidR="00D85C25" w:rsidRPr="00DF0520" w14:paraId="4A999D96" w14:textId="77777777" w:rsidTr="00F125EB">
        <w:trPr>
          <w:trHeight w:val="548"/>
        </w:trPr>
        <w:tc>
          <w:tcPr>
            <w:tcW w:w="1423" w:type="dxa"/>
            <w:shd w:val="clear" w:color="auto" w:fill="auto"/>
          </w:tcPr>
          <w:p w14:paraId="5FADB0B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Labonté et al. (2014)</w:t>
            </w:r>
          </w:p>
          <w:p w14:paraId="2560CC73" w14:textId="77777777" w:rsidR="00D85C25" w:rsidRPr="00DF0520" w:rsidRDefault="00D85C25" w:rsidP="00F125EB">
            <w:pPr>
              <w:spacing w:after="0" w:line="240" w:lineRule="auto"/>
              <w:rPr>
                <w:rFonts w:ascii="Arial" w:eastAsia="Times New Roman" w:hAnsi="Arial" w:cs="Arial"/>
                <w:sz w:val="20"/>
                <w:szCs w:val="20"/>
                <w:lang w:eastAsia="en-CA"/>
              </w:rPr>
            </w:pPr>
          </w:p>
          <w:p w14:paraId="0D90103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Population Health, Canada</w:t>
            </w:r>
          </w:p>
        </w:tc>
        <w:tc>
          <w:tcPr>
            <w:tcW w:w="1843" w:type="dxa"/>
            <w:shd w:val="clear" w:color="auto" w:fill="auto"/>
          </w:tcPr>
          <w:p w14:paraId="6ACA45BF"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Is the Alma Ata vision of comprehensive primary health care viable? Findings from an international project</w:t>
            </w:r>
          </w:p>
          <w:p w14:paraId="6CE2ACB1"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4F07E95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explore how mentored research teams using an integrated knowledge translation approach (teams included triads of junior + senior researchers and research users) could integrate health equity work through primary health care initiatives in 20 teams from multiple countries</w:t>
            </w:r>
          </w:p>
        </w:tc>
        <w:tc>
          <w:tcPr>
            <w:tcW w:w="1276" w:type="dxa"/>
            <w:shd w:val="clear" w:color="auto" w:fill="auto"/>
          </w:tcPr>
          <w:p w14:paraId="7D8F0C0F"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Case series*</w:t>
            </w:r>
          </w:p>
        </w:tc>
        <w:tc>
          <w:tcPr>
            <w:tcW w:w="1984" w:type="dxa"/>
            <w:shd w:val="clear" w:color="auto" w:fill="auto"/>
          </w:tcPr>
          <w:p w14:paraId="73CEA5C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Action on structural and SDH through comprehensive primary healthcare </w:t>
            </w:r>
          </w:p>
        </w:tc>
        <w:tc>
          <w:tcPr>
            <w:tcW w:w="1134" w:type="dxa"/>
            <w:shd w:val="clear" w:color="auto" w:fill="auto"/>
          </w:tcPr>
          <w:p w14:paraId="59BA3608"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57B7A50D"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Des(1) + Met(1) + D(2) + An(1)</w:t>
            </w:r>
          </w:p>
          <w:p w14:paraId="3B43BCE3" w14:textId="77777777" w:rsidR="00D85C25" w:rsidRPr="00DF0520" w:rsidRDefault="00D85C25" w:rsidP="00F125EB">
            <w:pPr>
              <w:spacing w:after="0" w:line="240" w:lineRule="auto"/>
              <w:rPr>
                <w:rFonts w:ascii="Arial" w:eastAsia="Cambria" w:hAnsi="Arial" w:cs="Arial"/>
                <w:sz w:val="20"/>
                <w:szCs w:val="20"/>
                <w:lang w:eastAsia="en-CA"/>
              </w:rPr>
            </w:pPr>
          </w:p>
          <w:p w14:paraId="30B2302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Synthesis of findings from 20 different studies using a common mentored and integrated knowledge translation approach; methodological foundations for synthesis not described</w:t>
            </w:r>
          </w:p>
        </w:tc>
        <w:tc>
          <w:tcPr>
            <w:tcW w:w="709" w:type="dxa"/>
            <w:shd w:val="clear" w:color="auto" w:fill="auto"/>
          </w:tcPr>
          <w:p w14:paraId="3EEDF9EC"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7</w:t>
            </w:r>
          </w:p>
        </w:tc>
      </w:tr>
      <w:tr w:rsidR="00D85C25" w:rsidRPr="00DF0520" w14:paraId="34F101D9" w14:textId="77777777" w:rsidTr="00F125EB">
        <w:trPr>
          <w:trHeight w:val="1178"/>
        </w:trPr>
        <w:tc>
          <w:tcPr>
            <w:tcW w:w="1423" w:type="dxa"/>
            <w:shd w:val="clear" w:color="auto" w:fill="auto"/>
          </w:tcPr>
          <w:p w14:paraId="023F6EF2"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McPherson et al. (2016)</w:t>
            </w:r>
          </w:p>
          <w:p w14:paraId="568FD928" w14:textId="77777777" w:rsidR="00D85C25" w:rsidRPr="00DF0520" w:rsidRDefault="00D85C25" w:rsidP="00F125EB">
            <w:pPr>
              <w:spacing w:after="0" w:line="240" w:lineRule="auto"/>
              <w:rPr>
                <w:rFonts w:ascii="Arial" w:eastAsia="Times New Roman" w:hAnsi="Arial" w:cs="Arial"/>
                <w:sz w:val="20"/>
                <w:szCs w:val="20"/>
                <w:lang w:eastAsia="en-CA"/>
              </w:rPr>
            </w:pPr>
          </w:p>
          <w:p w14:paraId="678AC9E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Nursing, Canada</w:t>
            </w:r>
          </w:p>
        </w:tc>
        <w:tc>
          <w:tcPr>
            <w:tcW w:w="1843" w:type="dxa"/>
            <w:shd w:val="clear" w:color="auto" w:fill="auto"/>
          </w:tcPr>
          <w:p w14:paraId="52712CE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Swimming against the tide: A Canadian qualitative study examining the implementation of a province-wide public health initiative to </w:t>
            </w:r>
            <w:r w:rsidRPr="00DF0520">
              <w:rPr>
                <w:rFonts w:ascii="Arial" w:eastAsia="Times New Roman" w:hAnsi="Arial" w:cs="Arial"/>
                <w:sz w:val="20"/>
                <w:szCs w:val="20"/>
                <w:lang w:eastAsia="en-CA"/>
              </w:rPr>
              <w:lastRenderedPageBreak/>
              <w:t>address health equity</w:t>
            </w:r>
          </w:p>
        </w:tc>
        <w:tc>
          <w:tcPr>
            <w:tcW w:w="2693" w:type="dxa"/>
            <w:shd w:val="clear" w:color="auto" w:fill="auto"/>
          </w:tcPr>
          <w:p w14:paraId="5AD4E01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To “examine the strategy of developing and implementing equity-focused positions to improve public health organizational capacity to act on SDH and advance health equity” (p. 3).</w:t>
            </w:r>
          </w:p>
        </w:tc>
        <w:tc>
          <w:tcPr>
            <w:tcW w:w="1276" w:type="dxa"/>
            <w:shd w:val="clear" w:color="auto" w:fill="auto"/>
          </w:tcPr>
          <w:p w14:paraId="33A63025"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Descriptive qualitative case study</w:t>
            </w:r>
          </w:p>
        </w:tc>
        <w:tc>
          <w:tcPr>
            <w:tcW w:w="1984" w:type="dxa"/>
            <w:shd w:val="clear" w:color="auto" w:fill="auto"/>
          </w:tcPr>
          <w:p w14:paraId="0991C819"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Public health nursing practices </w:t>
            </w:r>
          </w:p>
        </w:tc>
        <w:tc>
          <w:tcPr>
            <w:tcW w:w="1134" w:type="dxa"/>
            <w:shd w:val="clear" w:color="auto" w:fill="auto"/>
          </w:tcPr>
          <w:p w14:paraId="38B61397"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Interrupt</w:t>
            </w:r>
          </w:p>
        </w:tc>
        <w:tc>
          <w:tcPr>
            <w:tcW w:w="2126" w:type="dxa"/>
            <w:gridSpan w:val="2"/>
            <w:shd w:val="clear" w:color="auto" w:fill="auto"/>
          </w:tcPr>
          <w:p w14:paraId="3C1A5DA6"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Des(2) + Met(2) + D(2) + An(2)</w:t>
            </w:r>
          </w:p>
          <w:p w14:paraId="5A878251" w14:textId="77777777" w:rsidR="00D85C25" w:rsidRPr="00DF0520" w:rsidRDefault="00D85C25" w:rsidP="00F125EB">
            <w:pPr>
              <w:spacing w:after="0" w:line="240" w:lineRule="auto"/>
              <w:rPr>
                <w:rFonts w:ascii="Arial" w:eastAsia="Cambria" w:hAnsi="Arial" w:cs="Arial"/>
                <w:sz w:val="20"/>
                <w:szCs w:val="20"/>
                <w:lang w:eastAsia="en-CA"/>
              </w:rPr>
            </w:pPr>
          </w:p>
          <w:p w14:paraId="1B9F558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Interviews</w:t>
            </w:r>
          </w:p>
          <w:p w14:paraId="4AA14921"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(n=42) + document review (n=226)</w:t>
            </w:r>
          </w:p>
        </w:tc>
        <w:tc>
          <w:tcPr>
            <w:tcW w:w="709" w:type="dxa"/>
            <w:shd w:val="clear" w:color="auto" w:fill="auto"/>
          </w:tcPr>
          <w:p w14:paraId="287F4118"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10</w:t>
            </w:r>
          </w:p>
        </w:tc>
      </w:tr>
      <w:tr w:rsidR="00D85C25" w:rsidRPr="00DF0520" w14:paraId="63475661" w14:textId="77777777" w:rsidTr="00F125EB">
        <w:trPr>
          <w:trHeight w:val="548"/>
        </w:trPr>
        <w:tc>
          <w:tcPr>
            <w:tcW w:w="1423" w:type="dxa"/>
            <w:shd w:val="clear" w:color="auto" w:fill="auto"/>
          </w:tcPr>
          <w:p w14:paraId="1CE0AA4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Mtenga, Masanja, &amp; Mamdani (2016)</w:t>
            </w:r>
          </w:p>
          <w:p w14:paraId="71F1A528" w14:textId="77777777" w:rsidR="00D85C25" w:rsidRPr="00DF0520" w:rsidRDefault="00D85C25" w:rsidP="00F125EB">
            <w:pPr>
              <w:spacing w:after="0" w:line="240" w:lineRule="auto"/>
              <w:rPr>
                <w:rFonts w:ascii="Arial" w:eastAsia="Times New Roman" w:hAnsi="Arial" w:cs="Arial"/>
                <w:sz w:val="20"/>
                <w:szCs w:val="20"/>
                <w:lang w:eastAsia="en-CA"/>
              </w:rPr>
            </w:pPr>
          </w:p>
          <w:p w14:paraId="5E59EC49"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Social Science, Tanzania</w:t>
            </w:r>
          </w:p>
        </w:tc>
        <w:tc>
          <w:tcPr>
            <w:tcW w:w="1843" w:type="dxa"/>
            <w:shd w:val="clear" w:color="auto" w:fill="auto"/>
          </w:tcPr>
          <w:p w14:paraId="3ACA96F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Strengthening national capacities for researching on social determinants of health (SDH) towards informing and addressing health inequities in Tanzania</w:t>
            </w:r>
          </w:p>
          <w:p w14:paraId="090F6C63"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2FBDCAD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explore “the SDH landscape in Tanzania. Specifically, the conceptualisation, nature, extent and reach of SDH research, supporting national systems and processes for SDH research” (p. 3).</w:t>
            </w:r>
          </w:p>
          <w:p w14:paraId="1F1B486A"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276" w:type="dxa"/>
            <w:shd w:val="clear" w:color="auto" w:fill="auto"/>
          </w:tcPr>
          <w:p w14:paraId="74B5C7B9"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Research systems mapping </w:t>
            </w:r>
          </w:p>
          <w:p w14:paraId="7CBBED67"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508F8985"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Cultivating structure and capacity for health research systems </w:t>
            </w:r>
          </w:p>
          <w:p w14:paraId="2D9B8BF5" w14:textId="77777777" w:rsidR="00D85C25" w:rsidRPr="00DF0520" w:rsidRDefault="00D85C25" w:rsidP="00F125EB">
            <w:pPr>
              <w:spacing w:after="0" w:line="240" w:lineRule="auto"/>
              <w:rPr>
                <w:rFonts w:ascii="Arial" w:eastAsia="Times New Roman" w:hAnsi="Arial" w:cs="Arial"/>
                <w:sz w:val="20"/>
                <w:szCs w:val="20"/>
                <w:lang w:eastAsia="en-CA"/>
              </w:rPr>
            </w:pPr>
          </w:p>
          <w:p w14:paraId="43550B4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Some gaps in methodological clarity, but strong integration of SDH capacity-building framework and comprehensive discussion of methods (process) and results</w:t>
            </w:r>
          </w:p>
        </w:tc>
        <w:tc>
          <w:tcPr>
            <w:tcW w:w="1134" w:type="dxa"/>
            <w:shd w:val="clear" w:color="auto" w:fill="auto"/>
          </w:tcPr>
          <w:p w14:paraId="309E4B08"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43B13A23"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Des(1) + Met(2) + D(2) + An(1)</w:t>
            </w:r>
          </w:p>
          <w:p w14:paraId="01102E74" w14:textId="77777777" w:rsidR="00D85C25" w:rsidRPr="00DF0520" w:rsidRDefault="00D85C25" w:rsidP="00F125EB">
            <w:pPr>
              <w:spacing w:after="0" w:line="240" w:lineRule="auto"/>
              <w:rPr>
                <w:rFonts w:ascii="Arial" w:eastAsia="Cambria" w:hAnsi="Arial" w:cs="Arial"/>
                <w:sz w:val="20"/>
                <w:szCs w:val="20"/>
                <w:lang w:eastAsia="en-CA"/>
              </w:rPr>
            </w:pPr>
          </w:p>
          <w:p w14:paraId="64D2D488"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In-depth stakeholder interviews (n=34) + policy analysis + SDH research outputs (published) from 2005 onward</w:t>
            </w:r>
          </w:p>
        </w:tc>
        <w:tc>
          <w:tcPr>
            <w:tcW w:w="709" w:type="dxa"/>
            <w:shd w:val="clear" w:color="auto" w:fill="auto"/>
          </w:tcPr>
          <w:p w14:paraId="07304EAF"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7</w:t>
            </w:r>
          </w:p>
        </w:tc>
      </w:tr>
      <w:tr w:rsidR="00D85C25" w:rsidRPr="00DF0520" w14:paraId="4A87019D" w14:textId="77777777" w:rsidTr="00F125EB">
        <w:trPr>
          <w:trHeight w:val="372"/>
        </w:trPr>
        <w:tc>
          <w:tcPr>
            <w:tcW w:w="1423" w:type="dxa"/>
            <w:shd w:val="clear" w:color="auto" w:fill="auto"/>
          </w:tcPr>
          <w:p w14:paraId="42C9BA0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Murphy et al. (2015)</w:t>
            </w:r>
          </w:p>
          <w:p w14:paraId="4FF282DF" w14:textId="77777777" w:rsidR="00D85C25" w:rsidRPr="00DF0520" w:rsidRDefault="00D85C25" w:rsidP="00F125EB">
            <w:pPr>
              <w:spacing w:after="0" w:line="240" w:lineRule="auto"/>
              <w:rPr>
                <w:rFonts w:ascii="Arial" w:eastAsia="Times New Roman" w:hAnsi="Arial" w:cs="Arial"/>
                <w:sz w:val="20"/>
                <w:szCs w:val="20"/>
                <w:lang w:eastAsia="en-CA"/>
              </w:rPr>
            </w:pPr>
          </w:p>
          <w:p w14:paraId="2593872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 Sciences, Canada</w:t>
            </w:r>
          </w:p>
        </w:tc>
        <w:tc>
          <w:tcPr>
            <w:tcW w:w="1843" w:type="dxa"/>
            <w:shd w:val="clear" w:color="auto" w:fill="auto"/>
          </w:tcPr>
          <w:p w14:paraId="27B5548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Making a commitment to ethics in global health research partnerships: A practical tool to support ethical practice</w:t>
            </w:r>
          </w:p>
          <w:p w14:paraId="727801E6"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00EDCC5F"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create processes and tools for enabling “respectful, mutually beneficial, and effective North–South research partnerships” (p.141).</w:t>
            </w:r>
          </w:p>
        </w:tc>
        <w:tc>
          <w:tcPr>
            <w:tcW w:w="1276" w:type="dxa"/>
            <w:shd w:val="clear" w:color="auto" w:fill="auto"/>
          </w:tcPr>
          <w:p w14:paraId="3DC5F6B5"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iKT/PAR</w:t>
            </w:r>
          </w:p>
        </w:tc>
        <w:tc>
          <w:tcPr>
            <w:tcW w:w="1984" w:type="dxa"/>
            <w:shd w:val="clear" w:color="auto" w:fill="auto"/>
          </w:tcPr>
          <w:p w14:paraId="6E965F4F"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Equity-promoting practices for research partnerships, especially in global health research  </w:t>
            </w:r>
          </w:p>
        </w:tc>
        <w:tc>
          <w:tcPr>
            <w:tcW w:w="1134" w:type="dxa"/>
            <w:shd w:val="clear" w:color="auto" w:fill="auto"/>
          </w:tcPr>
          <w:p w14:paraId="19D35209"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Interrupt</w:t>
            </w:r>
          </w:p>
        </w:tc>
        <w:tc>
          <w:tcPr>
            <w:tcW w:w="2126" w:type="dxa"/>
            <w:gridSpan w:val="2"/>
            <w:shd w:val="clear" w:color="auto" w:fill="auto"/>
          </w:tcPr>
          <w:p w14:paraId="5AFEF251"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Des(1) + Met(1) + D(2) + An(2)</w:t>
            </w:r>
          </w:p>
          <w:p w14:paraId="01A2FF79" w14:textId="77777777" w:rsidR="00D85C25" w:rsidRPr="00DF0520" w:rsidRDefault="00D85C25" w:rsidP="00F125EB">
            <w:pPr>
              <w:spacing w:after="0" w:line="240" w:lineRule="auto"/>
              <w:ind w:left="-709"/>
              <w:rPr>
                <w:rFonts w:ascii="Arial" w:eastAsia="Cambria" w:hAnsi="Arial" w:cs="Arial"/>
                <w:sz w:val="20"/>
                <w:szCs w:val="20"/>
                <w:lang w:eastAsia="en-CA"/>
              </w:rPr>
            </w:pPr>
          </w:p>
          <w:p w14:paraId="652F639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Engaged consultation + dialogue using local case studies</w:t>
            </w:r>
          </w:p>
          <w:p w14:paraId="660CEFF3"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br/>
              <w:t>Consultations held in South Asia, Africa, &amp; Latin America, n≈30 per site</w:t>
            </w:r>
          </w:p>
        </w:tc>
        <w:tc>
          <w:tcPr>
            <w:tcW w:w="709" w:type="dxa"/>
            <w:shd w:val="clear" w:color="auto" w:fill="auto"/>
          </w:tcPr>
          <w:p w14:paraId="195E1CE3"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8</w:t>
            </w:r>
          </w:p>
        </w:tc>
      </w:tr>
      <w:tr w:rsidR="00D85C25" w:rsidRPr="00DF0520" w14:paraId="3BA087E1" w14:textId="77777777" w:rsidTr="00F125EB">
        <w:trPr>
          <w:trHeight w:val="548"/>
        </w:trPr>
        <w:tc>
          <w:tcPr>
            <w:tcW w:w="1423" w:type="dxa"/>
            <w:shd w:val="clear" w:color="auto" w:fill="auto"/>
          </w:tcPr>
          <w:p w14:paraId="3855B30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Povall et al. (2014)</w:t>
            </w:r>
          </w:p>
          <w:p w14:paraId="4AC13ECC" w14:textId="77777777" w:rsidR="00D85C25" w:rsidRPr="00DF0520" w:rsidRDefault="00D85C25" w:rsidP="00F125EB">
            <w:pPr>
              <w:spacing w:after="0" w:line="240" w:lineRule="auto"/>
              <w:rPr>
                <w:rFonts w:ascii="Arial" w:eastAsia="Times New Roman" w:hAnsi="Arial" w:cs="Arial"/>
                <w:sz w:val="20"/>
                <w:szCs w:val="20"/>
                <w:lang w:eastAsia="en-CA"/>
              </w:rPr>
            </w:pPr>
          </w:p>
          <w:p w14:paraId="7293079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Public Health Policy, UK</w:t>
            </w:r>
          </w:p>
        </w:tc>
        <w:tc>
          <w:tcPr>
            <w:tcW w:w="1843" w:type="dxa"/>
            <w:shd w:val="clear" w:color="auto" w:fill="auto"/>
          </w:tcPr>
          <w:p w14:paraId="0D97839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Health equity impact assessment</w:t>
            </w:r>
          </w:p>
          <w:p w14:paraId="089F7626"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688437D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 xml:space="preserve">To “determine whether or not a new HEIA [health equity impact assessment] </w:t>
            </w:r>
            <w:r w:rsidRPr="00DF0520">
              <w:rPr>
                <w:rFonts w:ascii="Arial" w:eastAsia="Times New Roman" w:hAnsi="Arial" w:cs="Arial"/>
                <w:sz w:val="20"/>
                <w:szCs w:val="20"/>
                <w:lang w:eastAsia="en-CA"/>
              </w:rPr>
              <w:lastRenderedPageBreak/>
              <w:t>methodology is needed to examine the health equity impacts of global, regional, national and local financial and public policies" (p. 622).</w:t>
            </w:r>
          </w:p>
        </w:tc>
        <w:tc>
          <w:tcPr>
            <w:tcW w:w="1276" w:type="dxa"/>
            <w:shd w:val="clear" w:color="auto" w:fill="auto"/>
          </w:tcPr>
          <w:p w14:paraId="335E269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 xml:space="preserve">Mixed methods* </w:t>
            </w:r>
          </w:p>
          <w:p w14:paraId="3DFC3F22" w14:textId="77777777" w:rsidR="00D85C25" w:rsidRPr="00DF0520" w:rsidRDefault="00D85C25" w:rsidP="00F125EB">
            <w:pPr>
              <w:spacing w:after="0" w:line="240" w:lineRule="auto"/>
              <w:rPr>
                <w:rFonts w:ascii="Arial" w:eastAsia="Times New Roman" w:hAnsi="Arial" w:cs="Arial"/>
                <w:sz w:val="20"/>
                <w:szCs w:val="20"/>
                <w:lang w:eastAsia="en-CA"/>
              </w:rPr>
            </w:pPr>
          </w:p>
          <w:p w14:paraId="110EDCFC"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02407D0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 xml:space="preserve">Health equity impact assessment </w:t>
            </w:r>
            <w:r w:rsidRPr="00DF0520">
              <w:rPr>
                <w:rFonts w:ascii="Arial" w:eastAsia="Times New Roman" w:hAnsi="Arial" w:cs="Arial"/>
                <w:sz w:val="20"/>
                <w:szCs w:val="20"/>
                <w:lang w:eastAsia="en-CA"/>
              </w:rPr>
              <w:lastRenderedPageBreak/>
              <w:t>methodologies and equity-attunement</w:t>
            </w:r>
          </w:p>
        </w:tc>
        <w:tc>
          <w:tcPr>
            <w:tcW w:w="1134" w:type="dxa"/>
            <w:shd w:val="clear" w:color="auto" w:fill="auto"/>
          </w:tcPr>
          <w:p w14:paraId="7F0921F9"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lastRenderedPageBreak/>
              <w:t>Illuminate</w:t>
            </w:r>
          </w:p>
        </w:tc>
        <w:tc>
          <w:tcPr>
            <w:tcW w:w="2126" w:type="dxa"/>
            <w:gridSpan w:val="2"/>
            <w:shd w:val="clear" w:color="auto" w:fill="auto"/>
          </w:tcPr>
          <w:p w14:paraId="1C6942A6"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Des(2) + Met(1) + D(1) + An(2)</w:t>
            </w:r>
          </w:p>
          <w:p w14:paraId="0D2EA829" w14:textId="77777777" w:rsidR="00D85C25" w:rsidRPr="00DF0520" w:rsidRDefault="00D85C25" w:rsidP="00F125EB">
            <w:pPr>
              <w:spacing w:after="0" w:line="240" w:lineRule="auto"/>
              <w:rPr>
                <w:rFonts w:ascii="Arial" w:eastAsia="Cambria" w:hAnsi="Arial" w:cs="Arial"/>
                <w:sz w:val="20"/>
                <w:szCs w:val="20"/>
                <w:lang w:eastAsia="en-CA"/>
              </w:rPr>
            </w:pPr>
          </w:p>
          <w:p w14:paraId="51F5D5CE"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Scoping review + interviews (n=14) + workshops (n=19)</w:t>
            </w:r>
          </w:p>
        </w:tc>
        <w:tc>
          <w:tcPr>
            <w:tcW w:w="709" w:type="dxa"/>
            <w:shd w:val="clear" w:color="auto" w:fill="auto"/>
          </w:tcPr>
          <w:p w14:paraId="5F18206B"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lastRenderedPageBreak/>
              <w:t>8</w:t>
            </w:r>
          </w:p>
        </w:tc>
      </w:tr>
      <w:tr w:rsidR="00D85C25" w:rsidRPr="00DF0520" w14:paraId="2D81B30A" w14:textId="77777777" w:rsidTr="00F125EB">
        <w:trPr>
          <w:trHeight w:val="548"/>
        </w:trPr>
        <w:tc>
          <w:tcPr>
            <w:tcW w:w="1423" w:type="dxa"/>
            <w:shd w:val="clear" w:color="auto" w:fill="auto"/>
          </w:tcPr>
          <w:p w14:paraId="1889A8D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Raphael &amp; Brassolotto (2015)</w:t>
            </w:r>
          </w:p>
          <w:p w14:paraId="7420163A" w14:textId="77777777" w:rsidR="00D85C25" w:rsidRPr="00DF0520" w:rsidRDefault="00D85C25" w:rsidP="00F125EB">
            <w:pPr>
              <w:spacing w:after="0" w:line="240" w:lineRule="auto"/>
              <w:rPr>
                <w:rFonts w:ascii="Arial" w:eastAsia="Times New Roman" w:hAnsi="Arial" w:cs="Arial"/>
                <w:sz w:val="20"/>
                <w:szCs w:val="20"/>
                <w:lang w:eastAsia="en-CA"/>
              </w:rPr>
            </w:pPr>
          </w:p>
          <w:p w14:paraId="0E01972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 Policy, Canada</w:t>
            </w:r>
          </w:p>
        </w:tc>
        <w:tc>
          <w:tcPr>
            <w:tcW w:w="1843" w:type="dxa"/>
            <w:shd w:val="clear" w:color="auto" w:fill="auto"/>
          </w:tcPr>
          <w:p w14:paraId="6E104BD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Understanding action on the social determinants of health: A critical realist analysis of in-depth interviews with staff of nine Ontario public health units</w:t>
            </w:r>
          </w:p>
          <w:p w14:paraId="023987EA"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741FE090"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“consider the factors that shape local PHU action on the SDH through a critical realist analysis" (p. 1) by “elucidating the existing societal structures and powers that enable SDH-related activities and identifying factors that either facilitate or prevent the activation of these structures and powers. We also consider how institutional factors interact with personal characteristics of MOHs and features of local jurisdictions to shape the form of SDH activities” (p. 3).</w:t>
            </w:r>
          </w:p>
        </w:tc>
        <w:tc>
          <w:tcPr>
            <w:tcW w:w="1276" w:type="dxa"/>
            <w:shd w:val="clear" w:color="auto" w:fill="auto"/>
          </w:tcPr>
          <w:p w14:paraId="05F6FC3D"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Critical realist approach</w:t>
            </w:r>
          </w:p>
          <w:p w14:paraId="6F376761"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3B85EF6C"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Leadership practices and perspectives of public health leaders and workers</w:t>
            </w:r>
          </w:p>
        </w:tc>
        <w:tc>
          <w:tcPr>
            <w:tcW w:w="1134" w:type="dxa"/>
            <w:shd w:val="clear" w:color="auto" w:fill="auto"/>
          </w:tcPr>
          <w:p w14:paraId="1C3ECD64"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305A2FEC"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Des(2) + Met(2) + D(2) + An(2)</w:t>
            </w:r>
          </w:p>
          <w:p w14:paraId="0EED4C3A" w14:textId="77777777" w:rsidR="00D85C25" w:rsidRPr="00DF0520" w:rsidRDefault="00D85C25" w:rsidP="00F125EB">
            <w:pPr>
              <w:spacing w:after="0" w:line="240" w:lineRule="auto"/>
              <w:rPr>
                <w:rFonts w:ascii="Arial" w:eastAsia="Cambria" w:hAnsi="Arial" w:cs="Arial"/>
                <w:sz w:val="20"/>
                <w:szCs w:val="20"/>
                <w:lang w:eastAsia="en-CA"/>
              </w:rPr>
            </w:pPr>
          </w:p>
          <w:p w14:paraId="4091F83B" w14:textId="77777777" w:rsidR="00D85C25" w:rsidRPr="00DF0520" w:rsidRDefault="00D85C25" w:rsidP="00F125EB">
            <w:pPr>
              <w:spacing w:after="0" w:line="240" w:lineRule="auto"/>
              <w:rPr>
                <w:rFonts w:ascii="Arial" w:eastAsia="Cambria" w:hAnsi="Arial" w:cs="Arial"/>
                <w:sz w:val="20"/>
                <w:szCs w:val="20"/>
                <w:lang w:eastAsia="en-CA"/>
              </w:rPr>
            </w:pPr>
          </w:p>
          <w:p w14:paraId="3AECBAE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Document review </w:t>
            </w:r>
          </w:p>
          <w:p w14:paraId="26CA6CEF"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 interviews (n=18)</w:t>
            </w:r>
          </w:p>
        </w:tc>
        <w:tc>
          <w:tcPr>
            <w:tcW w:w="709" w:type="dxa"/>
            <w:shd w:val="clear" w:color="auto" w:fill="auto"/>
          </w:tcPr>
          <w:p w14:paraId="3EC1D7D4"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10</w:t>
            </w:r>
          </w:p>
        </w:tc>
      </w:tr>
      <w:tr w:rsidR="00D85C25" w:rsidRPr="00DF0520" w14:paraId="5BA3ED14" w14:textId="77777777" w:rsidTr="00F125EB">
        <w:trPr>
          <w:trHeight w:val="548"/>
        </w:trPr>
        <w:tc>
          <w:tcPr>
            <w:tcW w:w="1423" w:type="dxa"/>
            <w:shd w:val="clear" w:color="auto" w:fill="auto"/>
          </w:tcPr>
          <w:p w14:paraId="63BE43FF"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Raphael, Brassolotto, &amp; Baldeo</w:t>
            </w:r>
          </w:p>
          <w:p w14:paraId="154384C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(2014)</w:t>
            </w:r>
          </w:p>
          <w:p w14:paraId="5A49726D" w14:textId="77777777" w:rsidR="00D85C25" w:rsidRPr="00DF0520" w:rsidRDefault="00D85C25" w:rsidP="00F125EB">
            <w:pPr>
              <w:spacing w:after="0" w:line="240" w:lineRule="auto"/>
              <w:rPr>
                <w:rFonts w:ascii="Arial" w:eastAsia="Times New Roman" w:hAnsi="Arial" w:cs="Arial"/>
                <w:sz w:val="20"/>
                <w:szCs w:val="20"/>
                <w:lang w:eastAsia="en-CA"/>
              </w:rPr>
            </w:pPr>
          </w:p>
          <w:p w14:paraId="4EB798E9"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 Policy, Canada</w:t>
            </w:r>
          </w:p>
        </w:tc>
        <w:tc>
          <w:tcPr>
            <w:tcW w:w="1843" w:type="dxa"/>
            <w:shd w:val="clear" w:color="auto" w:fill="auto"/>
          </w:tcPr>
          <w:p w14:paraId="7472104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Ideological and organizational components of differing public health strategies for addressing the social determinants of health</w:t>
            </w:r>
          </w:p>
          <w:p w14:paraId="56E6D093"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6FDC898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To “investigate how individual characteristics of Medical Officers of Health (MOH) and unit staff (e.g. background training, personal experiences and understandings of the SDH), community features (e.g. urban versus rural, political climate and </w:t>
            </w:r>
            <w:r w:rsidRPr="00DF0520">
              <w:rPr>
                <w:rFonts w:ascii="Arial" w:eastAsia="Times New Roman" w:hAnsi="Arial" w:cs="Arial"/>
                <w:sz w:val="20"/>
                <w:szCs w:val="20"/>
                <w:lang w:eastAsia="en-CA"/>
              </w:rPr>
              <w:lastRenderedPageBreak/>
              <w:t>governance structures) and organizational features (e.g. central versus devolved SDH structures, leader- ship and training) account for these differences in PHUs’ SDH activities” (p. 856).</w:t>
            </w:r>
          </w:p>
        </w:tc>
        <w:tc>
          <w:tcPr>
            <w:tcW w:w="1276" w:type="dxa"/>
            <w:shd w:val="clear" w:color="auto" w:fill="auto"/>
          </w:tcPr>
          <w:p w14:paraId="7A947F4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lastRenderedPageBreak/>
              <w:t xml:space="preserve">Qualitative </w:t>
            </w:r>
          </w:p>
          <w:p w14:paraId="2DE44148"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28A9235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Ideological and organizational characteristics relationship to the type of SDH work carried out in public health units</w:t>
            </w:r>
          </w:p>
          <w:p w14:paraId="7BBCFB85" w14:textId="77777777" w:rsidR="00D85C25" w:rsidRPr="00DF0520" w:rsidRDefault="00D85C25" w:rsidP="00F125EB">
            <w:pPr>
              <w:spacing w:after="0" w:line="240" w:lineRule="auto"/>
              <w:rPr>
                <w:rFonts w:ascii="Arial" w:eastAsia="Times New Roman" w:hAnsi="Arial" w:cs="Arial"/>
                <w:sz w:val="20"/>
                <w:szCs w:val="20"/>
                <w:lang w:eastAsia="en-CA"/>
              </w:rPr>
            </w:pPr>
          </w:p>
          <w:p w14:paraId="1C0A0B63"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Findings suggest a need for more </w:t>
            </w:r>
            <w:r w:rsidRPr="00DF0520">
              <w:rPr>
                <w:rFonts w:ascii="Arial" w:eastAsia="Times New Roman" w:hAnsi="Arial" w:cs="Arial"/>
                <w:sz w:val="20"/>
                <w:szCs w:val="20"/>
                <w:lang w:eastAsia="en-CA"/>
              </w:rPr>
              <w:lastRenderedPageBreak/>
              <w:t>structural approaches</w:t>
            </w:r>
          </w:p>
        </w:tc>
        <w:tc>
          <w:tcPr>
            <w:tcW w:w="1134" w:type="dxa"/>
            <w:shd w:val="clear" w:color="auto" w:fill="auto"/>
          </w:tcPr>
          <w:p w14:paraId="4863A85C"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lastRenderedPageBreak/>
              <w:t>Illuminate</w:t>
            </w:r>
          </w:p>
        </w:tc>
        <w:tc>
          <w:tcPr>
            <w:tcW w:w="2126" w:type="dxa"/>
            <w:gridSpan w:val="2"/>
            <w:shd w:val="clear" w:color="auto" w:fill="auto"/>
          </w:tcPr>
          <w:p w14:paraId="323EB1A2"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1) + Des(1) + Met(1) + D(2) + An(1)</w:t>
            </w:r>
          </w:p>
          <w:p w14:paraId="2A315005" w14:textId="77777777" w:rsidR="00D85C25" w:rsidRPr="00DF0520" w:rsidRDefault="00D85C25" w:rsidP="00F125EB">
            <w:pPr>
              <w:spacing w:after="0" w:line="240" w:lineRule="auto"/>
              <w:rPr>
                <w:rFonts w:ascii="Arial" w:eastAsia="Cambria" w:hAnsi="Arial" w:cs="Arial"/>
                <w:sz w:val="20"/>
                <w:szCs w:val="20"/>
                <w:lang w:eastAsia="en-CA"/>
              </w:rPr>
            </w:pPr>
          </w:p>
          <w:p w14:paraId="40D7A430" w14:textId="77777777" w:rsidR="00D85C25" w:rsidRPr="00DF0520" w:rsidRDefault="00D85C25" w:rsidP="00F125EB">
            <w:pPr>
              <w:spacing w:after="0" w:line="240" w:lineRule="auto"/>
              <w:rPr>
                <w:rFonts w:ascii="Arial" w:eastAsia="Cambria" w:hAnsi="Arial" w:cs="Arial"/>
                <w:sz w:val="20"/>
                <w:szCs w:val="20"/>
                <w:lang w:eastAsia="en-CA"/>
              </w:rPr>
            </w:pPr>
          </w:p>
          <w:p w14:paraId="2BC28D25"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Document analysis + interviews (n=18)</w:t>
            </w:r>
          </w:p>
        </w:tc>
        <w:tc>
          <w:tcPr>
            <w:tcW w:w="709" w:type="dxa"/>
            <w:shd w:val="clear" w:color="auto" w:fill="auto"/>
          </w:tcPr>
          <w:p w14:paraId="61AD97C3"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6</w:t>
            </w:r>
          </w:p>
        </w:tc>
      </w:tr>
      <w:tr w:rsidR="00D85C25" w:rsidRPr="00DF0520" w14:paraId="169F99A9" w14:textId="77777777" w:rsidTr="00F125EB">
        <w:trPr>
          <w:trHeight w:val="372"/>
        </w:trPr>
        <w:tc>
          <w:tcPr>
            <w:tcW w:w="1423" w:type="dxa"/>
            <w:shd w:val="clear" w:color="auto" w:fill="auto"/>
          </w:tcPr>
          <w:p w14:paraId="3ACAFEEB"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Tolhurst et al. (2012)</w:t>
            </w:r>
          </w:p>
          <w:p w14:paraId="18A2515E" w14:textId="77777777" w:rsidR="00D85C25" w:rsidRPr="00DF0520" w:rsidRDefault="00D85C25" w:rsidP="00F125EB">
            <w:pPr>
              <w:spacing w:after="0" w:line="240" w:lineRule="auto"/>
              <w:rPr>
                <w:rFonts w:ascii="Arial" w:eastAsia="Times New Roman" w:hAnsi="Arial" w:cs="Arial"/>
                <w:sz w:val="20"/>
                <w:szCs w:val="20"/>
                <w:lang w:eastAsia="en-CA"/>
              </w:rPr>
            </w:pPr>
          </w:p>
          <w:p w14:paraId="26184E6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International Health, UK </w:t>
            </w:r>
          </w:p>
        </w:tc>
        <w:tc>
          <w:tcPr>
            <w:tcW w:w="1843" w:type="dxa"/>
            <w:shd w:val="clear" w:color="auto" w:fill="auto"/>
          </w:tcPr>
          <w:p w14:paraId="0D83A0CE"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Intersectionality and gender mainstreaming in international health: Using a feminist participatory action research process to analyse voices and debates from the global south and north</w:t>
            </w:r>
          </w:p>
        </w:tc>
        <w:tc>
          <w:tcPr>
            <w:tcW w:w="2693" w:type="dxa"/>
            <w:shd w:val="clear" w:color="auto" w:fill="auto"/>
          </w:tcPr>
          <w:p w14:paraId="0DBCAFD8"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“contribute to the debate on the implications of [the] failure for future action for gender equity in health” through “productive dialogue” that brings “together the voices of disparate actors, first heard in a series of four seminars held during 2008 and 2009, involving almost 200 participants from 15 different country contexts” (p. 1826).</w:t>
            </w:r>
          </w:p>
        </w:tc>
        <w:tc>
          <w:tcPr>
            <w:tcW w:w="1276" w:type="dxa"/>
            <w:shd w:val="clear" w:color="auto" w:fill="auto"/>
          </w:tcPr>
          <w:p w14:paraId="1AB29D01"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 xml:space="preserve">Feminist </w:t>
            </w:r>
          </w:p>
          <w:p w14:paraId="513DF74B" w14:textId="77777777" w:rsidR="00D85C25" w:rsidRPr="00DF0520" w:rsidRDefault="00D85C25" w:rsidP="00F125EB">
            <w:pPr>
              <w:spacing w:after="0" w:line="240" w:lineRule="auto"/>
              <w:rPr>
                <w:rFonts w:ascii="Arial" w:eastAsia="Times New Roman" w:hAnsi="Arial" w:cs="Arial"/>
                <w:sz w:val="20"/>
                <w:szCs w:val="20"/>
                <w:lang w:eastAsia="en-CA"/>
              </w:rPr>
            </w:pPr>
          </w:p>
          <w:p w14:paraId="5144E078"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participator-y action research</w:t>
            </w:r>
          </w:p>
          <w:p w14:paraId="5A644ED5"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55312927"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Research, policy, and knowledge translation practices for promoting gender equity</w:t>
            </w:r>
          </w:p>
        </w:tc>
        <w:tc>
          <w:tcPr>
            <w:tcW w:w="1134" w:type="dxa"/>
            <w:shd w:val="clear" w:color="auto" w:fill="auto"/>
          </w:tcPr>
          <w:p w14:paraId="5A04ACF6"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Interrupt</w:t>
            </w:r>
          </w:p>
        </w:tc>
        <w:tc>
          <w:tcPr>
            <w:tcW w:w="2126" w:type="dxa"/>
            <w:gridSpan w:val="2"/>
            <w:shd w:val="clear" w:color="auto" w:fill="auto"/>
          </w:tcPr>
          <w:p w14:paraId="006C3383"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Des(2) + Met(1) + D(2) + An(2)</w:t>
            </w:r>
          </w:p>
          <w:p w14:paraId="5200C968" w14:textId="77777777" w:rsidR="00D85C25" w:rsidRPr="00DF0520" w:rsidRDefault="00D85C25" w:rsidP="00F125EB">
            <w:pPr>
              <w:spacing w:after="0" w:line="240" w:lineRule="auto"/>
              <w:rPr>
                <w:rFonts w:ascii="Arial" w:eastAsia="Cambria" w:hAnsi="Arial" w:cs="Arial"/>
                <w:sz w:val="20"/>
                <w:szCs w:val="20"/>
                <w:lang w:eastAsia="en-CA"/>
              </w:rPr>
            </w:pPr>
          </w:p>
          <w:p w14:paraId="033B8A0E"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Dialogues (n=200+)</w:t>
            </w:r>
          </w:p>
        </w:tc>
        <w:tc>
          <w:tcPr>
            <w:tcW w:w="709" w:type="dxa"/>
            <w:shd w:val="clear" w:color="auto" w:fill="auto"/>
          </w:tcPr>
          <w:p w14:paraId="1E2BEFEA"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9</w:t>
            </w:r>
          </w:p>
        </w:tc>
      </w:tr>
      <w:tr w:rsidR="00D85C25" w:rsidRPr="00DF0520" w14:paraId="0A6163CC" w14:textId="77777777" w:rsidTr="00F125EB">
        <w:trPr>
          <w:trHeight w:val="548"/>
        </w:trPr>
        <w:tc>
          <w:tcPr>
            <w:tcW w:w="1423" w:type="dxa"/>
            <w:shd w:val="clear" w:color="auto" w:fill="auto"/>
          </w:tcPr>
          <w:p w14:paraId="03D6B4FA"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Young (2011)</w:t>
            </w:r>
          </w:p>
          <w:p w14:paraId="5EE9805C" w14:textId="77777777" w:rsidR="00D85C25" w:rsidRPr="00DF0520" w:rsidRDefault="00D85C25" w:rsidP="00F125EB">
            <w:pPr>
              <w:spacing w:after="0" w:line="240" w:lineRule="auto"/>
              <w:rPr>
                <w:rFonts w:ascii="Arial" w:eastAsia="Times New Roman" w:hAnsi="Arial" w:cs="Arial"/>
                <w:sz w:val="20"/>
                <w:szCs w:val="20"/>
                <w:lang w:eastAsia="en-CA"/>
              </w:rPr>
            </w:pPr>
          </w:p>
          <w:p w14:paraId="3EEE2356"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Health Sciences, Australia</w:t>
            </w:r>
          </w:p>
        </w:tc>
        <w:tc>
          <w:tcPr>
            <w:tcW w:w="1843" w:type="dxa"/>
            <w:shd w:val="clear" w:color="auto" w:fill="auto"/>
          </w:tcPr>
          <w:p w14:paraId="50CE72E2"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Exploring discourses of equity, social justice and social determinants in Australian health care policy and planning documents</w:t>
            </w:r>
          </w:p>
          <w:p w14:paraId="1B1A1D5F"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2693" w:type="dxa"/>
            <w:shd w:val="clear" w:color="auto" w:fill="auto"/>
          </w:tcPr>
          <w:p w14:paraId="53E5941C"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To assess how “social determinants understanding [is] demonstrated in Australian health policy documents,” questioning if an SDH or alternate framework prevails (p. 369).</w:t>
            </w:r>
          </w:p>
        </w:tc>
        <w:tc>
          <w:tcPr>
            <w:tcW w:w="1276" w:type="dxa"/>
            <w:shd w:val="clear" w:color="auto" w:fill="auto"/>
          </w:tcPr>
          <w:p w14:paraId="296FE4C5"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Discourse analysis</w:t>
            </w:r>
          </w:p>
          <w:p w14:paraId="44A810F0" w14:textId="77777777" w:rsidR="00D85C25" w:rsidRPr="00DF0520" w:rsidRDefault="00D85C25" w:rsidP="00F125EB">
            <w:pPr>
              <w:spacing w:after="0" w:line="240" w:lineRule="auto"/>
              <w:rPr>
                <w:rFonts w:ascii="Arial" w:eastAsia="Times New Roman" w:hAnsi="Arial" w:cs="Arial"/>
                <w:sz w:val="20"/>
                <w:szCs w:val="20"/>
                <w:lang w:eastAsia="en-CA"/>
              </w:rPr>
            </w:pPr>
          </w:p>
          <w:p w14:paraId="7E9EA9F1" w14:textId="77777777" w:rsidR="00D85C25" w:rsidRPr="00DF0520" w:rsidRDefault="00D85C25" w:rsidP="00F125EB">
            <w:pPr>
              <w:spacing w:after="0" w:line="240" w:lineRule="auto"/>
              <w:rPr>
                <w:rFonts w:ascii="Arial" w:eastAsia="Times New Roman" w:hAnsi="Arial" w:cs="Arial"/>
                <w:sz w:val="20"/>
                <w:szCs w:val="20"/>
                <w:lang w:eastAsia="en-CA"/>
              </w:rPr>
            </w:pPr>
          </w:p>
        </w:tc>
        <w:tc>
          <w:tcPr>
            <w:tcW w:w="1984" w:type="dxa"/>
            <w:shd w:val="clear" w:color="auto" w:fill="auto"/>
          </w:tcPr>
          <w:p w14:paraId="27EA6BD4" w14:textId="77777777" w:rsidR="00D85C25" w:rsidRPr="00DF0520" w:rsidRDefault="00D85C25" w:rsidP="00F125EB">
            <w:pPr>
              <w:spacing w:after="0" w:line="240" w:lineRule="auto"/>
              <w:rPr>
                <w:rFonts w:ascii="Arial" w:eastAsia="Times New Roman" w:hAnsi="Arial" w:cs="Arial"/>
                <w:sz w:val="20"/>
                <w:szCs w:val="20"/>
                <w:lang w:eastAsia="en-CA"/>
              </w:rPr>
            </w:pPr>
            <w:r w:rsidRPr="00DF0520">
              <w:rPr>
                <w:rFonts w:ascii="Arial" w:eastAsia="Times New Roman" w:hAnsi="Arial" w:cs="Arial"/>
                <w:sz w:val="20"/>
                <w:szCs w:val="20"/>
                <w:lang w:eastAsia="en-CA"/>
              </w:rPr>
              <w:t>Use of SDH language and discourses in policy writing at “micro (word searching), meso (documentary overview and reﬂection) and macro (sociopolitical reﬂection) levels” (p. 370)</w:t>
            </w:r>
          </w:p>
        </w:tc>
        <w:tc>
          <w:tcPr>
            <w:tcW w:w="1134" w:type="dxa"/>
            <w:shd w:val="clear" w:color="auto" w:fill="auto"/>
          </w:tcPr>
          <w:p w14:paraId="67375F6F"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Times New Roman" w:hAnsi="Arial" w:cs="Arial"/>
                <w:sz w:val="20"/>
                <w:szCs w:val="20"/>
                <w:lang w:eastAsia="en-CA"/>
              </w:rPr>
              <w:t>Illuminate</w:t>
            </w:r>
          </w:p>
        </w:tc>
        <w:tc>
          <w:tcPr>
            <w:tcW w:w="2126" w:type="dxa"/>
            <w:gridSpan w:val="2"/>
            <w:shd w:val="clear" w:color="auto" w:fill="auto"/>
          </w:tcPr>
          <w:p w14:paraId="525500BC" w14:textId="77777777" w:rsidR="00D85C25" w:rsidRPr="00DF0520" w:rsidRDefault="00D85C25" w:rsidP="00F125EB">
            <w:pPr>
              <w:spacing w:after="0" w:line="240" w:lineRule="auto"/>
              <w:rPr>
                <w:rFonts w:ascii="Arial" w:eastAsia="Cambria" w:hAnsi="Arial" w:cs="Arial"/>
                <w:sz w:val="20"/>
                <w:szCs w:val="20"/>
                <w:lang w:eastAsia="en-CA"/>
              </w:rPr>
            </w:pPr>
            <w:proofErr w:type="gramStart"/>
            <w:r w:rsidRPr="00DF0520">
              <w:rPr>
                <w:rFonts w:ascii="Arial" w:eastAsia="Cambria" w:hAnsi="Arial" w:cs="Arial"/>
                <w:sz w:val="20"/>
                <w:szCs w:val="20"/>
                <w:lang w:eastAsia="en-CA"/>
              </w:rPr>
              <w:t>AO(</w:t>
            </w:r>
            <w:proofErr w:type="gramEnd"/>
            <w:r w:rsidRPr="00DF0520">
              <w:rPr>
                <w:rFonts w:ascii="Arial" w:eastAsia="Cambria" w:hAnsi="Arial" w:cs="Arial"/>
                <w:sz w:val="20"/>
                <w:szCs w:val="20"/>
                <w:lang w:eastAsia="en-CA"/>
              </w:rPr>
              <w:t>2) + Des(2) + Met(2) + D(2) + An(2)</w:t>
            </w:r>
          </w:p>
          <w:p w14:paraId="220A1D37" w14:textId="77777777" w:rsidR="00D85C25" w:rsidRPr="00DF0520" w:rsidRDefault="00D85C25" w:rsidP="00F125EB">
            <w:pPr>
              <w:spacing w:after="0" w:line="240" w:lineRule="auto"/>
              <w:rPr>
                <w:rFonts w:ascii="Arial" w:eastAsia="Cambria" w:hAnsi="Arial" w:cs="Arial"/>
                <w:sz w:val="20"/>
                <w:szCs w:val="20"/>
                <w:lang w:eastAsia="en-CA"/>
              </w:rPr>
            </w:pPr>
          </w:p>
          <w:p w14:paraId="790F968D" w14:textId="77777777" w:rsidR="00D85C25" w:rsidRPr="00DF0520" w:rsidRDefault="00D85C25" w:rsidP="00F125EB">
            <w:pPr>
              <w:spacing w:after="0" w:line="240" w:lineRule="auto"/>
              <w:rPr>
                <w:rFonts w:ascii="Arial" w:eastAsia="Cambria" w:hAnsi="Arial" w:cs="Arial"/>
                <w:sz w:val="20"/>
                <w:szCs w:val="20"/>
                <w:lang w:eastAsia="en-CA"/>
              </w:rPr>
            </w:pPr>
          </w:p>
          <w:p w14:paraId="660F9BAD" w14:textId="77777777" w:rsidR="00D85C25" w:rsidRPr="00DF0520" w:rsidRDefault="00D85C25" w:rsidP="00F125EB">
            <w:pPr>
              <w:spacing w:after="0" w:line="240" w:lineRule="auto"/>
              <w:rPr>
                <w:rFonts w:ascii="Arial" w:eastAsia="Cambria" w:hAnsi="Arial" w:cs="Arial"/>
                <w:sz w:val="20"/>
                <w:szCs w:val="20"/>
                <w:lang w:eastAsia="en-CA"/>
              </w:rPr>
            </w:pPr>
            <w:r w:rsidRPr="00DF0520">
              <w:rPr>
                <w:rFonts w:ascii="Arial" w:eastAsia="Times New Roman" w:hAnsi="Arial" w:cs="Arial"/>
                <w:sz w:val="20"/>
                <w:szCs w:val="20"/>
                <w:lang w:eastAsia="en-CA"/>
              </w:rPr>
              <w:t>Analysis of policy documents (n=8)</w:t>
            </w:r>
          </w:p>
        </w:tc>
        <w:tc>
          <w:tcPr>
            <w:tcW w:w="709" w:type="dxa"/>
            <w:shd w:val="clear" w:color="auto" w:fill="auto"/>
          </w:tcPr>
          <w:p w14:paraId="7FD430CF" w14:textId="77777777" w:rsidR="00D85C25" w:rsidRPr="00DF0520" w:rsidRDefault="00D85C25" w:rsidP="00F125EB">
            <w:pPr>
              <w:spacing w:after="0" w:line="240" w:lineRule="auto"/>
              <w:jc w:val="center"/>
              <w:rPr>
                <w:rFonts w:ascii="Arial" w:eastAsia="Cambria" w:hAnsi="Arial" w:cs="Arial"/>
                <w:sz w:val="20"/>
                <w:szCs w:val="20"/>
                <w:lang w:eastAsia="en-CA"/>
              </w:rPr>
            </w:pPr>
            <w:r w:rsidRPr="00DF0520">
              <w:rPr>
                <w:rFonts w:ascii="Arial" w:eastAsia="Cambria" w:hAnsi="Arial" w:cs="Arial"/>
                <w:sz w:val="20"/>
                <w:szCs w:val="20"/>
                <w:lang w:eastAsia="en-CA"/>
              </w:rPr>
              <w:t>10</w:t>
            </w:r>
          </w:p>
        </w:tc>
      </w:tr>
    </w:tbl>
    <w:p w14:paraId="553E407B" w14:textId="77777777" w:rsidR="00D85C25" w:rsidRPr="00DF0520" w:rsidRDefault="00D85C25" w:rsidP="00D85C25">
      <w:pPr>
        <w:rPr>
          <w:rFonts w:ascii="Arial" w:eastAsia="Times New Roman" w:hAnsi="Arial" w:cs="Arial"/>
          <w:sz w:val="20"/>
          <w:szCs w:val="20"/>
        </w:rPr>
      </w:pPr>
      <w:r w:rsidRPr="00DF0520">
        <w:rPr>
          <w:rFonts w:ascii="Arial" w:eastAsia="Times New Roman" w:hAnsi="Arial" w:cs="Arial"/>
          <w:sz w:val="20"/>
          <w:szCs w:val="20"/>
        </w:rPr>
        <w:t xml:space="preserve">*Discipline and location reported for primary author </w:t>
      </w:r>
    </w:p>
    <w:p w14:paraId="309CB841" w14:textId="77777777" w:rsidR="003A2BF6" w:rsidRDefault="003A2BF6"/>
    <w:sectPr w:rsidR="003A2BF6" w:rsidSect="00D85C25">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25"/>
    <w:rsid w:val="003A2BF6"/>
    <w:rsid w:val="00D0011A"/>
    <w:rsid w:val="00D85C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F4638FD"/>
  <w15:chartTrackingRefBased/>
  <w15:docId w15:val="{D55302D9-429F-444D-A71C-D419B410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C25"/>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85C25"/>
    <w:pPr>
      <w:spacing w:after="200"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2289</Words>
  <Characters>13050</Characters>
  <Application>Microsoft Office Word</Application>
  <DocSecurity>0</DocSecurity>
  <Lines>108</Lines>
  <Paragraphs>30</Paragraphs>
  <ScaleCrop>false</ScaleCrop>
  <Company>UBC Okanagan</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cp:revision>
  <dcterms:created xsi:type="dcterms:W3CDTF">2019-09-08T16:29:00Z</dcterms:created>
  <dcterms:modified xsi:type="dcterms:W3CDTF">2019-09-08T16:29:00Z</dcterms:modified>
</cp:coreProperties>
</file>