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3864C" w14:textId="7C2FDBC4" w:rsidR="00F33BE1" w:rsidRPr="00DF0520" w:rsidRDefault="00F33BE1" w:rsidP="00F33BE1">
      <w:pPr>
        <w:pStyle w:val="Caption"/>
        <w:keepNext/>
        <w:spacing w:after="0"/>
        <w:rPr>
          <w:rFonts w:ascii="Arial" w:hAnsi="Arial" w:cs="Arial"/>
          <w:b/>
          <w:color w:val="auto"/>
          <w:sz w:val="20"/>
        </w:rPr>
      </w:pPr>
      <w:r w:rsidRPr="00DF0520">
        <w:rPr>
          <w:rFonts w:ascii="Arial" w:hAnsi="Arial" w:cs="Arial"/>
          <w:b/>
          <w:color w:val="auto"/>
          <w:sz w:val="20"/>
        </w:rPr>
        <w:t xml:space="preserve">Supplementary Table </w:t>
      </w:r>
      <w:r>
        <w:rPr>
          <w:rFonts w:ascii="Arial" w:hAnsi="Arial" w:cs="Arial"/>
          <w:b/>
          <w:color w:val="auto"/>
          <w:sz w:val="20"/>
        </w:rPr>
        <w:t>3</w:t>
      </w:r>
      <w:r w:rsidRPr="00DF0520">
        <w:rPr>
          <w:rFonts w:ascii="Arial" w:hAnsi="Arial" w:cs="Arial"/>
          <w:b/>
          <w:color w:val="auto"/>
          <w:sz w:val="20"/>
        </w:rPr>
        <w:t xml:space="preserve">. Promising </w:t>
      </w:r>
      <w:r w:rsidR="005B130C">
        <w:rPr>
          <w:rFonts w:ascii="Arial" w:hAnsi="Arial" w:cs="Arial"/>
          <w:b/>
          <w:color w:val="auto"/>
          <w:sz w:val="20"/>
        </w:rPr>
        <w:t>Practices for</w:t>
      </w:r>
      <w:bookmarkStart w:id="0" w:name="_GoBack"/>
      <w:bookmarkEnd w:id="0"/>
      <w:r w:rsidRPr="00DF0520">
        <w:rPr>
          <w:rFonts w:ascii="Arial" w:hAnsi="Arial" w:cs="Arial"/>
          <w:b/>
          <w:color w:val="auto"/>
          <w:sz w:val="20"/>
        </w:rPr>
        <w:t xml:space="preserve"> (Re)Structuring Systems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680"/>
        <w:gridCol w:w="6894"/>
        <w:gridCol w:w="3386"/>
      </w:tblGrid>
      <w:tr w:rsidR="00F33BE1" w:rsidRPr="00DF0520" w14:paraId="5CEF4E28" w14:textId="77777777" w:rsidTr="00F125EB">
        <w:tc>
          <w:tcPr>
            <w:tcW w:w="0" w:type="auto"/>
            <w:shd w:val="clear" w:color="auto" w:fill="auto"/>
            <w:vAlign w:val="bottom"/>
          </w:tcPr>
          <w:p w14:paraId="3293DA24" w14:textId="77777777" w:rsidR="00F33BE1" w:rsidRPr="00DF0520" w:rsidRDefault="00F33BE1" w:rsidP="00F125EB">
            <w:pPr>
              <w:spacing w:after="0" w:line="240" w:lineRule="auto"/>
              <w:rPr>
                <w:rFonts w:ascii="Arial" w:eastAsia="Cambria" w:hAnsi="Arial" w:cs="Arial"/>
                <w:b/>
                <w:sz w:val="20"/>
                <w:szCs w:val="20"/>
                <w:lang w:eastAsia="en-CA"/>
              </w:rPr>
            </w:pPr>
            <w:r w:rsidRPr="00DF0520">
              <w:rPr>
                <w:rFonts w:ascii="Arial" w:eastAsia="Cambria" w:hAnsi="Arial" w:cs="Arial"/>
                <w:b/>
                <w:sz w:val="20"/>
                <w:szCs w:val="20"/>
                <w:lang w:eastAsia="en-CA"/>
              </w:rPr>
              <w:t>Promising Practices</w:t>
            </w:r>
          </w:p>
        </w:tc>
        <w:tc>
          <w:tcPr>
            <w:tcW w:w="0" w:type="auto"/>
            <w:shd w:val="clear" w:color="auto" w:fill="auto"/>
            <w:vAlign w:val="bottom"/>
          </w:tcPr>
          <w:p w14:paraId="6D246A52" w14:textId="77777777" w:rsidR="00F33BE1" w:rsidRPr="00DF0520" w:rsidRDefault="00F33BE1" w:rsidP="00F125EB">
            <w:pPr>
              <w:spacing w:after="0" w:line="240" w:lineRule="auto"/>
              <w:rPr>
                <w:rFonts w:ascii="Arial" w:eastAsia="Cambria" w:hAnsi="Arial" w:cs="Arial"/>
                <w:b/>
                <w:sz w:val="20"/>
                <w:szCs w:val="20"/>
                <w:lang w:eastAsia="en-CA"/>
              </w:rPr>
            </w:pPr>
            <w:r w:rsidRPr="00DF0520">
              <w:rPr>
                <w:rFonts w:ascii="Arial" w:eastAsia="Cambria" w:hAnsi="Arial" w:cs="Arial"/>
                <w:b/>
                <w:sz w:val="20"/>
                <w:szCs w:val="20"/>
                <w:lang w:eastAsia="en-CA"/>
              </w:rPr>
              <w:t>How to do it</w:t>
            </w:r>
          </w:p>
        </w:tc>
        <w:tc>
          <w:tcPr>
            <w:tcW w:w="0" w:type="auto"/>
            <w:shd w:val="clear" w:color="auto" w:fill="auto"/>
            <w:vAlign w:val="bottom"/>
          </w:tcPr>
          <w:p w14:paraId="290FC46D" w14:textId="77777777" w:rsidR="00F33BE1" w:rsidRPr="00DF0520" w:rsidRDefault="00F33BE1" w:rsidP="00F125EB">
            <w:pPr>
              <w:spacing w:after="0" w:line="240" w:lineRule="auto"/>
              <w:rPr>
                <w:rFonts w:ascii="Arial" w:eastAsia="Cambria" w:hAnsi="Arial" w:cs="Arial"/>
                <w:b/>
                <w:sz w:val="20"/>
                <w:szCs w:val="20"/>
                <w:lang w:eastAsia="en-CA"/>
              </w:rPr>
            </w:pPr>
            <w:r w:rsidRPr="00DF0520">
              <w:rPr>
                <w:rFonts w:ascii="Arial" w:eastAsia="Cambria" w:hAnsi="Arial" w:cs="Arial"/>
                <w:b/>
                <w:sz w:val="20"/>
                <w:szCs w:val="20"/>
                <w:lang w:eastAsia="en-CA"/>
              </w:rPr>
              <w:t>Citations for supporting evidence (First Author, Year)</w:t>
            </w:r>
          </w:p>
        </w:tc>
      </w:tr>
      <w:tr w:rsidR="00F33BE1" w:rsidRPr="00DF0520" w14:paraId="1C57A058" w14:textId="77777777" w:rsidTr="00F125EB">
        <w:trPr>
          <w:trHeight w:val="241"/>
        </w:trPr>
        <w:tc>
          <w:tcPr>
            <w:tcW w:w="0" w:type="auto"/>
            <w:vMerge w:val="restart"/>
            <w:shd w:val="clear" w:color="auto" w:fill="auto"/>
          </w:tcPr>
          <w:p w14:paraId="63963616"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iCs/>
                <w:sz w:val="20"/>
                <w:szCs w:val="20"/>
                <w:lang w:eastAsia="en-CA"/>
              </w:rPr>
              <w:t>Embed a policy of health equity at systems-levels</w:t>
            </w:r>
          </w:p>
        </w:tc>
        <w:tc>
          <w:tcPr>
            <w:tcW w:w="0" w:type="auto"/>
            <w:shd w:val="clear" w:color="auto" w:fill="auto"/>
          </w:tcPr>
          <w:p w14:paraId="14A5D6DE"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 xml:space="preserve">Integrate human rights obligations with KT messaging (e.g., health inequities data) to advance high-level integration of health equity. </w:t>
            </w:r>
          </w:p>
        </w:tc>
        <w:tc>
          <w:tcPr>
            <w:tcW w:w="0" w:type="auto"/>
            <w:shd w:val="clear" w:color="auto" w:fill="auto"/>
          </w:tcPr>
          <w:p w14:paraId="3930B334"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Blanchard 2013, Cohen 2017,  Davison 2015, Farrer 2015,  Labonté 2014, Mtenga 2016, Newman 2015, Povall 2013, Shareck 2013.</w:t>
            </w:r>
          </w:p>
        </w:tc>
      </w:tr>
      <w:tr w:rsidR="00F33BE1" w:rsidRPr="00DF0520" w14:paraId="775FDF47" w14:textId="77777777" w:rsidTr="00F125EB">
        <w:trPr>
          <w:trHeight w:val="856"/>
        </w:trPr>
        <w:tc>
          <w:tcPr>
            <w:tcW w:w="0" w:type="auto"/>
            <w:vMerge/>
            <w:shd w:val="clear" w:color="auto" w:fill="auto"/>
          </w:tcPr>
          <w:p w14:paraId="68AF0A43" w14:textId="77777777" w:rsidR="00F33BE1" w:rsidRPr="00DF0520" w:rsidRDefault="00F33BE1" w:rsidP="00F125EB">
            <w:pPr>
              <w:spacing w:after="0" w:line="240" w:lineRule="auto"/>
              <w:rPr>
                <w:rFonts w:ascii="Arial" w:eastAsia="Cambria" w:hAnsi="Arial" w:cs="Arial"/>
                <w:iCs/>
                <w:sz w:val="20"/>
                <w:szCs w:val="20"/>
                <w:lang w:eastAsia="en-CA"/>
              </w:rPr>
            </w:pPr>
          </w:p>
        </w:tc>
        <w:tc>
          <w:tcPr>
            <w:tcW w:w="0" w:type="auto"/>
            <w:shd w:val="clear" w:color="auto" w:fill="auto"/>
          </w:tcPr>
          <w:p w14:paraId="1E299252"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Integrate a commitment to health equity as a foundational principle and/or strategic goal in governance structures, such as governments (municipal, regional, provincial/state, federal), public agencies (e.g., healthcare systems, educational systems), and professional bodies.</w:t>
            </w:r>
          </w:p>
        </w:tc>
        <w:tc>
          <w:tcPr>
            <w:tcW w:w="0" w:type="auto"/>
            <w:shd w:val="clear" w:color="auto" w:fill="auto"/>
          </w:tcPr>
          <w:p w14:paraId="3BDF0F6F"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Borde 2014, Brassolotto 2013, Cohen 2017, Knight 2014, Labonté 2014,; McPherson 2016, Raphael 2014, Raphael 2015, Weiler 2015.</w:t>
            </w:r>
          </w:p>
        </w:tc>
      </w:tr>
      <w:tr w:rsidR="00F33BE1" w:rsidRPr="00DF0520" w14:paraId="1F6AF14A" w14:textId="77777777" w:rsidTr="00F125EB">
        <w:trPr>
          <w:trHeight w:val="241"/>
        </w:trPr>
        <w:tc>
          <w:tcPr>
            <w:tcW w:w="0" w:type="auto"/>
            <w:vMerge w:val="restart"/>
            <w:shd w:val="clear" w:color="auto" w:fill="auto"/>
          </w:tcPr>
          <w:p w14:paraId="34058B59" w14:textId="77777777" w:rsidR="00F33BE1" w:rsidRPr="00DF0520" w:rsidRDefault="00F33BE1" w:rsidP="00F125EB">
            <w:pPr>
              <w:spacing w:after="0" w:line="240" w:lineRule="auto"/>
              <w:rPr>
                <w:rFonts w:ascii="Arial" w:eastAsia="Cambria" w:hAnsi="Arial" w:cs="Arial"/>
                <w:iCs/>
                <w:sz w:val="20"/>
                <w:szCs w:val="20"/>
                <w:lang w:eastAsia="en-CA"/>
              </w:rPr>
            </w:pPr>
            <w:r w:rsidRPr="00DF0520">
              <w:rPr>
                <w:rFonts w:ascii="Arial" w:eastAsia="Cambria" w:hAnsi="Arial" w:cs="Arial"/>
                <w:iCs/>
                <w:sz w:val="20"/>
                <w:szCs w:val="20"/>
                <w:lang w:eastAsia="en-CA"/>
              </w:rPr>
              <w:t>Integrate (defragment) governance mechanisms</w:t>
            </w:r>
          </w:p>
          <w:p w14:paraId="53BFA62E" w14:textId="77777777" w:rsidR="00F33BE1" w:rsidRPr="00DF0520" w:rsidRDefault="00F33BE1" w:rsidP="00F125EB">
            <w:pPr>
              <w:spacing w:after="0" w:line="240" w:lineRule="auto"/>
              <w:rPr>
                <w:rFonts w:ascii="Arial" w:eastAsia="Cambria" w:hAnsi="Arial" w:cs="Arial"/>
                <w:i/>
                <w:sz w:val="20"/>
                <w:szCs w:val="20"/>
                <w:lang w:eastAsia="en-CA"/>
              </w:rPr>
            </w:pPr>
          </w:p>
          <w:p w14:paraId="7A570C2C" w14:textId="77777777" w:rsidR="00F33BE1" w:rsidRPr="00DF0520" w:rsidRDefault="00F33BE1" w:rsidP="00F125EB">
            <w:pPr>
              <w:spacing w:after="0" w:line="240" w:lineRule="auto"/>
              <w:rPr>
                <w:rFonts w:ascii="Arial" w:eastAsia="Cambria" w:hAnsi="Arial" w:cs="Arial"/>
                <w:iCs/>
                <w:sz w:val="20"/>
                <w:szCs w:val="20"/>
                <w:lang w:eastAsia="en-CA"/>
              </w:rPr>
            </w:pPr>
            <w:r w:rsidRPr="00DF0520">
              <w:rPr>
                <w:rFonts w:ascii="Arial" w:eastAsia="Cambria" w:hAnsi="Arial" w:cs="Arial"/>
                <w:i/>
                <w:sz w:val="20"/>
                <w:szCs w:val="20"/>
                <w:lang w:eastAsia="en-CA"/>
              </w:rPr>
              <w:t>This practice is particularly promising when also using promising practices for working relationally.</w:t>
            </w:r>
          </w:p>
        </w:tc>
        <w:tc>
          <w:tcPr>
            <w:tcW w:w="0" w:type="auto"/>
            <w:shd w:val="clear" w:color="auto" w:fill="auto"/>
          </w:tcPr>
          <w:p w14:paraId="787AEF8A"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Identify, assess, and adapt governance processes and bodies involved in making decisions about who is involved, what is to be achieved, and how it is to be implemented (Kelaher, 2014) for health equity (and equity-related) work, striving for transparency.</w:t>
            </w:r>
          </w:p>
        </w:tc>
        <w:tc>
          <w:tcPr>
            <w:tcW w:w="0" w:type="auto"/>
            <w:shd w:val="clear" w:color="auto" w:fill="auto"/>
          </w:tcPr>
          <w:p w14:paraId="1F446F34"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Baum 2010, Carey 2014, Chircop 2014, de Andrande 2015, Labonté 2014, McPherson 2016, Newman 2015, Raphael 2015, Shareck 2013.</w:t>
            </w:r>
          </w:p>
        </w:tc>
      </w:tr>
      <w:tr w:rsidR="00F33BE1" w:rsidRPr="00DF0520" w14:paraId="732C71A1" w14:textId="77777777" w:rsidTr="00F125EB">
        <w:trPr>
          <w:trHeight w:val="941"/>
        </w:trPr>
        <w:tc>
          <w:tcPr>
            <w:tcW w:w="0" w:type="auto"/>
            <w:vMerge/>
            <w:shd w:val="clear" w:color="auto" w:fill="auto"/>
          </w:tcPr>
          <w:p w14:paraId="64B75DBA" w14:textId="77777777" w:rsidR="00F33BE1" w:rsidRPr="00DF0520" w:rsidRDefault="00F33BE1" w:rsidP="00F125EB">
            <w:pPr>
              <w:spacing w:after="0" w:line="240" w:lineRule="auto"/>
              <w:rPr>
                <w:rFonts w:ascii="Arial" w:eastAsia="Cambria" w:hAnsi="Arial" w:cs="Arial"/>
                <w:iCs/>
                <w:sz w:val="20"/>
                <w:szCs w:val="20"/>
                <w:lang w:eastAsia="en-CA"/>
              </w:rPr>
            </w:pPr>
          </w:p>
        </w:tc>
        <w:tc>
          <w:tcPr>
            <w:tcW w:w="0" w:type="auto"/>
            <w:shd w:val="clear" w:color="auto" w:fill="auto"/>
          </w:tcPr>
          <w:p w14:paraId="69938B19"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Use tools that enable integrated (i.e., cross-sector and discipline) governance, such as equity-sensitive health impact assessments, health-in-all policies, or joined-up or whole-of-government approaches to address health equity issues and needs at the population level.</w:t>
            </w:r>
          </w:p>
        </w:tc>
        <w:tc>
          <w:tcPr>
            <w:tcW w:w="0" w:type="auto"/>
            <w:shd w:val="clear" w:color="auto" w:fill="auto"/>
          </w:tcPr>
          <w:p w14:paraId="5C4C38D0"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Baum 2010, Brassolotto 2013, Carey 2014, Chircop 2015, Knight 2014, Newman 2015, Povall 2014,  Raphael 2015, Shareck 2013.</w:t>
            </w:r>
          </w:p>
        </w:tc>
      </w:tr>
      <w:tr w:rsidR="00F33BE1" w:rsidRPr="00DF0520" w14:paraId="0724266C" w14:textId="77777777" w:rsidTr="00F125EB">
        <w:trPr>
          <w:trHeight w:val="1165"/>
        </w:trPr>
        <w:tc>
          <w:tcPr>
            <w:tcW w:w="0" w:type="auto"/>
            <w:vMerge/>
            <w:shd w:val="clear" w:color="auto" w:fill="auto"/>
          </w:tcPr>
          <w:p w14:paraId="0B10272D" w14:textId="77777777" w:rsidR="00F33BE1" w:rsidRPr="00DF0520" w:rsidRDefault="00F33BE1" w:rsidP="00F125EB">
            <w:pPr>
              <w:spacing w:after="0" w:line="240" w:lineRule="auto"/>
              <w:rPr>
                <w:rFonts w:ascii="Arial" w:eastAsia="Cambria" w:hAnsi="Arial" w:cs="Arial"/>
                <w:iCs/>
                <w:sz w:val="20"/>
                <w:szCs w:val="20"/>
                <w:lang w:eastAsia="en-CA"/>
              </w:rPr>
            </w:pPr>
          </w:p>
        </w:tc>
        <w:tc>
          <w:tcPr>
            <w:tcW w:w="0" w:type="auto"/>
            <w:shd w:val="clear" w:color="auto" w:fill="auto"/>
          </w:tcPr>
          <w:p w14:paraId="05BB9C3A"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Actively engage education sectors in efforts to embed health equity in policy, with particular attention to raising public awareness of the relationship between political economy and social justice in school settings (i.e., with children and youth) and enhancing both knowledge and capacity through the education of health professionals (nurses, physicians, allied health) and social workers.</w:t>
            </w:r>
          </w:p>
        </w:tc>
        <w:tc>
          <w:tcPr>
            <w:tcW w:w="0" w:type="auto"/>
            <w:shd w:val="clear" w:color="auto" w:fill="auto"/>
          </w:tcPr>
          <w:p w14:paraId="09651D5D"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Andermann 2016, Cohen 2017, de Andrande 2015, Farrer 2015, Gore 2012, Newman 2015, Raphael 2015, Weiler 2015.</w:t>
            </w:r>
          </w:p>
        </w:tc>
      </w:tr>
      <w:tr w:rsidR="00F33BE1" w:rsidRPr="00DF0520" w14:paraId="13BBC055" w14:textId="77777777" w:rsidTr="00F125EB">
        <w:trPr>
          <w:trHeight w:val="702"/>
        </w:trPr>
        <w:tc>
          <w:tcPr>
            <w:tcW w:w="0" w:type="auto"/>
            <w:shd w:val="clear" w:color="auto" w:fill="auto"/>
          </w:tcPr>
          <w:p w14:paraId="10E2A21A" w14:textId="77777777" w:rsidR="00F33BE1" w:rsidRPr="00DF0520" w:rsidRDefault="00F33BE1" w:rsidP="00F125EB">
            <w:pPr>
              <w:spacing w:after="0" w:line="240" w:lineRule="auto"/>
              <w:rPr>
                <w:rFonts w:ascii="Arial" w:eastAsia="Cambria" w:hAnsi="Arial" w:cs="Arial"/>
                <w:iCs/>
                <w:sz w:val="20"/>
                <w:szCs w:val="20"/>
                <w:lang w:eastAsia="en-CA"/>
              </w:rPr>
            </w:pPr>
            <w:r w:rsidRPr="00DF0520">
              <w:rPr>
                <w:rFonts w:ascii="Arial" w:eastAsia="Cambria" w:hAnsi="Arial" w:cs="Arial"/>
                <w:iCs/>
                <w:sz w:val="20"/>
                <w:szCs w:val="20"/>
                <w:lang w:eastAsia="en-CA"/>
              </w:rPr>
              <w:t>Strategically navigate bureaucratic hierarchies</w:t>
            </w:r>
          </w:p>
        </w:tc>
        <w:tc>
          <w:tcPr>
            <w:tcW w:w="0" w:type="auto"/>
            <w:shd w:val="clear" w:color="auto" w:fill="auto"/>
          </w:tcPr>
          <w:p w14:paraId="61718101"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 xml:space="preserve">Be attentive to bureaucratic culture and norms and issues leadership, accountability, influence, and authority when embedding health equity work or dedicated roles. </w:t>
            </w:r>
          </w:p>
          <w:p w14:paraId="5A6F0117" w14:textId="77777777" w:rsidR="00F33BE1" w:rsidRPr="00DF0520" w:rsidRDefault="00F33BE1" w:rsidP="00F125EB">
            <w:pPr>
              <w:spacing w:after="0" w:line="240" w:lineRule="auto"/>
              <w:rPr>
                <w:rFonts w:ascii="Arial" w:eastAsia="Cambria" w:hAnsi="Arial" w:cs="Arial"/>
                <w:sz w:val="20"/>
                <w:szCs w:val="20"/>
                <w:lang w:eastAsia="en-CA"/>
              </w:rPr>
            </w:pPr>
          </w:p>
        </w:tc>
        <w:tc>
          <w:tcPr>
            <w:tcW w:w="0" w:type="auto"/>
            <w:shd w:val="clear" w:color="auto" w:fill="auto"/>
          </w:tcPr>
          <w:p w14:paraId="6F89C79D"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Brassolotto 2013, Carey 2014, Chircop 2014, McPherson 2016, Raphael 2014, Shareck 2013, Young 2011.</w:t>
            </w:r>
          </w:p>
        </w:tc>
      </w:tr>
      <w:tr w:rsidR="00F33BE1" w:rsidRPr="00DF0520" w14:paraId="3C386C4F" w14:textId="77777777" w:rsidTr="00F125EB">
        <w:trPr>
          <w:trHeight w:val="241"/>
        </w:trPr>
        <w:tc>
          <w:tcPr>
            <w:tcW w:w="0" w:type="auto"/>
            <w:vMerge w:val="restart"/>
            <w:shd w:val="clear" w:color="auto" w:fill="auto"/>
          </w:tcPr>
          <w:p w14:paraId="24CE3EBE" w14:textId="77777777" w:rsidR="00F33BE1" w:rsidRPr="00DF0520" w:rsidRDefault="00F33BE1" w:rsidP="00F125EB">
            <w:pPr>
              <w:spacing w:after="0" w:line="240" w:lineRule="auto"/>
              <w:rPr>
                <w:rFonts w:ascii="Arial" w:eastAsia="Cambria" w:hAnsi="Arial" w:cs="Arial"/>
                <w:iCs/>
                <w:sz w:val="20"/>
                <w:szCs w:val="20"/>
                <w:lang w:eastAsia="en-CA"/>
              </w:rPr>
            </w:pPr>
          </w:p>
        </w:tc>
        <w:tc>
          <w:tcPr>
            <w:tcW w:w="0" w:type="auto"/>
            <w:shd w:val="clear" w:color="auto" w:fill="auto"/>
          </w:tcPr>
          <w:p w14:paraId="1749CBE7"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Align health equity agendas with structural mechanisms to enable action.</w:t>
            </w:r>
          </w:p>
        </w:tc>
        <w:tc>
          <w:tcPr>
            <w:tcW w:w="0" w:type="auto"/>
            <w:shd w:val="clear" w:color="auto" w:fill="auto"/>
          </w:tcPr>
          <w:p w14:paraId="05201E56"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Brassolotto 2013, Carey 2014, McPherson 2016, Newman 2015.</w:t>
            </w:r>
          </w:p>
        </w:tc>
      </w:tr>
      <w:tr w:rsidR="00F33BE1" w:rsidRPr="00DF0520" w14:paraId="26D34ED7" w14:textId="77777777" w:rsidTr="00F125EB">
        <w:trPr>
          <w:trHeight w:val="241"/>
        </w:trPr>
        <w:tc>
          <w:tcPr>
            <w:tcW w:w="0" w:type="auto"/>
            <w:vMerge/>
            <w:shd w:val="clear" w:color="auto" w:fill="auto"/>
          </w:tcPr>
          <w:p w14:paraId="5B9FECD6" w14:textId="77777777" w:rsidR="00F33BE1" w:rsidRPr="00DF0520" w:rsidRDefault="00F33BE1" w:rsidP="00F125EB">
            <w:pPr>
              <w:spacing w:after="0" w:line="240" w:lineRule="auto"/>
              <w:rPr>
                <w:rFonts w:ascii="Arial" w:eastAsia="Cambria" w:hAnsi="Arial" w:cs="Arial"/>
                <w:iCs/>
                <w:sz w:val="20"/>
                <w:szCs w:val="20"/>
                <w:lang w:eastAsia="en-CA"/>
              </w:rPr>
            </w:pPr>
          </w:p>
        </w:tc>
        <w:tc>
          <w:tcPr>
            <w:tcW w:w="0" w:type="auto"/>
            <w:shd w:val="clear" w:color="auto" w:fill="auto"/>
          </w:tcPr>
          <w:p w14:paraId="214DBB4A"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Cultivate health equity champions and leaders.</w:t>
            </w:r>
          </w:p>
          <w:p w14:paraId="3E16CECA" w14:textId="77777777" w:rsidR="00F33BE1" w:rsidRPr="00DF0520" w:rsidRDefault="00F33BE1" w:rsidP="00F125EB">
            <w:pPr>
              <w:spacing w:after="0" w:line="240" w:lineRule="auto"/>
              <w:rPr>
                <w:rFonts w:ascii="Arial" w:eastAsia="Cambria" w:hAnsi="Arial" w:cs="Arial"/>
                <w:sz w:val="20"/>
                <w:szCs w:val="20"/>
                <w:lang w:eastAsia="en-CA"/>
              </w:rPr>
            </w:pPr>
          </w:p>
        </w:tc>
        <w:tc>
          <w:tcPr>
            <w:tcW w:w="0" w:type="auto"/>
            <w:shd w:val="clear" w:color="auto" w:fill="auto"/>
          </w:tcPr>
          <w:p w14:paraId="0C07EB1C" w14:textId="77777777" w:rsidR="00F33BE1" w:rsidRPr="00DF0520" w:rsidRDefault="00F33BE1" w:rsidP="00F125EB">
            <w:pPr>
              <w:spacing w:after="0" w:line="240" w:lineRule="auto"/>
              <w:rPr>
                <w:rFonts w:ascii="Arial" w:eastAsia="Cambria" w:hAnsi="Arial" w:cs="Arial"/>
                <w:sz w:val="20"/>
                <w:szCs w:val="20"/>
                <w:lang w:eastAsia="en-CA"/>
              </w:rPr>
            </w:pPr>
            <w:r w:rsidRPr="00DF0520">
              <w:rPr>
                <w:rFonts w:ascii="Arial" w:eastAsia="Cambria" w:hAnsi="Arial" w:cs="Arial"/>
                <w:sz w:val="20"/>
                <w:szCs w:val="20"/>
                <w:lang w:eastAsia="en-CA"/>
              </w:rPr>
              <w:t>Blanchard 2013, Brassolotto 2013, Cacari-Stone 2014, Carey 2014, Davison 2015, de Andrande 2015, Labonté 2014, Raphael 2014, Raphael 2015.</w:t>
            </w:r>
          </w:p>
        </w:tc>
      </w:tr>
    </w:tbl>
    <w:p w14:paraId="13845464" w14:textId="77777777" w:rsidR="00F33BE1" w:rsidRPr="00DF0520" w:rsidRDefault="00F33BE1" w:rsidP="00F33BE1">
      <w:pPr>
        <w:rPr>
          <w:lang w:val="en-US"/>
        </w:rPr>
      </w:pPr>
    </w:p>
    <w:sectPr w:rsidR="00F33BE1" w:rsidRPr="00DF0520" w:rsidSect="00F33BE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E1"/>
    <w:rsid w:val="003A2BF6"/>
    <w:rsid w:val="005B130C"/>
    <w:rsid w:val="00D0011A"/>
    <w:rsid w:val="00F33B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787BC"/>
  <w15:chartTrackingRefBased/>
  <w15:docId w15:val="{69A0CF6A-C971-F44C-B658-905DA9A9E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3BE1"/>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33BE1"/>
    <w:pPr>
      <w:spacing w:after="200"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2526</Characters>
  <Application>Microsoft Office Word</Application>
  <DocSecurity>0</DocSecurity>
  <Lines>64</Lines>
  <Paragraphs>12</Paragraphs>
  <ScaleCrop>false</ScaleCrop>
  <Company>UBC Okanagan</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2019-09-08T16:30:00Z</dcterms:created>
  <dcterms:modified xsi:type="dcterms:W3CDTF">2019-11-27T21:42:00Z</dcterms:modified>
</cp:coreProperties>
</file>