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C0784" w14:textId="25C9579D" w:rsidR="00DD1F1E" w:rsidRPr="00DF0520" w:rsidRDefault="00DD1F1E" w:rsidP="00DD1F1E">
      <w:pPr>
        <w:pStyle w:val="Caption"/>
        <w:keepNext/>
        <w:spacing w:after="0"/>
        <w:contextualSpacing/>
        <w:rPr>
          <w:rFonts w:ascii="Arial" w:hAnsi="Arial" w:cs="Arial"/>
          <w:b/>
          <w:color w:val="auto"/>
          <w:sz w:val="20"/>
        </w:rPr>
      </w:pPr>
      <w:r w:rsidRPr="00DF0520">
        <w:rPr>
          <w:rFonts w:ascii="Arial" w:hAnsi="Arial" w:cs="Arial"/>
          <w:b/>
          <w:color w:val="auto"/>
          <w:sz w:val="20"/>
        </w:rPr>
        <w:t xml:space="preserve">Supplementary Table </w:t>
      </w:r>
      <w:r>
        <w:rPr>
          <w:rFonts w:ascii="Arial" w:hAnsi="Arial" w:cs="Arial"/>
          <w:b/>
          <w:color w:val="auto"/>
          <w:sz w:val="20"/>
        </w:rPr>
        <w:t>4</w:t>
      </w:r>
      <w:r w:rsidRPr="00DF0520">
        <w:rPr>
          <w:rFonts w:ascii="Arial" w:hAnsi="Arial" w:cs="Arial"/>
          <w:b/>
          <w:color w:val="auto"/>
          <w:sz w:val="20"/>
        </w:rPr>
        <w:t xml:space="preserve">. Promising </w:t>
      </w:r>
      <w:r w:rsidR="00DE249D">
        <w:rPr>
          <w:rFonts w:ascii="Arial" w:hAnsi="Arial" w:cs="Arial"/>
          <w:b/>
          <w:color w:val="auto"/>
          <w:sz w:val="20"/>
        </w:rPr>
        <w:t xml:space="preserve">Practices </w:t>
      </w:r>
      <w:r w:rsidRPr="00DF0520">
        <w:rPr>
          <w:rFonts w:ascii="Arial" w:hAnsi="Arial" w:cs="Arial"/>
          <w:b/>
          <w:color w:val="auto"/>
          <w:sz w:val="20"/>
        </w:rPr>
        <w:t>f</w:t>
      </w:r>
      <w:r w:rsidR="00DE249D">
        <w:rPr>
          <w:rFonts w:ascii="Arial" w:hAnsi="Arial" w:cs="Arial"/>
          <w:b/>
          <w:color w:val="auto"/>
          <w:sz w:val="20"/>
        </w:rPr>
        <w:t>or</w:t>
      </w:r>
      <w:bookmarkStart w:id="0" w:name="_GoBack"/>
      <w:bookmarkEnd w:id="0"/>
      <w:r w:rsidRPr="00DF0520">
        <w:rPr>
          <w:rFonts w:ascii="Arial" w:hAnsi="Arial" w:cs="Arial"/>
          <w:b/>
          <w:color w:val="auto"/>
          <w:sz w:val="20"/>
        </w:rPr>
        <w:t xml:space="preserve"> Working Relationally</w:t>
      </w:r>
    </w:p>
    <w:tbl>
      <w:tblPr>
        <w:tblW w:w="5455" w:type="pct"/>
        <w:tblBorders>
          <w:top w:val="single" w:sz="4" w:space="0" w:color="auto"/>
          <w:bottom w:val="single" w:sz="4" w:space="0" w:color="auto"/>
          <w:insideH w:val="single" w:sz="4" w:space="0" w:color="auto"/>
        </w:tblBorders>
        <w:tblLook w:val="04A0" w:firstRow="1" w:lastRow="0" w:firstColumn="1" w:lastColumn="0" w:noHBand="0" w:noVBand="1"/>
      </w:tblPr>
      <w:tblGrid>
        <w:gridCol w:w="3535"/>
        <w:gridCol w:w="5486"/>
        <w:gridCol w:w="8"/>
        <w:gridCol w:w="3931"/>
        <w:gridCol w:w="1179"/>
      </w:tblGrid>
      <w:tr w:rsidR="00DD1F1E" w:rsidRPr="00DF0520" w14:paraId="60D45202" w14:textId="77777777" w:rsidTr="00F125EB">
        <w:tc>
          <w:tcPr>
            <w:tcW w:w="1250" w:type="pct"/>
            <w:shd w:val="clear" w:color="auto" w:fill="auto"/>
            <w:vAlign w:val="bottom"/>
          </w:tcPr>
          <w:p w14:paraId="02591B30" w14:textId="77777777" w:rsidR="00DD1F1E" w:rsidRPr="00DF0520" w:rsidRDefault="00DD1F1E" w:rsidP="00F125EB">
            <w:pPr>
              <w:spacing w:after="0" w:line="240" w:lineRule="auto"/>
              <w:rPr>
                <w:rFonts w:ascii="Arial" w:eastAsia="Cambria" w:hAnsi="Arial" w:cs="Arial"/>
                <w:b/>
                <w:sz w:val="20"/>
                <w:szCs w:val="20"/>
                <w:lang w:eastAsia="en-CA"/>
              </w:rPr>
            </w:pPr>
            <w:r w:rsidRPr="00DF0520">
              <w:rPr>
                <w:rFonts w:ascii="Arial" w:eastAsia="Cambria" w:hAnsi="Arial" w:cs="Arial"/>
                <w:b/>
                <w:sz w:val="20"/>
                <w:szCs w:val="20"/>
                <w:lang w:eastAsia="en-CA"/>
              </w:rPr>
              <w:t>Promising Practices</w:t>
            </w:r>
          </w:p>
        </w:tc>
        <w:tc>
          <w:tcPr>
            <w:tcW w:w="1943" w:type="pct"/>
            <w:gridSpan w:val="2"/>
            <w:shd w:val="clear" w:color="auto" w:fill="auto"/>
            <w:vAlign w:val="bottom"/>
          </w:tcPr>
          <w:p w14:paraId="2F74B7D0" w14:textId="77777777" w:rsidR="00DD1F1E" w:rsidRPr="00DF0520" w:rsidRDefault="00DD1F1E" w:rsidP="00F125EB">
            <w:pPr>
              <w:spacing w:after="0" w:line="240" w:lineRule="auto"/>
              <w:rPr>
                <w:rFonts w:ascii="Arial" w:eastAsia="Cambria" w:hAnsi="Arial" w:cs="Arial"/>
                <w:b/>
                <w:sz w:val="20"/>
                <w:szCs w:val="20"/>
                <w:lang w:eastAsia="en-CA"/>
              </w:rPr>
            </w:pPr>
            <w:r w:rsidRPr="00DF0520">
              <w:rPr>
                <w:rFonts w:ascii="Arial" w:eastAsia="Cambria" w:hAnsi="Arial" w:cs="Arial"/>
                <w:b/>
                <w:sz w:val="20"/>
                <w:szCs w:val="20"/>
                <w:lang w:eastAsia="en-CA"/>
              </w:rPr>
              <w:t>How to do it</w:t>
            </w:r>
          </w:p>
        </w:tc>
        <w:tc>
          <w:tcPr>
            <w:tcW w:w="1807" w:type="pct"/>
            <w:gridSpan w:val="2"/>
            <w:shd w:val="clear" w:color="auto" w:fill="auto"/>
            <w:vAlign w:val="bottom"/>
          </w:tcPr>
          <w:p w14:paraId="2BBC62F5" w14:textId="77777777" w:rsidR="00DD1F1E" w:rsidRPr="00DF0520" w:rsidRDefault="00DD1F1E" w:rsidP="00F125EB">
            <w:pPr>
              <w:spacing w:after="0" w:line="240" w:lineRule="auto"/>
              <w:rPr>
                <w:rFonts w:ascii="Arial" w:eastAsia="Cambria" w:hAnsi="Arial" w:cs="Arial"/>
                <w:b/>
                <w:sz w:val="20"/>
                <w:szCs w:val="20"/>
                <w:lang w:eastAsia="en-CA"/>
              </w:rPr>
            </w:pPr>
            <w:r w:rsidRPr="00DF0520">
              <w:rPr>
                <w:rFonts w:ascii="Arial" w:eastAsia="Cambria" w:hAnsi="Arial" w:cs="Arial"/>
                <w:b/>
                <w:sz w:val="20"/>
                <w:szCs w:val="20"/>
                <w:lang w:eastAsia="en-CA"/>
              </w:rPr>
              <w:t xml:space="preserve">Citations for supporting evidence </w:t>
            </w:r>
          </w:p>
          <w:p w14:paraId="752D2AEA" w14:textId="77777777" w:rsidR="00DD1F1E" w:rsidRPr="00DF0520" w:rsidRDefault="00DD1F1E" w:rsidP="00F125EB">
            <w:pPr>
              <w:spacing w:after="0" w:line="240" w:lineRule="auto"/>
              <w:rPr>
                <w:rFonts w:ascii="Arial" w:eastAsia="Cambria" w:hAnsi="Arial" w:cs="Arial"/>
                <w:b/>
                <w:sz w:val="20"/>
                <w:szCs w:val="20"/>
                <w:lang w:eastAsia="en-CA"/>
              </w:rPr>
            </w:pPr>
            <w:r w:rsidRPr="00DF0520">
              <w:rPr>
                <w:rFonts w:ascii="Arial" w:eastAsia="Cambria" w:hAnsi="Arial" w:cs="Arial"/>
                <w:b/>
                <w:sz w:val="20"/>
                <w:szCs w:val="20"/>
                <w:lang w:eastAsia="en-CA"/>
              </w:rPr>
              <w:t>(First Author, Year)</w:t>
            </w:r>
          </w:p>
        </w:tc>
      </w:tr>
      <w:tr w:rsidR="00DD1F1E" w:rsidRPr="00DF0520" w14:paraId="4625D215" w14:textId="77777777" w:rsidTr="00F125EB">
        <w:trPr>
          <w:gridAfter w:val="1"/>
          <w:wAfter w:w="852" w:type="dxa"/>
          <w:trHeight w:val="241"/>
        </w:trPr>
        <w:tc>
          <w:tcPr>
            <w:tcW w:w="1250" w:type="pct"/>
            <w:vMerge w:val="restart"/>
            <w:shd w:val="clear" w:color="auto" w:fill="auto"/>
          </w:tcPr>
          <w:p w14:paraId="4C5B126F"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Foster connections and connectedness to enable more responsive, complexity-sensitive health equity work</w:t>
            </w:r>
          </w:p>
        </w:tc>
        <w:tc>
          <w:tcPr>
            <w:tcW w:w="1940" w:type="pct"/>
            <w:shd w:val="clear" w:color="auto" w:fill="auto"/>
          </w:tcPr>
          <w:p w14:paraId="5CDF01E4"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 xml:space="preserve">Adopt transdisciplinary, cross-sector approaches to health equity work across multiple levels (i.e., local/municipal, regional, national, and international/global), maintaining an upstream-structural focus. </w:t>
            </w:r>
          </w:p>
        </w:tc>
        <w:tc>
          <w:tcPr>
            <w:tcW w:w="1393" w:type="pct"/>
            <w:gridSpan w:val="2"/>
            <w:shd w:val="clear" w:color="auto" w:fill="auto"/>
          </w:tcPr>
          <w:p w14:paraId="7258724C" w14:textId="77777777" w:rsidR="00DD1F1E" w:rsidRPr="00DF0520" w:rsidRDefault="00DD1F1E" w:rsidP="00F125EB">
            <w:pPr>
              <w:spacing w:after="0" w:line="240" w:lineRule="auto"/>
              <w:rPr>
                <w:rFonts w:ascii="Arial" w:eastAsia="Cambria" w:hAnsi="Arial" w:cs="Arial"/>
                <w:iCs/>
                <w:sz w:val="20"/>
                <w:szCs w:val="20"/>
                <w:lang w:eastAsia="en-CA"/>
              </w:rPr>
            </w:pPr>
            <w:r w:rsidRPr="00DF0520">
              <w:rPr>
                <w:rFonts w:ascii="Arial" w:eastAsia="Cambria" w:hAnsi="Arial" w:cs="Arial"/>
                <w:iCs/>
                <w:sz w:val="20"/>
                <w:szCs w:val="20"/>
                <w:lang w:eastAsia="en-CA"/>
              </w:rPr>
              <w:t>Baum 2010, Baum 2013, Blanchard 2013, Borde 2014, Brassolotto 2013, Chircop 2015, Cohen 2017, Davison 2015, de Andrande 2015, Estey 2010, Farrer 2015, Gore 2012, Kirst 2017, Labonté 2014, McPherson 2016, Mtenga 2016, Ndumbe-Eyoh 2013, Newman 2015, Raphael 2015, Shareck 2013, Weiler 2015</w:t>
            </w:r>
          </w:p>
        </w:tc>
      </w:tr>
      <w:tr w:rsidR="00DD1F1E" w:rsidRPr="00DF0520" w14:paraId="63A8041A" w14:textId="77777777" w:rsidTr="00F125EB">
        <w:trPr>
          <w:gridAfter w:val="1"/>
          <w:wAfter w:w="852" w:type="dxa"/>
          <w:trHeight w:val="241"/>
        </w:trPr>
        <w:tc>
          <w:tcPr>
            <w:tcW w:w="1250" w:type="pct"/>
            <w:vMerge/>
            <w:shd w:val="clear" w:color="auto" w:fill="auto"/>
          </w:tcPr>
          <w:p w14:paraId="33F94EDD" w14:textId="77777777" w:rsidR="00DD1F1E" w:rsidRPr="00DF0520" w:rsidRDefault="00DD1F1E" w:rsidP="00F125EB">
            <w:pPr>
              <w:spacing w:after="0" w:line="240" w:lineRule="auto"/>
              <w:rPr>
                <w:rFonts w:ascii="Arial" w:eastAsia="Cambria" w:hAnsi="Arial" w:cs="Arial"/>
                <w:sz w:val="20"/>
                <w:szCs w:val="20"/>
                <w:lang w:eastAsia="en-CA"/>
              </w:rPr>
            </w:pPr>
          </w:p>
        </w:tc>
        <w:tc>
          <w:tcPr>
            <w:tcW w:w="1940" w:type="pct"/>
            <w:shd w:val="clear" w:color="auto" w:fill="auto"/>
          </w:tcPr>
          <w:p w14:paraId="7E5348F3"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Identify and examine underlying assumptions and discourses, with attention to how they shape the ways in which health inequities are framed and responded to (especially taken-for-granted assumptions underlying dominant discourses, such as neoliberalism, individualism, and bio-behaviourism).</w:t>
            </w:r>
          </w:p>
          <w:p w14:paraId="5C229C38" w14:textId="77777777" w:rsidR="00DD1F1E" w:rsidRPr="00DF0520" w:rsidRDefault="00DD1F1E" w:rsidP="00F125EB">
            <w:pPr>
              <w:spacing w:after="0" w:line="240" w:lineRule="auto"/>
              <w:rPr>
                <w:rFonts w:ascii="Arial" w:eastAsia="Cambria" w:hAnsi="Arial" w:cs="Arial"/>
                <w:sz w:val="20"/>
                <w:szCs w:val="20"/>
                <w:lang w:eastAsia="en-CA"/>
              </w:rPr>
            </w:pPr>
          </w:p>
        </w:tc>
        <w:tc>
          <w:tcPr>
            <w:tcW w:w="1393" w:type="pct"/>
            <w:gridSpan w:val="2"/>
            <w:shd w:val="clear" w:color="auto" w:fill="auto"/>
          </w:tcPr>
          <w:p w14:paraId="36CFF99E" w14:textId="77777777" w:rsidR="00DD1F1E" w:rsidRPr="00DF0520" w:rsidRDefault="00DD1F1E" w:rsidP="00F125EB">
            <w:pPr>
              <w:spacing w:after="0" w:line="240" w:lineRule="auto"/>
              <w:rPr>
                <w:rFonts w:ascii="Arial" w:eastAsia="Cambria" w:hAnsi="Arial" w:cs="Arial"/>
                <w:iCs/>
                <w:sz w:val="20"/>
                <w:szCs w:val="20"/>
                <w:lang w:eastAsia="en-CA"/>
              </w:rPr>
            </w:pPr>
            <w:r w:rsidRPr="00DF0520">
              <w:rPr>
                <w:rFonts w:ascii="Arial" w:eastAsia="Cambria" w:hAnsi="Arial" w:cs="Arial"/>
                <w:iCs/>
                <w:sz w:val="20"/>
                <w:szCs w:val="20"/>
                <w:lang w:eastAsia="en-CA"/>
              </w:rPr>
              <w:t>Brassolotto 2013, Farrer 2015, Grundy 2014, Mtenga 2016, Raphael 2015, Weiler 2015, Young 2011</w:t>
            </w:r>
          </w:p>
        </w:tc>
      </w:tr>
      <w:tr w:rsidR="00DD1F1E" w:rsidRPr="00DF0520" w14:paraId="1D84B6A8" w14:textId="77777777" w:rsidTr="00F125EB">
        <w:trPr>
          <w:gridAfter w:val="1"/>
          <w:wAfter w:w="852" w:type="dxa"/>
          <w:trHeight w:val="241"/>
        </w:trPr>
        <w:tc>
          <w:tcPr>
            <w:tcW w:w="1250" w:type="pct"/>
            <w:vMerge/>
            <w:shd w:val="clear" w:color="auto" w:fill="auto"/>
          </w:tcPr>
          <w:p w14:paraId="3FB25441" w14:textId="77777777" w:rsidR="00DD1F1E" w:rsidRPr="00DF0520" w:rsidRDefault="00DD1F1E" w:rsidP="00F125EB">
            <w:pPr>
              <w:spacing w:after="0" w:line="240" w:lineRule="auto"/>
              <w:rPr>
                <w:rFonts w:ascii="Arial" w:eastAsia="Cambria" w:hAnsi="Arial" w:cs="Arial"/>
                <w:sz w:val="20"/>
                <w:szCs w:val="20"/>
                <w:lang w:eastAsia="en-CA"/>
              </w:rPr>
            </w:pPr>
          </w:p>
        </w:tc>
        <w:tc>
          <w:tcPr>
            <w:tcW w:w="1940" w:type="pct"/>
            <w:shd w:val="clear" w:color="auto" w:fill="auto"/>
          </w:tcPr>
          <w:p w14:paraId="3757104A"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Cultivate networks and supported learning communities as platforms for responsive collaboration and learning that can open new possibilities for doing structural health equity work.</w:t>
            </w:r>
          </w:p>
          <w:p w14:paraId="2218B616" w14:textId="77777777" w:rsidR="00DD1F1E" w:rsidRPr="00DF0520" w:rsidRDefault="00DD1F1E" w:rsidP="00F125EB">
            <w:pPr>
              <w:spacing w:after="0" w:line="240" w:lineRule="auto"/>
              <w:rPr>
                <w:rFonts w:ascii="Arial" w:eastAsia="Cambria" w:hAnsi="Arial" w:cs="Arial"/>
                <w:sz w:val="20"/>
                <w:szCs w:val="20"/>
                <w:lang w:eastAsia="en-CA"/>
              </w:rPr>
            </w:pPr>
          </w:p>
        </w:tc>
        <w:tc>
          <w:tcPr>
            <w:tcW w:w="1393" w:type="pct"/>
            <w:gridSpan w:val="2"/>
            <w:shd w:val="clear" w:color="auto" w:fill="auto"/>
          </w:tcPr>
          <w:p w14:paraId="290E1D3F" w14:textId="77777777" w:rsidR="00DD1F1E" w:rsidRPr="00DF0520" w:rsidRDefault="00DD1F1E" w:rsidP="00F125EB">
            <w:pPr>
              <w:spacing w:after="0" w:line="240" w:lineRule="auto"/>
              <w:rPr>
                <w:rFonts w:ascii="Arial" w:eastAsia="Cambria" w:hAnsi="Arial" w:cs="Arial"/>
                <w:iCs/>
                <w:sz w:val="20"/>
                <w:szCs w:val="20"/>
                <w:lang w:eastAsia="en-CA"/>
              </w:rPr>
            </w:pPr>
            <w:r w:rsidRPr="00DF0520">
              <w:rPr>
                <w:rFonts w:ascii="Arial" w:eastAsia="Cambria" w:hAnsi="Arial" w:cs="Arial"/>
                <w:iCs/>
                <w:sz w:val="20"/>
                <w:szCs w:val="20"/>
                <w:lang w:eastAsia="en-CA"/>
              </w:rPr>
              <w:t>Andermann 2016, Blanchard 2013, Labonté 2014, McPherson 2016, Mtenga 2016, Raphael 2014, Raphael 2015</w:t>
            </w:r>
          </w:p>
        </w:tc>
      </w:tr>
      <w:tr w:rsidR="00DD1F1E" w:rsidRPr="00DF0520" w14:paraId="243F2881" w14:textId="77777777" w:rsidTr="00F125EB">
        <w:trPr>
          <w:gridAfter w:val="1"/>
          <w:wAfter w:w="852" w:type="dxa"/>
          <w:trHeight w:val="241"/>
        </w:trPr>
        <w:tc>
          <w:tcPr>
            <w:tcW w:w="1250" w:type="pct"/>
            <w:vMerge/>
            <w:shd w:val="clear" w:color="auto" w:fill="auto"/>
          </w:tcPr>
          <w:p w14:paraId="07600A6D" w14:textId="77777777" w:rsidR="00DD1F1E" w:rsidRPr="00DF0520" w:rsidRDefault="00DD1F1E" w:rsidP="00F125EB">
            <w:pPr>
              <w:spacing w:after="0" w:line="240" w:lineRule="auto"/>
              <w:rPr>
                <w:rFonts w:ascii="Arial" w:eastAsia="Cambria" w:hAnsi="Arial" w:cs="Arial"/>
                <w:sz w:val="20"/>
                <w:szCs w:val="20"/>
                <w:lang w:eastAsia="en-CA"/>
              </w:rPr>
            </w:pPr>
          </w:p>
        </w:tc>
        <w:tc>
          <w:tcPr>
            <w:tcW w:w="1940" w:type="pct"/>
            <w:shd w:val="clear" w:color="auto" w:fill="auto"/>
          </w:tcPr>
          <w:p w14:paraId="0A7C9E57"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 xml:space="preserve">Take advantage of windows of opportunity on issues that, though narrow, could be creatively leveraged to respond to shared social and structural determinants of health. </w:t>
            </w:r>
          </w:p>
          <w:p w14:paraId="69D31F8F" w14:textId="77777777" w:rsidR="00DD1F1E" w:rsidRPr="00DF0520" w:rsidRDefault="00DD1F1E" w:rsidP="00F125EB">
            <w:pPr>
              <w:spacing w:after="0" w:line="240" w:lineRule="auto"/>
              <w:rPr>
                <w:rFonts w:ascii="Arial" w:eastAsia="Cambria" w:hAnsi="Arial" w:cs="Arial"/>
                <w:sz w:val="20"/>
                <w:szCs w:val="20"/>
                <w:lang w:eastAsia="en-CA"/>
              </w:rPr>
            </w:pPr>
          </w:p>
        </w:tc>
        <w:tc>
          <w:tcPr>
            <w:tcW w:w="1393" w:type="pct"/>
            <w:gridSpan w:val="2"/>
            <w:shd w:val="clear" w:color="auto" w:fill="auto"/>
          </w:tcPr>
          <w:p w14:paraId="636E9461"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Blanchard 2013, Farrer 2015, Gore 2012, Knight 2014, Labonté 2014, McPherson 2016, Tolhurst 2012</w:t>
            </w:r>
          </w:p>
        </w:tc>
      </w:tr>
      <w:tr w:rsidR="00DD1F1E" w:rsidRPr="00DF0520" w14:paraId="4FB4C9BE" w14:textId="77777777" w:rsidTr="00F125EB">
        <w:trPr>
          <w:gridAfter w:val="1"/>
          <w:wAfter w:w="852" w:type="dxa"/>
          <w:trHeight w:val="241"/>
        </w:trPr>
        <w:tc>
          <w:tcPr>
            <w:tcW w:w="1250" w:type="pct"/>
            <w:vMerge/>
            <w:shd w:val="clear" w:color="auto" w:fill="auto"/>
          </w:tcPr>
          <w:p w14:paraId="2601997B" w14:textId="77777777" w:rsidR="00DD1F1E" w:rsidRPr="00DF0520" w:rsidRDefault="00DD1F1E" w:rsidP="00F125EB">
            <w:pPr>
              <w:spacing w:after="0" w:line="240" w:lineRule="auto"/>
              <w:rPr>
                <w:rFonts w:ascii="Arial" w:eastAsia="Cambria" w:hAnsi="Arial" w:cs="Arial"/>
                <w:sz w:val="20"/>
                <w:szCs w:val="20"/>
                <w:lang w:eastAsia="en-CA"/>
              </w:rPr>
            </w:pPr>
          </w:p>
        </w:tc>
        <w:tc>
          <w:tcPr>
            <w:tcW w:w="1940" w:type="pct"/>
            <w:shd w:val="clear" w:color="auto" w:fill="auto"/>
          </w:tcPr>
          <w:p w14:paraId="2669DB80"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 xml:space="preserve">Create a culture of collective responsibility and action; fostering a willingness to share roles and expertise is encouraged along with responsibilities and collective action. </w:t>
            </w:r>
          </w:p>
          <w:p w14:paraId="461692D8" w14:textId="77777777" w:rsidR="00DD1F1E" w:rsidRPr="00DF0520" w:rsidRDefault="00DD1F1E" w:rsidP="00F125EB">
            <w:pPr>
              <w:spacing w:after="0" w:line="240" w:lineRule="auto"/>
              <w:rPr>
                <w:rFonts w:ascii="Arial" w:eastAsia="Cambria" w:hAnsi="Arial" w:cs="Arial"/>
                <w:sz w:val="20"/>
                <w:szCs w:val="20"/>
                <w:lang w:eastAsia="en-CA"/>
              </w:rPr>
            </w:pPr>
          </w:p>
        </w:tc>
        <w:tc>
          <w:tcPr>
            <w:tcW w:w="1393" w:type="pct"/>
            <w:gridSpan w:val="2"/>
            <w:shd w:val="clear" w:color="auto" w:fill="auto"/>
          </w:tcPr>
          <w:p w14:paraId="6B0C3E09"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Davison 2015, Estey 2010, Knight 2014, Wieler 2015</w:t>
            </w:r>
          </w:p>
        </w:tc>
      </w:tr>
      <w:tr w:rsidR="00DD1F1E" w:rsidRPr="00DF0520" w14:paraId="1BF2C087" w14:textId="77777777" w:rsidTr="00F125EB">
        <w:trPr>
          <w:gridAfter w:val="1"/>
          <w:wAfter w:w="852" w:type="dxa"/>
          <w:trHeight w:val="241"/>
        </w:trPr>
        <w:tc>
          <w:tcPr>
            <w:tcW w:w="1250" w:type="pct"/>
            <w:vMerge w:val="restart"/>
            <w:shd w:val="clear" w:color="auto" w:fill="auto"/>
          </w:tcPr>
          <w:p w14:paraId="65AC5C35"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 xml:space="preserve">Foster inclusion of non-academic partners, with particular attention to those who may be historically excluded due to race/ethnicity, culture, gender, sexual orientation, Indigeneity, ableness, or other –isms </w:t>
            </w:r>
          </w:p>
        </w:tc>
        <w:tc>
          <w:tcPr>
            <w:tcW w:w="1940" w:type="pct"/>
            <w:shd w:val="clear" w:color="auto" w:fill="auto"/>
          </w:tcPr>
          <w:p w14:paraId="205A4375"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Actively assess for and mitigate inequities of why, who, and how particular people or groups are engaged in health equity work.</w:t>
            </w:r>
          </w:p>
          <w:p w14:paraId="41DAB00D" w14:textId="77777777" w:rsidR="00DD1F1E" w:rsidRPr="00DF0520" w:rsidRDefault="00DD1F1E" w:rsidP="00F125EB">
            <w:pPr>
              <w:spacing w:after="0" w:line="240" w:lineRule="auto"/>
              <w:rPr>
                <w:rFonts w:ascii="Arial" w:eastAsia="Cambria" w:hAnsi="Arial" w:cs="Arial"/>
                <w:sz w:val="20"/>
                <w:szCs w:val="20"/>
                <w:lang w:eastAsia="en-CA"/>
              </w:rPr>
            </w:pPr>
          </w:p>
        </w:tc>
        <w:tc>
          <w:tcPr>
            <w:tcW w:w="1393" w:type="pct"/>
            <w:gridSpan w:val="2"/>
            <w:shd w:val="clear" w:color="auto" w:fill="auto"/>
          </w:tcPr>
          <w:p w14:paraId="7DA0C6AC"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Murphy 2015, Labonté 2014, de Andrande 2015</w:t>
            </w:r>
          </w:p>
        </w:tc>
      </w:tr>
      <w:tr w:rsidR="00DD1F1E" w:rsidRPr="00DF0520" w14:paraId="20BDDEE4" w14:textId="77777777" w:rsidTr="00F125EB">
        <w:trPr>
          <w:gridAfter w:val="1"/>
          <w:wAfter w:w="852" w:type="dxa"/>
          <w:trHeight w:val="241"/>
        </w:trPr>
        <w:tc>
          <w:tcPr>
            <w:tcW w:w="1250" w:type="pct"/>
            <w:vMerge/>
            <w:shd w:val="clear" w:color="auto" w:fill="auto"/>
          </w:tcPr>
          <w:p w14:paraId="4AD0C140" w14:textId="77777777" w:rsidR="00DD1F1E" w:rsidRPr="00DF0520" w:rsidRDefault="00DD1F1E" w:rsidP="00F125EB">
            <w:pPr>
              <w:spacing w:after="0" w:line="240" w:lineRule="auto"/>
              <w:rPr>
                <w:rFonts w:ascii="Arial" w:eastAsia="Cambria" w:hAnsi="Arial" w:cs="Arial"/>
                <w:sz w:val="20"/>
                <w:szCs w:val="20"/>
                <w:lang w:eastAsia="en-CA"/>
              </w:rPr>
            </w:pPr>
          </w:p>
        </w:tc>
        <w:tc>
          <w:tcPr>
            <w:tcW w:w="1940" w:type="pct"/>
            <w:shd w:val="clear" w:color="auto" w:fill="auto"/>
          </w:tcPr>
          <w:p w14:paraId="459295A8"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Create inclusive priority-setting and integrated KT processes.</w:t>
            </w:r>
          </w:p>
        </w:tc>
        <w:tc>
          <w:tcPr>
            <w:tcW w:w="1393" w:type="pct"/>
            <w:gridSpan w:val="2"/>
            <w:shd w:val="clear" w:color="auto" w:fill="auto"/>
          </w:tcPr>
          <w:p w14:paraId="23842CF8"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Cacari-Stone 2014, Gore 2012, Murphy 2015, Knight 2014, Borde 2014, Labonté 2014, Mtenga 2016</w:t>
            </w:r>
          </w:p>
        </w:tc>
      </w:tr>
      <w:tr w:rsidR="00DD1F1E" w:rsidRPr="00DF0520" w14:paraId="3FB8682B" w14:textId="77777777" w:rsidTr="00F125EB">
        <w:trPr>
          <w:gridAfter w:val="1"/>
          <w:wAfter w:w="852" w:type="dxa"/>
          <w:trHeight w:val="856"/>
        </w:trPr>
        <w:tc>
          <w:tcPr>
            <w:tcW w:w="1250" w:type="pct"/>
            <w:vMerge/>
            <w:shd w:val="clear" w:color="auto" w:fill="auto"/>
          </w:tcPr>
          <w:p w14:paraId="2F1C9E88" w14:textId="77777777" w:rsidR="00DD1F1E" w:rsidRPr="00DF0520" w:rsidRDefault="00DD1F1E" w:rsidP="00F125EB">
            <w:pPr>
              <w:spacing w:after="0" w:line="240" w:lineRule="auto"/>
              <w:rPr>
                <w:rFonts w:ascii="Arial" w:eastAsia="Cambria" w:hAnsi="Arial" w:cs="Arial"/>
                <w:sz w:val="20"/>
                <w:szCs w:val="20"/>
                <w:lang w:eastAsia="en-CA"/>
              </w:rPr>
            </w:pPr>
          </w:p>
        </w:tc>
        <w:tc>
          <w:tcPr>
            <w:tcW w:w="1940" w:type="pct"/>
            <w:shd w:val="clear" w:color="auto" w:fill="auto"/>
          </w:tcPr>
          <w:p w14:paraId="77FA88BE"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Include ‘outside-the-box,’ non-scientific and non-health actors, such as the media, social movements, and other actors that appeal to public sentiment and political will in health equity work.</w:t>
            </w:r>
          </w:p>
        </w:tc>
        <w:tc>
          <w:tcPr>
            <w:tcW w:w="1393" w:type="pct"/>
            <w:gridSpan w:val="2"/>
            <w:shd w:val="clear" w:color="auto" w:fill="auto"/>
          </w:tcPr>
          <w:p w14:paraId="615CC9D9"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Borde 2014, Brassolotto 2013, Cacari-Stone 2014, Carey 2014, Cohen 2013, de Andrande 2015, Farrer 2015, Gore 2012, Kirst 2017, Knight 2014, McPherson 2016, Newman 2015, Raphael 2014, Raphael 2015, Weiler 2015</w:t>
            </w:r>
          </w:p>
        </w:tc>
      </w:tr>
      <w:tr w:rsidR="00DD1F1E" w:rsidRPr="00DF0520" w14:paraId="272239A1" w14:textId="77777777" w:rsidTr="00F125EB">
        <w:trPr>
          <w:gridAfter w:val="1"/>
          <w:wAfter w:w="852" w:type="dxa"/>
          <w:trHeight w:val="241"/>
        </w:trPr>
        <w:tc>
          <w:tcPr>
            <w:tcW w:w="1250" w:type="pct"/>
            <w:vMerge w:val="restart"/>
            <w:shd w:val="clear" w:color="auto" w:fill="auto"/>
          </w:tcPr>
          <w:p w14:paraId="20810766"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Mitigate power imbalances</w:t>
            </w:r>
          </w:p>
        </w:tc>
        <w:tc>
          <w:tcPr>
            <w:tcW w:w="1940" w:type="pct"/>
            <w:shd w:val="clear" w:color="auto" w:fill="auto"/>
          </w:tcPr>
          <w:p w14:paraId="11059C5D"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Adopt a standard practice of critically reflecting on, assessing, and mitigating the distribution of power among all actors engaged in (and affected by) all health equity work.</w:t>
            </w:r>
          </w:p>
          <w:p w14:paraId="1F4C5A21" w14:textId="77777777" w:rsidR="00DD1F1E" w:rsidRPr="00DF0520" w:rsidRDefault="00DD1F1E" w:rsidP="00F125EB">
            <w:pPr>
              <w:spacing w:after="0" w:line="240" w:lineRule="auto"/>
              <w:rPr>
                <w:rFonts w:ascii="Arial" w:eastAsia="Cambria" w:hAnsi="Arial" w:cs="Arial"/>
                <w:sz w:val="20"/>
                <w:szCs w:val="20"/>
                <w:lang w:eastAsia="en-CA"/>
              </w:rPr>
            </w:pPr>
          </w:p>
        </w:tc>
        <w:tc>
          <w:tcPr>
            <w:tcW w:w="1393" w:type="pct"/>
            <w:gridSpan w:val="2"/>
            <w:shd w:val="clear" w:color="auto" w:fill="auto"/>
          </w:tcPr>
          <w:p w14:paraId="4F2A5C42"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Blanchard 2013, Murphy 2015, Raphael 2014, Shareck 2013, Tolhurst 2012, Young 2011</w:t>
            </w:r>
          </w:p>
        </w:tc>
      </w:tr>
      <w:tr w:rsidR="00DD1F1E" w:rsidRPr="00DF0520" w14:paraId="580C2C9F" w14:textId="77777777" w:rsidTr="00F125EB">
        <w:trPr>
          <w:gridAfter w:val="1"/>
          <w:wAfter w:w="852" w:type="dxa"/>
          <w:trHeight w:val="241"/>
        </w:trPr>
        <w:tc>
          <w:tcPr>
            <w:tcW w:w="1250" w:type="pct"/>
            <w:vMerge/>
            <w:shd w:val="clear" w:color="auto" w:fill="auto"/>
          </w:tcPr>
          <w:p w14:paraId="67098D4F" w14:textId="77777777" w:rsidR="00DD1F1E" w:rsidRPr="00DF0520" w:rsidRDefault="00DD1F1E" w:rsidP="00F125EB">
            <w:pPr>
              <w:spacing w:after="0" w:line="240" w:lineRule="auto"/>
              <w:rPr>
                <w:rFonts w:ascii="Arial" w:eastAsia="Cambria" w:hAnsi="Arial" w:cs="Arial"/>
                <w:sz w:val="20"/>
                <w:szCs w:val="20"/>
                <w:lang w:eastAsia="en-CA"/>
              </w:rPr>
            </w:pPr>
          </w:p>
        </w:tc>
        <w:tc>
          <w:tcPr>
            <w:tcW w:w="1940" w:type="pct"/>
            <w:shd w:val="clear" w:color="auto" w:fill="auto"/>
          </w:tcPr>
          <w:p w14:paraId="747EF5E6"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 xml:space="preserve">Leverage power and resources to mitigate historical and contextual power imbalances. </w:t>
            </w:r>
          </w:p>
          <w:p w14:paraId="45AC6F77" w14:textId="77777777" w:rsidR="00DD1F1E" w:rsidRPr="00DF0520" w:rsidRDefault="00DD1F1E" w:rsidP="00F125EB">
            <w:pPr>
              <w:spacing w:after="0" w:line="240" w:lineRule="auto"/>
              <w:rPr>
                <w:rFonts w:ascii="Arial" w:eastAsia="Cambria" w:hAnsi="Arial" w:cs="Arial"/>
                <w:sz w:val="20"/>
                <w:szCs w:val="20"/>
                <w:lang w:eastAsia="en-CA"/>
              </w:rPr>
            </w:pPr>
          </w:p>
        </w:tc>
        <w:tc>
          <w:tcPr>
            <w:tcW w:w="1393" w:type="pct"/>
            <w:gridSpan w:val="2"/>
            <w:shd w:val="clear" w:color="auto" w:fill="auto"/>
          </w:tcPr>
          <w:p w14:paraId="033D0C44"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Andermann 2016, Blanchard 2013, Labonté 2014, Murphy 2015</w:t>
            </w:r>
          </w:p>
        </w:tc>
      </w:tr>
      <w:tr w:rsidR="00DD1F1E" w:rsidRPr="00DF0520" w14:paraId="515B1F42" w14:textId="77777777" w:rsidTr="00F125EB">
        <w:trPr>
          <w:gridAfter w:val="1"/>
          <w:wAfter w:w="852" w:type="dxa"/>
          <w:trHeight w:val="241"/>
        </w:trPr>
        <w:tc>
          <w:tcPr>
            <w:tcW w:w="1250" w:type="pct"/>
            <w:vMerge/>
            <w:shd w:val="clear" w:color="auto" w:fill="auto"/>
          </w:tcPr>
          <w:p w14:paraId="6618B823" w14:textId="77777777" w:rsidR="00DD1F1E" w:rsidRPr="00DF0520" w:rsidRDefault="00DD1F1E" w:rsidP="00F125EB">
            <w:pPr>
              <w:spacing w:after="0" w:line="240" w:lineRule="auto"/>
              <w:rPr>
                <w:rFonts w:ascii="Arial" w:eastAsia="Cambria" w:hAnsi="Arial" w:cs="Arial"/>
                <w:sz w:val="20"/>
                <w:szCs w:val="20"/>
                <w:lang w:eastAsia="en-CA"/>
              </w:rPr>
            </w:pPr>
          </w:p>
        </w:tc>
        <w:tc>
          <w:tcPr>
            <w:tcW w:w="1940" w:type="pct"/>
            <w:shd w:val="clear" w:color="auto" w:fill="auto"/>
          </w:tcPr>
          <w:p w14:paraId="5D5D0888"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Use equity-sensitive tools to assess, monitor, and purposively elevate voices that have been historically silenced or subjected to structural power inequities in both health-equity responsive governance mechanisms and research processes.</w:t>
            </w:r>
          </w:p>
          <w:p w14:paraId="551D1FDF" w14:textId="77777777" w:rsidR="00DD1F1E" w:rsidRPr="00DF0520" w:rsidRDefault="00DD1F1E" w:rsidP="00F125EB">
            <w:pPr>
              <w:spacing w:after="0" w:line="240" w:lineRule="auto"/>
              <w:rPr>
                <w:rFonts w:ascii="Arial" w:eastAsia="Cambria" w:hAnsi="Arial" w:cs="Arial"/>
                <w:sz w:val="20"/>
                <w:szCs w:val="20"/>
                <w:lang w:eastAsia="en-CA"/>
              </w:rPr>
            </w:pPr>
          </w:p>
        </w:tc>
        <w:tc>
          <w:tcPr>
            <w:tcW w:w="1393" w:type="pct"/>
            <w:gridSpan w:val="2"/>
            <w:shd w:val="clear" w:color="auto" w:fill="auto"/>
          </w:tcPr>
          <w:p w14:paraId="595C9F61" w14:textId="77777777" w:rsidR="00DD1F1E" w:rsidRPr="00DF0520" w:rsidRDefault="00DD1F1E"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de Andrande 2015, Estey 2010, Knight 2014, Murphy 2015</w:t>
            </w:r>
          </w:p>
        </w:tc>
      </w:tr>
    </w:tbl>
    <w:p w14:paraId="2FCB0AB5" w14:textId="77777777" w:rsidR="00DD1F1E" w:rsidRPr="00DF0520" w:rsidRDefault="00DD1F1E" w:rsidP="00DD1F1E"/>
    <w:p w14:paraId="025C4B52" w14:textId="77777777" w:rsidR="003A2BF6" w:rsidRDefault="003A2BF6"/>
    <w:sectPr w:rsidR="003A2BF6" w:rsidSect="00DD1F1E">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1E"/>
    <w:rsid w:val="003A2BF6"/>
    <w:rsid w:val="00D0011A"/>
    <w:rsid w:val="00DD1F1E"/>
    <w:rsid w:val="00DE24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C0A68D2"/>
  <w15:chartTrackingRefBased/>
  <w15:docId w15:val="{0FA1829F-17E1-C54A-A96A-CEDCABE6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1F1E"/>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D1F1E"/>
    <w:pPr>
      <w:spacing w:after="200"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3099</Characters>
  <Application>Microsoft Office Word</Application>
  <DocSecurity>0</DocSecurity>
  <Lines>79</Lines>
  <Paragraphs>14</Paragraphs>
  <ScaleCrop>false</ScaleCrop>
  <Company>UBC Okanagan</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2019-09-08T16:30:00Z</dcterms:created>
  <dcterms:modified xsi:type="dcterms:W3CDTF">2019-11-27T21:42:00Z</dcterms:modified>
</cp:coreProperties>
</file>