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F6575" w14:textId="603B2C45" w:rsidR="001D0C43" w:rsidRPr="00DF0520" w:rsidRDefault="001D0C43" w:rsidP="001D0C43">
      <w:pPr>
        <w:pStyle w:val="Caption"/>
        <w:keepNext/>
        <w:spacing w:after="0"/>
        <w:rPr>
          <w:rFonts w:ascii="Arial" w:hAnsi="Arial" w:cs="Arial"/>
          <w:b/>
          <w:color w:val="auto"/>
          <w:sz w:val="20"/>
        </w:rPr>
      </w:pPr>
      <w:r w:rsidRPr="00DF0520">
        <w:rPr>
          <w:rFonts w:ascii="Arial" w:hAnsi="Arial" w:cs="Arial"/>
          <w:b/>
          <w:color w:val="auto"/>
          <w:sz w:val="20"/>
        </w:rPr>
        <w:t xml:space="preserve">Supplementary Table </w:t>
      </w:r>
      <w:r>
        <w:rPr>
          <w:rFonts w:ascii="Arial" w:hAnsi="Arial" w:cs="Arial"/>
          <w:b/>
          <w:color w:val="auto"/>
          <w:sz w:val="20"/>
        </w:rPr>
        <w:t>5</w:t>
      </w:r>
      <w:r w:rsidRPr="00DF0520">
        <w:rPr>
          <w:rFonts w:ascii="Arial" w:hAnsi="Arial" w:cs="Arial"/>
          <w:b/>
          <w:color w:val="auto"/>
          <w:sz w:val="20"/>
        </w:rPr>
        <w:t xml:space="preserve">. Promising </w:t>
      </w:r>
      <w:r w:rsidR="003B0EC7">
        <w:rPr>
          <w:rFonts w:ascii="Arial" w:hAnsi="Arial" w:cs="Arial"/>
          <w:b/>
          <w:color w:val="auto"/>
          <w:sz w:val="20"/>
        </w:rPr>
        <w:t>Practices for</w:t>
      </w:r>
      <w:bookmarkStart w:id="0" w:name="_GoBack"/>
      <w:bookmarkEnd w:id="0"/>
      <w:r w:rsidRPr="00DF0520">
        <w:rPr>
          <w:rFonts w:ascii="Arial" w:hAnsi="Arial" w:cs="Arial"/>
          <w:b/>
          <w:color w:val="auto"/>
          <w:sz w:val="20"/>
        </w:rPr>
        <w:t xml:space="preserve"> Doing Research</w:t>
      </w:r>
    </w:p>
    <w:tbl>
      <w:tblPr>
        <w:tblW w:w="5455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1205"/>
        <w:gridCol w:w="5486"/>
        <w:gridCol w:w="11"/>
        <w:gridCol w:w="3931"/>
        <w:gridCol w:w="1179"/>
      </w:tblGrid>
      <w:tr w:rsidR="001D0C43" w:rsidRPr="00DF0520" w14:paraId="3E92AC08" w14:textId="77777777" w:rsidTr="00F125EB">
        <w:tc>
          <w:tcPr>
            <w:tcW w:w="1249" w:type="pct"/>
            <w:gridSpan w:val="2"/>
            <w:shd w:val="clear" w:color="auto" w:fill="auto"/>
            <w:vAlign w:val="bottom"/>
          </w:tcPr>
          <w:p w14:paraId="6FD44697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b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b/>
                <w:sz w:val="20"/>
                <w:szCs w:val="20"/>
                <w:lang w:eastAsia="en-CA"/>
              </w:rPr>
              <w:t>Promising Practices</w:t>
            </w:r>
          </w:p>
        </w:tc>
        <w:tc>
          <w:tcPr>
            <w:tcW w:w="1944" w:type="pct"/>
            <w:gridSpan w:val="2"/>
            <w:shd w:val="clear" w:color="auto" w:fill="auto"/>
            <w:vAlign w:val="bottom"/>
          </w:tcPr>
          <w:p w14:paraId="3DA51042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b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b/>
                <w:sz w:val="20"/>
                <w:szCs w:val="20"/>
                <w:lang w:eastAsia="en-CA"/>
              </w:rPr>
              <w:t>How to do it</w:t>
            </w:r>
          </w:p>
        </w:tc>
        <w:tc>
          <w:tcPr>
            <w:tcW w:w="1807" w:type="pct"/>
            <w:gridSpan w:val="2"/>
            <w:shd w:val="clear" w:color="auto" w:fill="auto"/>
            <w:vAlign w:val="bottom"/>
          </w:tcPr>
          <w:p w14:paraId="006D8222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b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b/>
                <w:sz w:val="20"/>
                <w:szCs w:val="20"/>
                <w:lang w:eastAsia="en-CA"/>
              </w:rPr>
              <w:t xml:space="preserve">Citations for supporting evidence </w:t>
            </w:r>
          </w:p>
          <w:p w14:paraId="0425F0C7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b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b/>
                <w:sz w:val="20"/>
                <w:szCs w:val="20"/>
                <w:lang w:eastAsia="en-CA"/>
              </w:rPr>
              <w:t>(First Author, Year)</w:t>
            </w:r>
          </w:p>
        </w:tc>
      </w:tr>
      <w:tr w:rsidR="001D0C43" w:rsidRPr="00DF0520" w14:paraId="27B1DD4B" w14:textId="77777777" w:rsidTr="00F125EB">
        <w:trPr>
          <w:gridAfter w:val="1"/>
          <w:wAfter w:w="852" w:type="dxa"/>
          <w:trHeight w:val="213"/>
        </w:trPr>
        <w:tc>
          <w:tcPr>
            <w:tcW w:w="823" w:type="pct"/>
            <w:vMerge w:val="restart"/>
            <w:shd w:val="clear" w:color="auto" w:fill="auto"/>
          </w:tcPr>
          <w:p w14:paraId="1BDE748D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>Design for context, complexity</w:t>
            </w:r>
          </w:p>
        </w:tc>
        <w:tc>
          <w:tcPr>
            <w:tcW w:w="2366" w:type="pct"/>
            <w:gridSpan w:val="2"/>
            <w:shd w:val="clear" w:color="auto" w:fill="auto"/>
          </w:tcPr>
          <w:p w14:paraId="4029FDF2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 xml:space="preserve">Consider informing research with foundational theories that are compatible with complexity, such as complexity theory, critical realism, intersectionality, and critical theories. </w:t>
            </w:r>
          </w:p>
          <w:p w14:paraId="25FFF3A6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</w:p>
        </w:tc>
        <w:tc>
          <w:tcPr>
            <w:tcW w:w="1394" w:type="pct"/>
            <w:gridSpan w:val="2"/>
            <w:shd w:val="clear" w:color="auto" w:fill="auto"/>
          </w:tcPr>
          <w:p w14:paraId="6732ECC3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>Brassolotto 2013, Newman 2015, Mtenga 2016, Povall 2014, Raphael 2015, Tolhurst 2012, Weiler 2015</w:t>
            </w:r>
          </w:p>
        </w:tc>
      </w:tr>
      <w:tr w:rsidR="001D0C43" w:rsidRPr="00DF0520" w14:paraId="1BEA19B6" w14:textId="77777777" w:rsidTr="00F125EB">
        <w:trPr>
          <w:gridAfter w:val="1"/>
          <w:wAfter w:w="852" w:type="dxa"/>
          <w:trHeight w:val="213"/>
        </w:trPr>
        <w:tc>
          <w:tcPr>
            <w:tcW w:w="823" w:type="pct"/>
            <w:vMerge/>
            <w:shd w:val="clear" w:color="auto" w:fill="auto"/>
          </w:tcPr>
          <w:p w14:paraId="6D8341A9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</w:p>
        </w:tc>
        <w:tc>
          <w:tcPr>
            <w:tcW w:w="2366" w:type="pct"/>
            <w:gridSpan w:val="2"/>
            <w:shd w:val="clear" w:color="auto" w:fill="auto"/>
          </w:tcPr>
          <w:p w14:paraId="5F7AF22B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>Adopt context-responsive research designs that acknowledge history and power distribution throughout research and knowledge translation processes.</w:t>
            </w:r>
          </w:p>
        </w:tc>
        <w:tc>
          <w:tcPr>
            <w:tcW w:w="1394" w:type="pct"/>
            <w:gridSpan w:val="2"/>
            <w:shd w:val="clear" w:color="auto" w:fill="auto"/>
          </w:tcPr>
          <w:p w14:paraId="0AA94C8B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 xml:space="preserve">Blanchard 2013, Brassolotto 2013, Chircop 2015, Davison 2015, McPherson 2016, Mtenga 2016, Povall 2014 </w:t>
            </w:r>
          </w:p>
        </w:tc>
      </w:tr>
      <w:tr w:rsidR="001D0C43" w:rsidRPr="00DF0520" w14:paraId="150E5058" w14:textId="77777777" w:rsidTr="00F125EB">
        <w:trPr>
          <w:gridAfter w:val="1"/>
          <w:wAfter w:w="852" w:type="dxa"/>
          <w:trHeight w:val="213"/>
        </w:trPr>
        <w:tc>
          <w:tcPr>
            <w:tcW w:w="823" w:type="pct"/>
            <w:vMerge/>
            <w:shd w:val="clear" w:color="auto" w:fill="auto"/>
          </w:tcPr>
          <w:p w14:paraId="7EE90AD8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</w:p>
        </w:tc>
        <w:tc>
          <w:tcPr>
            <w:tcW w:w="2366" w:type="pct"/>
            <w:gridSpan w:val="2"/>
            <w:shd w:val="clear" w:color="auto" w:fill="auto"/>
          </w:tcPr>
          <w:p w14:paraId="4D51F55B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>Diversify research approaches to explore complex problems, foster inclusion, and spark civic engagement, using multiple and non-traditional modes (e.g., community-based participatory research) of inquiry.</w:t>
            </w:r>
          </w:p>
          <w:p w14:paraId="5C3E8BAF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</w:p>
        </w:tc>
        <w:tc>
          <w:tcPr>
            <w:tcW w:w="1394" w:type="pct"/>
            <w:gridSpan w:val="2"/>
            <w:shd w:val="clear" w:color="auto" w:fill="auto"/>
          </w:tcPr>
          <w:p w14:paraId="66819A6E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>Borde 2014, Cacari-Stone 2014, Davison 2015, Estey 2010, Shareck 2013, Tolhurst 2012</w:t>
            </w:r>
            <w:r w:rsidRPr="00DF0520">
              <w:rPr>
                <w:rFonts w:ascii="Arial" w:eastAsia="Cambria" w:hAnsi="Arial" w:cs="Arial"/>
                <w:sz w:val="20"/>
                <w:szCs w:val="20"/>
                <w:lang w:eastAsia="en-CA"/>
              </w:rPr>
              <w:t xml:space="preserve"> </w:t>
            </w:r>
          </w:p>
        </w:tc>
      </w:tr>
      <w:tr w:rsidR="001D0C43" w:rsidRPr="00DF0520" w14:paraId="702EC51F" w14:textId="77777777" w:rsidTr="00F125EB">
        <w:trPr>
          <w:gridAfter w:val="1"/>
          <w:wAfter w:w="852" w:type="dxa"/>
          <w:trHeight w:val="856"/>
        </w:trPr>
        <w:tc>
          <w:tcPr>
            <w:tcW w:w="823" w:type="pct"/>
            <w:vMerge w:val="restart"/>
            <w:shd w:val="clear" w:color="auto" w:fill="auto"/>
          </w:tcPr>
          <w:p w14:paraId="612D0666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>Use dialogic-relational methods</w:t>
            </w:r>
          </w:p>
        </w:tc>
        <w:tc>
          <w:tcPr>
            <w:tcW w:w="2366" w:type="pct"/>
            <w:gridSpan w:val="2"/>
            <w:shd w:val="clear" w:color="auto" w:fill="auto"/>
          </w:tcPr>
          <w:p w14:paraId="175B6D5F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>Consider building team dialogue into research designs as a means of enabling critical reflection about how to operationalize health equity considerations in research and advancing collective understanding and capacity to implement structurally-oriented interventions.</w:t>
            </w:r>
          </w:p>
          <w:p w14:paraId="297F81B9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</w:p>
        </w:tc>
        <w:tc>
          <w:tcPr>
            <w:tcW w:w="1394" w:type="pct"/>
            <w:gridSpan w:val="2"/>
            <w:shd w:val="clear" w:color="auto" w:fill="auto"/>
          </w:tcPr>
          <w:p w14:paraId="1BA05021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>Labonté 2014, McPherson 2016, Mtenga 2016, Murphy 2015, Tolhurst 2012</w:t>
            </w:r>
          </w:p>
        </w:tc>
      </w:tr>
      <w:tr w:rsidR="001D0C43" w:rsidRPr="00DF0520" w14:paraId="6B6F93DC" w14:textId="77777777" w:rsidTr="00F125EB">
        <w:trPr>
          <w:gridAfter w:val="1"/>
          <w:wAfter w:w="852" w:type="dxa"/>
          <w:trHeight w:val="227"/>
        </w:trPr>
        <w:tc>
          <w:tcPr>
            <w:tcW w:w="823" w:type="pct"/>
            <w:vMerge/>
            <w:shd w:val="clear" w:color="auto" w:fill="auto"/>
          </w:tcPr>
          <w:p w14:paraId="4D4D2CDF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</w:p>
        </w:tc>
        <w:tc>
          <w:tcPr>
            <w:tcW w:w="2366" w:type="pct"/>
            <w:gridSpan w:val="2"/>
            <w:shd w:val="clear" w:color="auto" w:fill="auto"/>
          </w:tcPr>
          <w:p w14:paraId="24BF5588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 xml:space="preserve">Integrate inclusive dialogue as a means of refining and mobilizing responses to evidence about health inequities. </w:t>
            </w:r>
          </w:p>
        </w:tc>
        <w:tc>
          <w:tcPr>
            <w:tcW w:w="1394" w:type="pct"/>
            <w:gridSpan w:val="2"/>
            <w:shd w:val="clear" w:color="auto" w:fill="auto"/>
          </w:tcPr>
          <w:p w14:paraId="5B41192C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>Andermann 2016, Borde 2014, Cacari-Stone 2014, Carey 2014, Estey 2010, Gore 2012, Labonté 2014, Tolhurst 2012, Weiler 2015</w:t>
            </w:r>
          </w:p>
        </w:tc>
      </w:tr>
      <w:tr w:rsidR="001D0C43" w:rsidRPr="00DF0520" w14:paraId="268A3411" w14:textId="77777777" w:rsidTr="00F125EB">
        <w:trPr>
          <w:gridAfter w:val="1"/>
          <w:wAfter w:w="852" w:type="dxa"/>
          <w:trHeight w:val="492"/>
        </w:trPr>
        <w:tc>
          <w:tcPr>
            <w:tcW w:w="823" w:type="pct"/>
            <w:vMerge w:val="restart"/>
            <w:shd w:val="clear" w:color="auto" w:fill="auto"/>
          </w:tcPr>
          <w:p w14:paraId="328847D3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  <w:t>Ameliorate gaps in data platforms and indicators</w:t>
            </w:r>
          </w:p>
        </w:tc>
        <w:tc>
          <w:tcPr>
            <w:tcW w:w="2366" w:type="pct"/>
            <w:gridSpan w:val="2"/>
            <w:shd w:val="clear" w:color="auto" w:fill="auto"/>
          </w:tcPr>
          <w:p w14:paraId="31382885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sz w:val="20"/>
                <w:szCs w:val="20"/>
                <w:lang w:eastAsia="en-CA"/>
              </w:rPr>
              <w:t>Create reliable, systematically collected data in mechanisms that can serve as responsive feedback loops.</w:t>
            </w:r>
          </w:p>
          <w:p w14:paraId="52773900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1394" w:type="pct"/>
            <w:gridSpan w:val="2"/>
            <w:shd w:val="clear" w:color="auto" w:fill="auto"/>
          </w:tcPr>
          <w:p w14:paraId="42D2A82A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sz w:val="20"/>
                <w:szCs w:val="20"/>
                <w:lang w:eastAsia="en-CA"/>
              </w:rPr>
              <w:t>Borde 2014, Carey 2014, de Adrande 2015, Gore 2012, Povall 2014</w:t>
            </w:r>
          </w:p>
        </w:tc>
      </w:tr>
      <w:tr w:rsidR="001D0C43" w:rsidRPr="00DF0520" w14:paraId="518A5F73" w14:textId="77777777" w:rsidTr="00F125EB">
        <w:trPr>
          <w:gridAfter w:val="1"/>
          <w:wAfter w:w="852" w:type="dxa"/>
          <w:trHeight w:val="492"/>
        </w:trPr>
        <w:tc>
          <w:tcPr>
            <w:tcW w:w="823" w:type="pct"/>
            <w:vMerge/>
            <w:shd w:val="clear" w:color="auto" w:fill="auto"/>
          </w:tcPr>
          <w:p w14:paraId="1EFC3DBB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</w:p>
        </w:tc>
        <w:tc>
          <w:tcPr>
            <w:tcW w:w="2366" w:type="pct"/>
            <w:gridSpan w:val="2"/>
            <w:shd w:val="clear" w:color="auto" w:fill="auto"/>
          </w:tcPr>
          <w:p w14:paraId="4DD8E255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sz w:val="20"/>
                <w:szCs w:val="20"/>
                <w:lang w:eastAsia="en-CA"/>
              </w:rPr>
              <w:t xml:space="preserve">Expand commonly used set of health inequities indicators to include upstream indicators of health equity, social and structural determinants of health, and power distribution. </w:t>
            </w:r>
          </w:p>
          <w:p w14:paraId="146FC7F3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1394" w:type="pct"/>
            <w:gridSpan w:val="2"/>
            <w:shd w:val="clear" w:color="auto" w:fill="auto"/>
          </w:tcPr>
          <w:p w14:paraId="1F566C6D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sz w:val="20"/>
                <w:szCs w:val="20"/>
                <w:lang w:eastAsia="en-CA"/>
              </w:rPr>
              <w:t>Blanchard 2013, Borde 2014, McPherson 2016, Povall 2014, Tolhurst 2012, Young 2011</w:t>
            </w:r>
          </w:p>
        </w:tc>
      </w:tr>
      <w:tr w:rsidR="001D0C43" w:rsidRPr="00DF0520" w14:paraId="379DDAAA" w14:textId="77777777" w:rsidTr="00F125EB">
        <w:trPr>
          <w:gridAfter w:val="1"/>
          <w:wAfter w:w="852" w:type="dxa"/>
          <w:trHeight w:val="492"/>
        </w:trPr>
        <w:tc>
          <w:tcPr>
            <w:tcW w:w="823" w:type="pct"/>
            <w:vMerge/>
            <w:shd w:val="clear" w:color="auto" w:fill="auto"/>
          </w:tcPr>
          <w:p w14:paraId="447C8E0D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</w:p>
        </w:tc>
        <w:tc>
          <w:tcPr>
            <w:tcW w:w="2366" w:type="pct"/>
            <w:gridSpan w:val="2"/>
            <w:shd w:val="clear" w:color="auto" w:fill="auto"/>
          </w:tcPr>
          <w:p w14:paraId="7962694D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sz w:val="20"/>
                <w:szCs w:val="20"/>
                <w:lang w:eastAsia="en-CA"/>
              </w:rPr>
              <w:t>Make the links between policy decisions (action and inaction) and health clear and compelling, especially between macro-level and health.</w:t>
            </w:r>
          </w:p>
          <w:p w14:paraId="4F6EB458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1394" w:type="pct"/>
            <w:gridSpan w:val="2"/>
            <w:shd w:val="clear" w:color="auto" w:fill="auto"/>
          </w:tcPr>
          <w:p w14:paraId="65097A18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sz w:val="20"/>
                <w:szCs w:val="20"/>
                <w:lang w:eastAsia="en-CA"/>
              </w:rPr>
              <w:t>Carey 2014, Grundy 2014, Knight 2014, Mtenga 2016, Weiler 2015, Young 2011</w:t>
            </w:r>
          </w:p>
        </w:tc>
      </w:tr>
      <w:tr w:rsidR="001D0C43" w:rsidRPr="00DF0520" w14:paraId="0CCFEAAA" w14:textId="77777777" w:rsidTr="00F125EB">
        <w:trPr>
          <w:gridAfter w:val="1"/>
          <w:wAfter w:w="852" w:type="dxa"/>
          <w:trHeight w:val="492"/>
        </w:trPr>
        <w:tc>
          <w:tcPr>
            <w:tcW w:w="823" w:type="pct"/>
            <w:vMerge/>
            <w:shd w:val="clear" w:color="auto" w:fill="auto"/>
          </w:tcPr>
          <w:p w14:paraId="3DDA6D78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iCs/>
                <w:sz w:val="20"/>
                <w:szCs w:val="20"/>
                <w:lang w:eastAsia="en-CA"/>
              </w:rPr>
            </w:pPr>
          </w:p>
        </w:tc>
        <w:tc>
          <w:tcPr>
            <w:tcW w:w="2366" w:type="pct"/>
            <w:gridSpan w:val="2"/>
            <w:shd w:val="clear" w:color="auto" w:fill="auto"/>
          </w:tcPr>
          <w:p w14:paraId="7FA679E5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sz w:val="20"/>
                <w:szCs w:val="20"/>
                <w:lang w:eastAsia="en-CA"/>
              </w:rPr>
              <w:t>Assess and mitigate the impacts of aggregation, particularly in masking social gradients.</w:t>
            </w:r>
          </w:p>
          <w:p w14:paraId="309F3636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1394" w:type="pct"/>
            <w:gridSpan w:val="2"/>
            <w:shd w:val="clear" w:color="auto" w:fill="auto"/>
          </w:tcPr>
          <w:p w14:paraId="66EF7E5F" w14:textId="77777777" w:rsidR="001D0C43" w:rsidRPr="00DF0520" w:rsidRDefault="001D0C43" w:rsidP="00F125EB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en-CA"/>
              </w:rPr>
            </w:pPr>
            <w:r w:rsidRPr="00DF0520">
              <w:rPr>
                <w:rFonts w:ascii="Arial" w:eastAsia="Cambria" w:hAnsi="Arial" w:cs="Arial"/>
                <w:sz w:val="20"/>
                <w:szCs w:val="20"/>
                <w:lang w:eastAsia="en-CA"/>
              </w:rPr>
              <w:t>de Andrade 2015, Gore 2012, Grundy 2014, Povall 2014, Tolhurst 2012</w:t>
            </w:r>
          </w:p>
        </w:tc>
      </w:tr>
    </w:tbl>
    <w:p w14:paraId="1F6A41AB" w14:textId="77777777" w:rsidR="001D0C43" w:rsidRPr="00DF0520" w:rsidRDefault="001D0C43" w:rsidP="001D0C43">
      <w:pPr>
        <w:spacing w:line="360" w:lineRule="auto"/>
        <w:ind w:firstLine="720"/>
        <w:rPr>
          <w:rFonts w:ascii="Arial" w:hAnsi="Arial" w:cs="Arial"/>
          <w:sz w:val="20"/>
          <w:szCs w:val="20"/>
        </w:rPr>
      </w:pPr>
    </w:p>
    <w:p w14:paraId="090A5DFB" w14:textId="77777777" w:rsidR="003A2BF6" w:rsidRDefault="003A2BF6"/>
    <w:sectPr w:rsidR="003A2BF6" w:rsidSect="001D0C4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43"/>
    <w:rsid w:val="001D0C43"/>
    <w:rsid w:val="003A2BF6"/>
    <w:rsid w:val="003B0EC7"/>
    <w:rsid w:val="00D0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4CF7BE"/>
  <w15:chartTrackingRefBased/>
  <w15:docId w15:val="{47DC1E3B-8BA7-E74F-9A5B-485BC9E2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0C43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D0C43"/>
    <w:pPr>
      <w:spacing w:after="200"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2129</Characters>
  <Application>Microsoft Office Word</Application>
  <DocSecurity>0</DocSecurity>
  <Lines>54</Lines>
  <Paragraphs>10</Paragraphs>
  <ScaleCrop>false</ScaleCrop>
  <Company>UBC Okanagan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2019-09-08T16:31:00Z</dcterms:created>
  <dcterms:modified xsi:type="dcterms:W3CDTF">2019-11-27T21:42:00Z</dcterms:modified>
</cp:coreProperties>
</file>