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42559" w14:textId="77777777" w:rsidR="00F37910" w:rsidRPr="000D5855" w:rsidRDefault="00F37910" w:rsidP="000D5855">
      <w:pPr>
        <w:spacing w:line="360" w:lineRule="auto"/>
        <w:rPr>
          <w:rFonts w:cstheme="minorHAnsi"/>
          <w:b/>
          <w:bCs/>
          <w:lang w:val="en-US"/>
        </w:rPr>
      </w:pPr>
      <w:r w:rsidRPr="000D5855">
        <w:rPr>
          <w:rFonts w:cstheme="minorHAnsi"/>
          <w:b/>
          <w:bCs/>
          <w:lang w:val="en-US"/>
        </w:rPr>
        <w:t>Supplementary annex 1</w:t>
      </w:r>
    </w:p>
    <w:tbl>
      <w:tblPr>
        <w:tblW w:w="5000" w:type="pct"/>
        <w:tblCellMar>
          <w:left w:w="70" w:type="dxa"/>
          <w:right w:w="70" w:type="dxa"/>
        </w:tblCellMar>
        <w:tblLook w:val="04A0" w:firstRow="1" w:lastRow="0" w:firstColumn="1" w:lastColumn="0" w:noHBand="0" w:noVBand="1"/>
      </w:tblPr>
      <w:tblGrid>
        <w:gridCol w:w="9072"/>
      </w:tblGrid>
      <w:tr w:rsidR="00F37910" w:rsidRPr="00EA4D88" w14:paraId="4E4B6B41" w14:textId="77777777" w:rsidTr="0037261A">
        <w:trPr>
          <w:trHeight w:val="113"/>
        </w:trPr>
        <w:tc>
          <w:tcPr>
            <w:tcW w:w="5000" w:type="pct"/>
            <w:tcBorders>
              <w:top w:val="single" w:sz="4" w:space="0" w:color="auto"/>
              <w:left w:val="nil"/>
              <w:bottom w:val="nil"/>
              <w:right w:val="nil"/>
            </w:tcBorders>
            <w:shd w:val="clear" w:color="auto" w:fill="FFFFFF"/>
            <w:noWrap/>
            <w:vAlign w:val="bottom"/>
            <w:hideMark/>
          </w:tcPr>
          <w:p w14:paraId="09098BF8" w14:textId="77777777" w:rsidR="00F37910" w:rsidRPr="000D5855" w:rsidRDefault="00F37910" w:rsidP="000D5855">
            <w:pPr>
              <w:spacing w:after="0" w:line="360" w:lineRule="auto"/>
              <w:jc w:val="both"/>
              <w:rPr>
                <w:rFonts w:ascii="Calibri" w:eastAsia="Times New Roman" w:hAnsi="Calibri" w:cs="Times New Roman"/>
                <w:b/>
                <w:bCs/>
                <w:sz w:val="18"/>
                <w:szCs w:val="18"/>
                <w:lang w:val="en-US" w:eastAsia="de-DE"/>
              </w:rPr>
            </w:pPr>
            <w:r w:rsidRPr="000D5855">
              <w:rPr>
                <w:rFonts w:ascii="Calibri" w:eastAsia="Times New Roman" w:hAnsi="Calibri" w:cs="Times New Roman"/>
                <w:b/>
                <w:bCs/>
                <w:sz w:val="18"/>
                <w:szCs w:val="18"/>
                <w:lang w:val="en-US" w:eastAsia="de-DE"/>
              </w:rPr>
              <w:t>Table 1. List of Indicators and calculate made with standardized definitions</w:t>
            </w:r>
          </w:p>
        </w:tc>
      </w:tr>
    </w:tbl>
    <w:tbl>
      <w:tblPr>
        <w:tblStyle w:val="Tablaconcuadrcula"/>
        <w:tblW w:w="0" w:type="auto"/>
        <w:tblLook w:val="04A0" w:firstRow="1" w:lastRow="0" w:firstColumn="1" w:lastColumn="0" w:noHBand="0" w:noVBand="1"/>
      </w:tblPr>
      <w:tblGrid>
        <w:gridCol w:w="1600"/>
        <w:gridCol w:w="1372"/>
        <w:gridCol w:w="1701"/>
        <w:gridCol w:w="1985"/>
        <w:gridCol w:w="2404"/>
      </w:tblGrid>
      <w:tr w:rsidR="00F37910" w:rsidRPr="000D5855" w14:paraId="3822D0ED" w14:textId="77777777" w:rsidTr="0037261A">
        <w:tc>
          <w:tcPr>
            <w:tcW w:w="1600" w:type="dxa"/>
          </w:tcPr>
          <w:p w14:paraId="3E5E855D" w14:textId="77777777" w:rsidR="00F37910" w:rsidRPr="000D5855" w:rsidRDefault="00F37910" w:rsidP="000D5855">
            <w:pPr>
              <w:spacing w:line="360" w:lineRule="auto"/>
              <w:rPr>
                <w:rFonts w:cstheme="minorHAnsi"/>
                <w:b/>
                <w:bCs/>
                <w:sz w:val="16"/>
                <w:szCs w:val="16"/>
                <w:lang w:val="en-US"/>
              </w:rPr>
            </w:pPr>
            <w:r w:rsidRPr="000D5855">
              <w:rPr>
                <w:rFonts w:cstheme="minorHAnsi"/>
                <w:b/>
                <w:bCs/>
                <w:sz w:val="16"/>
                <w:szCs w:val="16"/>
                <w:lang w:val="en-US"/>
              </w:rPr>
              <w:t xml:space="preserve">Categories </w:t>
            </w:r>
          </w:p>
        </w:tc>
        <w:tc>
          <w:tcPr>
            <w:tcW w:w="1372" w:type="dxa"/>
          </w:tcPr>
          <w:p w14:paraId="4B2F1814" w14:textId="77777777" w:rsidR="00F37910" w:rsidRPr="000D5855" w:rsidRDefault="00F37910" w:rsidP="000D5855">
            <w:pPr>
              <w:spacing w:line="360" w:lineRule="auto"/>
              <w:rPr>
                <w:rFonts w:cstheme="minorHAnsi"/>
                <w:b/>
                <w:bCs/>
                <w:i/>
                <w:iCs/>
                <w:sz w:val="16"/>
                <w:szCs w:val="16"/>
                <w:lang w:val="en-US"/>
              </w:rPr>
            </w:pPr>
            <w:r w:rsidRPr="000D5855">
              <w:rPr>
                <w:rFonts w:cstheme="minorHAnsi"/>
                <w:b/>
                <w:bCs/>
                <w:sz w:val="16"/>
                <w:szCs w:val="16"/>
                <w:lang w:val="en-US"/>
              </w:rPr>
              <w:t>Indicator name</w:t>
            </w:r>
          </w:p>
        </w:tc>
        <w:tc>
          <w:tcPr>
            <w:tcW w:w="1701" w:type="dxa"/>
          </w:tcPr>
          <w:p w14:paraId="68BB8231" w14:textId="77777777" w:rsidR="00F37910" w:rsidRPr="000D5855" w:rsidRDefault="00F37910" w:rsidP="000D5855">
            <w:pPr>
              <w:spacing w:line="360" w:lineRule="auto"/>
              <w:rPr>
                <w:rFonts w:cstheme="minorHAnsi"/>
                <w:b/>
                <w:bCs/>
                <w:i/>
                <w:iCs/>
                <w:sz w:val="16"/>
                <w:szCs w:val="16"/>
                <w:lang w:val="en-US"/>
              </w:rPr>
            </w:pPr>
            <w:r w:rsidRPr="000D5855">
              <w:rPr>
                <w:rFonts w:cstheme="minorHAnsi"/>
                <w:b/>
                <w:bCs/>
                <w:i/>
                <w:iCs/>
                <w:sz w:val="16"/>
                <w:szCs w:val="16"/>
                <w:lang w:val="en-US"/>
              </w:rPr>
              <w:t>Indicator denominator</w:t>
            </w:r>
          </w:p>
        </w:tc>
        <w:tc>
          <w:tcPr>
            <w:tcW w:w="1985" w:type="dxa"/>
          </w:tcPr>
          <w:p w14:paraId="7C7E8437" w14:textId="77777777" w:rsidR="00F37910" w:rsidRPr="000D5855" w:rsidRDefault="00F37910" w:rsidP="000D5855">
            <w:pPr>
              <w:spacing w:line="360" w:lineRule="auto"/>
              <w:rPr>
                <w:rFonts w:cstheme="minorHAnsi"/>
                <w:b/>
                <w:bCs/>
                <w:i/>
                <w:iCs/>
                <w:sz w:val="16"/>
                <w:szCs w:val="16"/>
                <w:lang w:val="en-US"/>
              </w:rPr>
            </w:pPr>
            <w:r w:rsidRPr="000D5855">
              <w:rPr>
                <w:rFonts w:cstheme="minorHAnsi"/>
                <w:b/>
                <w:bCs/>
                <w:i/>
                <w:iCs/>
                <w:sz w:val="16"/>
                <w:szCs w:val="16"/>
                <w:lang w:val="en-US"/>
              </w:rPr>
              <w:t>Indicator numerator</w:t>
            </w:r>
          </w:p>
        </w:tc>
        <w:tc>
          <w:tcPr>
            <w:tcW w:w="2404" w:type="dxa"/>
          </w:tcPr>
          <w:p w14:paraId="1CA319D5" w14:textId="77777777" w:rsidR="00F37910" w:rsidRPr="000D5855" w:rsidRDefault="00F37910" w:rsidP="000D5855">
            <w:pPr>
              <w:spacing w:line="360" w:lineRule="auto"/>
              <w:rPr>
                <w:rFonts w:cstheme="minorHAnsi"/>
                <w:b/>
                <w:bCs/>
                <w:i/>
                <w:iCs/>
                <w:sz w:val="16"/>
                <w:szCs w:val="16"/>
                <w:lang w:val="en-US"/>
              </w:rPr>
            </w:pPr>
            <w:r w:rsidRPr="000D5855">
              <w:rPr>
                <w:rFonts w:cstheme="minorHAnsi"/>
                <w:b/>
                <w:bCs/>
                <w:i/>
                <w:iCs/>
                <w:sz w:val="16"/>
                <w:szCs w:val="16"/>
                <w:lang w:val="en-US"/>
              </w:rPr>
              <w:t>Interpretation</w:t>
            </w:r>
          </w:p>
        </w:tc>
      </w:tr>
      <w:tr w:rsidR="00F37910" w:rsidRPr="00EA4D88" w14:paraId="5992C48F" w14:textId="77777777" w:rsidTr="0037261A">
        <w:tc>
          <w:tcPr>
            <w:tcW w:w="1600" w:type="dxa"/>
          </w:tcPr>
          <w:p w14:paraId="105B1DE5"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Sexual and reproductive health</w:t>
            </w:r>
          </w:p>
          <w:p w14:paraId="2AB5F80E" w14:textId="641E2053" w:rsidR="005458C9" w:rsidRPr="000D5855" w:rsidRDefault="005458C9" w:rsidP="000D5855">
            <w:pPr>
              <w:spacing w:line="360" w:lineRule="auto"/>
              <w:rPr>
                <w:rFonts w:cstheme="minorHAnsi"/>
                <w:i/>
                <w:iCs/>
                <w:sz w:val="16"/>
                <w:szCs w:val="16"/>
                <w:lang w:val="en-US"/>
              </w:rPr>
            </w:pPr>
            <w:r w:rsidRPr="000D5855">
              <w:rPr>
                <w:rFonts w:ascii="Arial" w:hAnsi="Arial" w:cs="Arial"/>
                <w:i/>
                <w:iCs/>
                <w:sz w:val="16"/>
                <w:szCs w:val="16"/>
                <w:lang w:val="en-US"/>
              </w:rPr>
              <w:t>(RMNCH)</w:t>
            </w:r>
          </w:p>
        </w:tc>
        <w:tc>
          <w:tcPr>
            <w:tcW w:w="1372" w:type="dxa"/>
          </w:tcPr>
          <w:p w14:paraId="21F9F067"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Current use of any contraceptive method (CPMO)</w:t>
            </w:r>
          </w:p>
        </w:tc>
        <w:tc>
          <w:tcPr>
            <w:tcW w:w="1701" w:type="dxa"/>
          </w:tcPr>
          <w:p w14:paraId="0C88658E"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Women aged 15-49 years currently married or in union</w:t>
            </w:r>
          </w:p>
        </w:tc>
        <w:tc>
          <w:tcPr>
            <w:tcW w:w="1985" w:type="dxa"/>
          </w:tcPr>
          <w:p w14:paraId="67ACACA9"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Who are using (or whose partner is using) any method</w:t>
            </w:r>
          </w:p>
        </w:tc>
        <w:tc>
          <w:tcPr>
            <w:tcW w:w="2404" w:type="dxa"/>
          </w:tcPr>
          <w:p w14:paraId="6668B273" w14:textId="7BD15253" w:rsidR="00F37910" w:rsidRPr="000D5855" w:rsidRDefault="00BC0481" w:rsidP="000D5855">
            <w:pPr>
              <w:spacing w:line="360" w:lineRule="auto"/>
              <w:rPr>
                <w:rFonts w:cstheme="minorHAnsi"/>
                <w:i/>
                <w:iCs/>
                <w:sz w:val="16"/>
                <w:szCs w:val="16"/>
                <w:lang w:val="en-US"/>
              </w:rPr>
            </w:pPr>
            <w:r w:rsidRPr="000D5855">
              <w:rPr>
                <w:rFonts w:cstheme="minorHAnsi"/>
                <w:i/>
                <w:iCs/>
                <w:sz w:val="16"/>
                <w:szCs w:val="16"/>
                <w:lang w:val="en-US"/>
              </w:rPr>
              <w:t>Percentage of women between the ages of 15 and 49 who are currently married or in common union, using a modern contraceptive method</w:t>
            </w:r>
          </w:p>
        </w:tc>
      </w:tr>
      <w:tr w:rsidR="00F37910" w:rsidRPr="00EA4D88" w14:paraId="48DD42D5" w14:textId="77777777" w:rsidTr="0037261A">
        <w:tc>
          <w:tcPr>
            <w:tcW w:w="1600" w:type="dxa"/>
          </w:tcPr>
          <w:p w14:paraId="1D5A8E7A"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Antenatal care</w:t>
            </w:r>
          </w:p>
          <w:p w14:paraId="6E8B9988" w14:textId="36189000" w:rsidR="005458C9" w:rsidRPr="000D5855" w:rsidRDefault="005458C9" w:rsidP="000D5855">
            <w:pPr>
              <w:spacing w:line="360" w:lineRule="auto"/>
              <w:rPr>
                <w:rFonts w:cstheme="minorHAnsi"/>
                <w:i/>
                <w:iCs/>
                <w:sz w:val="16"/>
                <w:szCs w:val="16"/>
                <w:lang w:val="en-US"/>
              </w:rPr>
            </w:pPr>
            <w:r w:rsidRPr="000D5855">
              <w:rPr>
                <w:rFonts w:ascii="Arial" w:hAnsi="Arial" w:cs="Arial"/>
                <w:i/>
                <w:iCs/>
                <w:sz w:val="16"/>
                <w:szCs w:val="16"/>
                <w:lang w:val="en-US"/>
              </w:rPr>
              <w:t>(RMNCH)</w:t>
            </w:r>
          </w:p>
        </w:tc>
        <w:tc>
          <w:tcPr>
            <w:tcW w:w="1372" w:type="dxa"/>
          </w:tcPr>
          <w:p w14:paraId="7C8DF2B5"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Antenatal care (four or more visits)</w:t>
            </w:r>
          </w:p>
        </w:tc>
        <w:tc>
          <w:tcPr>
            <w:tcW w:w="1701" w:type="dxa"/>
          </w:tcPr>
          <w:p w14:paraId="6CA51724"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Women 15-49, live birth in the last 3/5 years, last-born child</w:t>
            </w:r>
          </w:p>
        </w:tc>
        <w:tc>
          <w:tcPr>
            <w:tcW w:w="1985" w:type="dxa"/>
          </w:tcPr>
          <w:p w14:paraId="1475B6FE"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4+ visit(s) with skilled provider</w:t>
            </w:r>
          </w:p>
        </w:tc>
        <w:tc>
          <w:tcPr>
            <w:tcW w:w="2404" w:type="dxa"/>
          </w:tcPr>
          <w:p w14:paraId="02F9EBF2" w14:textId="16463EF1" w:rsidR="00F37910" w:rsidRPr="000D5855" w:rsidRDefault="00BC0481" w:rsidP="000D5855">
            <w:pPr>
              <w:spacing w:line="360" w:lineRule="auto"/>
              <w:rPr>
                <w:rFonts w:cstheme="minorHAnsi"/>
                <w:i/>
                <w:iCs/>
                <w:sz w:val="16"/>
                <w:szCs w:val="16"/>
                <w:lang w:val="en-US"/>
              </w:rPr>
            </w:pPr>
            <w:r w:rsidRPr="000D5855">
              <w:rPr>
                <w:rFonts w:cstheme="minorHAnsi"/>
                <w:i/>
                <w:iCs/>
                <w:sz w:val="16"/>
                <w:szCs w:val="16"/>
                <w:lang w:val="en-US"/>
              </w:rPr>
              <w:t>Percentage of women aged 15 to 49 years whose last child was born 3-5 years ago, who made 4 or more visits during pregnancy with trained professionals</w:t>
            </w:r>
          </w:p>
        </w:tc>
      </w:tr>
      <w:tr w:rsidR="00F37910" w:rsidRPr="00EA4D88" w14:paraId="19E2D013" w14:textId="77777777" w:rsidTr="0037261A">
        <w:tc>
          <w:tcPr>
            <w:tcW w:w="1600" w:type="dxa"/>
          </w:tcPr>
          <w:p w14:paraId="5F5CB4AB"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Delivery assistance</w:t>
            </w:r>
          </w:p>
          <w:p w14:paraId="6B59CDC1" w14:textId="028BEFB9" w:rsidR="005458C9" w:rsidRPr="000D5855" w:rsidRDefault="005458C9" w:rsidP="000D5855">
            <w:pPr>
              <w:spacing w:line="360" w:lineRule="auto"/>
              <w:rPr>
                <w:rFonts w:cstheme="minorHAnsi"/>
                <w:i/>
                <w:iCs/>
                <w:sz w:val="16"/>
                <w:szCs w:val="16"/>
                <w:lang w:val="en-US"/>
              </w:rPr>
            </w:pPr>
            <w:r w:rsidRPr="000D5855">
              <w:rPr>
                <w:rFonts w:ascii="Arial" w:hAnsi="Arial" w:cs="Arial"/>
                <w:i/>
                <w:iCs/>
                <w:sz w:val="16"/>
                <w:szCs w:val="16"/>
                <w:lang w:val="en-US"/>
              </w:rPr>
              <w:t>(RMNCH)</w:t>
            </w:r>
          </w:p>
        </w:tc>
        <w:tc>
          <w:tcPr>
            <w:tcW w:w="1372" w:type="dxa"/>
          </w:tcPr>
          <w:p w14:paraId="6F3756ED"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Institutional delivery</w:t>
            </w:r>
          </w:p>
        </w:tc>
        <w:tc>
          <w:tcPr>
            <w:tcW w:w="1701" w:type="dxa"/>
          </w:tcPr>
          <w:p w14:paraId="390EBF01"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All live births in the last 2 years</w:t>
            </w:r>
          </w:p>
        </w:tc>
        <w:tc>
          <w:tcPr>
            <w:tcW w:w="1985" w:type="dxa"/>
          </w:tcPr>
          <w:p w14:paraId="05C25B6A"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Delivered in a health facility</w:t>
            </w:r>
          </w:p>
        </w:tc>
        <w:tc>
          <w:tcPr>
            <w:tcW w:w="2404" w:type="dxa"/>
          </w:tcPr>
          <w:p w14:paraId="0C39A104" w14:textId="6AF1E219" w:rsidR="00F37910" w:rsidRPr="000D5855" w:rsidRDefault="00BC0481" w:rsidP="000D5855">
            <w:pPr>
              <w:spacing w:line="360" w:lineRule="auto"/>
              <w:rPr>
                <w:rFonts w:cstheme="minorHAnsi"/>
                <w:i/>
                <w:iCs/>
                <w:sz w:val="16"/>
                <w:szCs w:val="16"/>
                <w:lang w:val="en-US"/>
              </w:rPr>
            </w:pPr>
            <w:r w:rsidRPr="000D5855">
              <w:rPr>
                <w:rFonts w:cstheme="minorHAnsi"/>
                <w:i/>
                <w:iCs/>
                <w:sz w:val="16"/>
                <w:szCs w:val="16"/>
                <w:lang w:val="en-US"/>
              </w:rPr>
              <w:t>Percentage of live births in the last 2 years that were attended in a health institution</w:t>
            </w:r>
          </w:p>
        </w:tc>
      </w:tr>
      <w:tr w:rsidR="00F37910" w:rsidRPr="00EA4D88" w14:paraId="7455AD26" w14:textId="77777777" w:rsidTr="0037261A">
        <w:tc>
          <w:tcPr>
            <w:tcW w:w="1600" w:type="dxa"/>
          </w:tcPr>
          <w:p w14:paraId="183E791D"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Child health</w:t>
            </w:r>
          </w:p>
          <w:p w14:paraId="2D553688" w14:textId="2FB91877" w:rsidR="005458C9" w:rsidRPr="000D5855" w:rsidRDefault="005458C9" w:rsidP="000D5855">
            <w:pPr>
              <w:spacing w:line="360" w:lineRule="auto"/>
              <w:rPr>
                <w:rFonts w:cstheme="minorHAnsi"/>
                <w:i/>
                <w:iCs/>
                <w:sz w:val="16"/>
                <w:szCs w:val="16"/>
                <w:lang w:val="en-US"/>
              </w:rPr>
            </w:pPr>
            <w:r w:rsidRPr="000D5855">
              <w:rPr>
                <w:rFonts w:ascii="Arial" w:hAnsi="Arial" w:cs="Arial"/>
                <w:i/>
                <w:iCs/>
                <w:sz w:val="16"/>
                <w:szCs w:val="16"/>
                <w:lang w:val="en-US"/>
              </w:rPr>
              <w:t>(RMNCH)</w:t>
            </w:r>
          </w:p>
        </w:tc>
        <w:tc>
          <w:tcPr>
            <w:tcW w:w="1372" w:type="dxa"/>
          </w:tcPr>
          <w:p w14:paraId="3919B9C7"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Full immunization coverage</w:t>
            </w:r>
          </w:p>
        </w:tc>
        <w:tc>
          <w:tcPr>
            <w:tcW w:w="1701" w:type="dxa"/>
          </w:tcPr>
          <w:p w14:paraId="2AF8CDE1" w14:textId="77777777" w:rsidR="00F37910" w:rsidRPr="000D5855" w:rsidRDefault="00F37910" w:rsidP="000D5855">
            <w:pPr>
              <w:spacing w:line="360" w:lineRule="auto"/>
              <w:rPr>
                <w:rFonts w:cstheme="minorHAnsi"/>
                <w:i/>
                <w:iCs/>
                <w:sz w:val="16"/>
                <w:szCs w:val="16"/>
                <w:lang w:val="en-US"/>
              </w:rPr>
            </w:pPr>
            <w:proofErr w:type="spellStart"/>
            <w:r w:rsidRPr="000D5855">
              <w:rPr>
                <w:rFonts w:ascii="Arial" w:hAnsi="Arial" w:cs="Arial"/>
                <w:sz w:val="16"/>
                <w:szCs w:val="16"/>
                <w:lang w:val="en-US"/>
              </w:rPr>
              <w:t>Livechildren</w:t>
            </w:r>
            <w:proofErr w:type="spellEnd"/>
            <w:r w:rsidRPr="000D5855">
              <w:rPr>
                <w:rFonts w:ascii="Arial" w:hAnsi="Arial" w:cs="Arial"/>
                <w:sz w:val="16"/>
                <w:szCs w:val="16"/>
                <w:lang w:val="en-US"/>
              </w:rPr>
              <w:t>, 12-23/18-29/15-26 months</w:t>
            </w:r>
          </w:p>
        </w:tc>
        <w:tc>
          <w:tcPr>
            <w:tcW w:w="1985" w:type="dxa"/>
          </w:tcPr>
          <w:p w14:paraId="25FEE843"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3 doses of DPT &amp; 3 doses of Polio &amp; received Measles &amp; received BCG</w:t>
            </w:r>
          </w:p>
        </w:tc>
        <w:tc>
          <w:tcPr>
            <w:tcW w:w="2404" w:type="dxa"/>
          </w:tcPr>
          <w:p w14:paraId="3F211CAB" w14:textId="07013847" w:rsidR="00F37910" w:rsidRPr="000D5855" w:rsidRDefault="00BC0481" w:rsidP="000D5855">
            <w:pPr>
              <w:spacing w:line="360" w:lineRule="auto"/>
              <w:rPr>
                <w:rFonts w:cstheme="minorHAnsi"/>
                <w:i/>
                <w:iCs/>
                <w:sz w:val="16"/>
                <w:szCs w:val="16"/>
                <w:lang w:val="en-US"/>
              </w:rPr>
            </w:pPr>
            <w:r w:rsidRPr="000D5855">
              <w:rPr>
                <w:rFonts w:cstheme="minorHAnsi"/>
                <w:i/>
                <w:iCs/>
                <w:sz w:val="16"/>
                <w:szCs w:val="16"/>
                <w:lang w:val="en-US"/>
              </w:rPr>
              <w:t>Percentage of children up to 26 months of age who received detailed vaccine doses</w:t>
            </w:r>
          </w:p>
        </w:tc>
      </w:tr>
      <w:tr w:rsidR="00F37910" w:rsidRPr="00EA4D88" w14:paraId="14DFDAD6" w14:textId="77777777" w:rsidTr="0037261A">
        <w:tc>
          <w:tcPr>
            <w:tcW w:w="1600" w:type="dxa"/>
          </w:tcPr>
          <w:p w14:paraId="082A0703" w14:textId="77777777" w:rsidR="00F37910" w:rsidRPr="000D5855" w:rsidRDefault="00F37910" w:rsidP="000D5855">
            <w:pPr>
              <w:spacing w:line="360" w:lineRule="auto"/>
              <w:rPr>
                <w:rFonts w:ascii="Arial" w:hAnsi="Arial" w:cs="Arial"/>
                <w:sz w:val="16"/>
                <w:szCs w:val="16"/>
                <w:lang w:val="en-US"/>
              </w:rPr>
            </w:pPr>
            <w:r w:rsidRPr="000D5855">
              <w:rPr>
                <w:rFonts w:ascii="Arial" w:hAnsi="Arial" w:cs="Arial"/>
                <w:sz w:val="16"/>
                <w:szCs w:val="16"/>
                <w:lang w:val="en-US"/>
              </w:rPr>
              <w:t>Breastfeeding</w:t>
            </w:r>
          </w:p>
          <w:p w14:paraId="15E093A0" w14:textId="4F5BA846" w:rsidR="005458C9" w:rsidRPr="000D5855" w:rsidRDefault="005458C9" w:rsidP="000D5855">
            <w:pPr>
              <w:spacing w:line="360" w:lineRule="auto"/>
              <w:rPr>
                <w:rFonts w:cstheme="minorHAnsi"/>
                <w:i/>
                <w:iCs/>
                <w:sz w:val="16"/>
                <w:szCs w:val="16"/>
                <w:lang w:val="en-US"/>
              </w:rPr>
            </w:pPr>
            <w:r w:rsidRPr="000D5855">
              <w:rPr>
                <w:rFonts w:ascii="Arial" w:hAnsi="Arial" w:cs="Arial"/>
                <w:i/>
                <w:iCs/>
                <w:sz w:val="16"/>
                <w:szCs w:val="16"/>
                <w:lang w:val="en-US"/>
              </w:rPr>
              <w:t>(RMNCH)</w:t>
            </w:r>
          </w:p>
        </w:tc>
        <w:tc>
          <w:tcPr>
            <w:tcW w:w="1372" w:type="dxa"/>
          </w:tcPr>
          <w:p w14:paraId="638C2EAD"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Exclusively breastfeeding</w:t>
            </w:r>
          </w:p>
        </w:tc>
        <w:tc>
          <w:tcPr>
            <w:tcW w:w="1701" w:type="dxa"/>
          </w:tcPr>
          <w:p w14:paraId="13E77C9D"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Last born, living with respondents, specific age groups</w:t>
            </w:r>
          </w:p>
        </w:tc>
        <w:tc>
          <w:tcPr>
            <w:tcW w:w="1985" w:type="dxa"/>
          </w:tcPr>
          <w:p w14:paraId="32A45DBD"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Breastfed exclusively (only breastmilk)</w:t>
            </w:r>
          </w:p>
        </w:tc>
        <w:tc>
          <w:tcPr>
            <w:tcW w:w="2404" w:type="dxa"/>
          </w:tcPr>
          <w:p w14:paraId="66ACF92B" w14:textId="1694CB19" w:rsidR="00F37910" w:rsidRPr="000D5855" w:rsidRDefault="00BC0481" w:rsidP="000D5855">
            <w:pPr>
              <w:spacing w:line="360" w:lineRule="auto"/>
              <w:rPr>
                <w:rFonts w:cstheme="minorHAnsi"/>
                <w:i/>
                <w:iCs/>
                <w:sz w:val="16"/>
                <w:szCs w:val="16"/>
                <w:lang w:val="en-US"/>
              </w:rPr>
            </w:pPr>
            <w:r w:rsidRPr="000D5855">
              <w:rPr>
                <w:rFonts w:cstheme="minorHAnsi"/>
                <w:i/>
                <w:iCs/>
                <w:sz w:val="16"/>
                <w:szCs w:val="16"/>
                <w:lang w:val="en-US"/>
              </w:rPr>
              <w:t>Percentage of live births who, up to 6 months, received only exclusive breastfeeding</w:t>
            </w:r>
          </w:p>
        </w:tc>
      </w:tr>
      <w:tr w:rsidR="00F37910" w:rsidRPr="00EA4D88" w14:paraId="3575A43B" w14:textId="77777777" w:rsidTr="0037261A">
        <w:tc>
          <w:tcPr>
            <w:tcW w:w="1600" w:type="dxa"/>
          </w:tcPr>
          <w:p w14:paraId="6ADB1304" w14:textId="4617FA2B" w:rsidR="00F37910" w:rsidRPr="000D5855" w:rsidRDefault="00BC0481" w:rsidP="000D5855">
            <w:pPr>
              <w:spacing w:line="360" w:lineRule="auto"/>
              <w:rPr>
                <w:rFonts w:cstheme="minorHAnsi"/>
                <w:i/>
                <w:iCs/>
                <w:sz w:val="16"/>
                <w:szCs w:val="16"/>
                <w:lang w:val="en-US"/>
              </w:rPr>
            </w:pPr>
            <w:r w:rsidRPr="000D5855">
              <w:rPr>
                <w:rFonts w:ascii="Arial" w:hAnsi="Arial" w:cs="Arial"/>
                <w:sz w:val="16"/>
                <w:szCs w:val="16"/>
                <w:lang w:val="en-US"/>
              </w:rPr>
              <w:t>Water and Sanitary interventions (</w:t>
            </w:r>
            <w:proofErr w:type="gramStart"/>
            <w:r w:rsidRPr="000D5855">
              <w:rPr>
                <w:rFonts w:ascii="Arial" w:hAnsi="Arial" w:cs="Arial"/>
                <w:sz w:val="16"/>
                <w:szCs w:val="16"/>
                <w:lang w:val="en-US"/>
              </w:rPr>
              <w:t>WAS</w:t>
            </w:r>
            <w:proofErr w:type="gramEnd"/>
            <w:r w:rsidRPr="000D5855">
              <w:rPr>
                <w:rFonts w:ascii="Arial" w:hAnsi="Arial" w:cs="Arial"/>
                <w:sz w:val="16"/>
                <w:szCs w:val="16"/>
                <w:lang w:val="en-US"/>
              </w:rPr>
              <w:t>)</w:t>
            </w:r>
          </w:p>
        </w:tc>
        <w:tc>
          <w:tcPr>
            <w:tcW w:w="1372" w:type="dxa"/>
          </w:tcPr>
          <w:p w14:paraId="71756108"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Improved drinking water access</w:t>
            </w:r>
          </w:p>
        </w:tc>
        <w:tc>
          <w:tcPr>
            <w:tcW w:w="1701" w:type="dxa"/>
          </w:tcPr>
          <w:p w14:paraId="3F18755B"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All household members</w:t>
            </w:r>
          </w:p>
        </w:tc>
        <w:tc>
          <w:tcPr>
            <w:tcW w:w="1985" w:type="dxa"/>
          </w:tcPr>
          <w:p w14:paraId="285AEADE"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With access to an improved source of drinking water in the household</w:t>
            </w:r>
          </w:p>
        </w:tc>
        <w:tc>
          <w:tcPr>
            <w:tcW w:w="2404" w:type="dxa"/>
          </w:tcPr>
          <w:p w14:paraId="42F11313" w14:textId="536C0D0B" w:rsidR="00F37910" w:rsidRPr="000D5855" w:rsidRDefault="00BC0481" w:rsidP="000D5855">
            <w:pPr>
              <w:spacing w:line="360" w:lineRule="auto"/>
              <w:rPr>
                <w:rFonts w:cstheme="minorHAnsi"/>
                <w:i/>
                <w:iCs/>
                <w:sz w:val="16"/>
                <w:szCs w:val="16"/>
                <w:lang w:val="en-US"/>
              </w:rPr>
            </w:pPr>
            <w:r w:rsidRPr="000D5855">
              <w:rPr>
                <w:rFonts w:cstheme="minorHAnsi"/>
                <w:i/>
                <w:iCs/>
                <w:sz w:val="16"/>
                <w:szCs w:val="16"/>
                <w:lang w:val="en-US"/>
              </w:rPr>
              <w:t>Percentage of households that have access to household water sources</w:t>
            </w:r>
          </w:p>
        </w:tc>
      </w:tr>
      <w:tr w:rsidR="00F37910" w:rsidRPr="00EA4D88" w14:paraId="0B94D1A1" w14:textId="77777777" w:rsidTr="0037261A">
        <w:tc>
          <w:tcPr>
            <w:tcW w:w="1600" w:type="dxa"/>
          </w:tcPr>
          <w:p w14:paraId="7D2A4D96" w14:textId="1051CD6C" w:rsidR="00F37910" w:rsidRPr="000D5855" w:rsidRDefault="00BC0481" w:rsidP="000D5855">
            <w:pPr>
              <w:spacing w:line="360" w:lineRule="auto"/>
              <w:rPr>
                <w:rFonts w:cstheme="minorHAnsi"/>
                <w:i/>
                <w:iCs/>
                <w:sz w:val="16"/>
                <w:szCs w:val="16"/>
                <w:lang w:val="en-US"/>
              </w:rPr>
            </w:pPr>
            <w:r w:rsidRPr="000D5855">
              <w:rPr>
                <w:rFonts w:ascii="Arial" w:hAnsi="Arial" w:cs="Arial"/>
                <w:sz w:val="16"/>
                <w:szCs w:val="16"/>
                <w:lang w:val="en-US"/>
              </w:rPr>
              <w:t>Water and Sanitary interventions (</w:t>
            </w:r>
            <w:proofErr w:type="gramStart"/>
            <w:r w:rsidRPr="000D5855">
              <w:rPr>
                <w:rFonts w:ascii="Arial" w:hAnsi="Arial" w:cs="Arial"/>
                <w:sz w:val="16"/>
                <w:szCs w:val="16"/>
                <w:lang w:val="en-US"/>
              </w:rPr>
              <w:t>WAS</w:t>
            </w:r>
            <w:proofErr w:type="gramEnd"/>
            <w:r w:rsidRPr="000D5855">
              <w:rPr>
                <w:rFonts w:ascii="Arial" w:hAnsi="Arial" w:cs="Arial"/>
                <w:sz w:val="16"/>
                <w:szCs w:val="16"/>
                <w:lang w:val="en-US"/>
              </w:rPr>
              <w:t>)</w:t>
            </w:r>
          </w:p>
        </w:tc>
        <w:tc>
          <w:tcPr>
            <w:tcW w:w="1372" w:type="dxa"/>
          </w:tcPr>
          <w:p w14:paraId="5AEF71BF"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Improved sanitation</w:t>
            </w:r>
          </w:p>
        </w:tc>
        <w:tc>
          <w:tcPr>
            <w:tcW w:w="1701" w:type="dxa"/>
          </w:tcPr>
          <w:p w14:paraId="2EEB88C6"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All household members</w:t>
            </w:r>
          </w:p>
        </w:tc>
        <w:tc>
          <w:tcPr>
            <w:tcW w:w="1985" w:type="dxa"/>
          </w:tcPr>
          <w:p w14:paraId="1CEAEC59" w14:textId="77777777" w:rsidR="00F37910" w:rsidRPr="000D5855" w:rsidRDefault="00F37910" w:rsidP="000D5855">
            <w:pPr>
              <w:spacing w:line="360" w:lineRule="auto"/>
              <w:rPr>
                <w:rFonts w:cstheme="minorHAnsi"/>
                <w:i/>
                <w:iCs/>
                <w:sz w:val="16"/>
                <w:szCs w:val="16"/>
                <w:lang w:val="en-US"/>
              </w:rPr>
            </w:pPr>
            <w:r w:rsidRPr="000D5855">
              <w:rPr>
                <w:rFonts w:ascii="Arial" w:hAnsi="Arial" w:cs="Arial"/>
                <w:sz w:val="16"/>
                <w:szCs w:val="16"/>
                <w:lang w:val="en-US"/>
              </w:rPr>
              <w:t>With improved sanitation (non-shared) facility</w:t>
            </w:r>
          </w:p>
        </w:tc>
        <w:tc>
          <w:tcPr>
            <w:tcW w:w="2404" w:type="dxa"/>
          </w:tcPr>
          <w:p w14:paraId="7B79D2B1" w14:textId="2EE4B406" w:rsidR="00F37910" w:rsidRPr="000D5855" w:rsidRDefault="00BC0481" w:rsidP="000D5855">
            <w:pPr>
              <w:spacing w:line="360" w:lineRule="auto"/>
              <w:rPr>
                <w:rFonts w:cstheme="minorHAnsi"/>
                <w:i/>
                <w:iCs/>
                <w:sz w:val="16"/>
                <w:szCs w:val="16"/>
                <w:lang w:val="en-US"/>
              </w:rPr>
            </w:pPr>
            <w:r w:rsidRPr="000D5855">
              <w:rPr>
                <w:rFonts w:cstheme="minorHAnsi"/>
                <w:i/>
                <w:iCs/>
                <w:sz w:val="16"/>
                <w:szCs w:val="16"/>
                <w:lang w:val="en-US"/>
              </w:rPr>
              <w:t>Percentage of households that have access to sanitary improvements</w:t>
            </w:r>
          </w:p>
        </w:tc>
      </w:tr>
    </w:tbl>
    <w:p w14:paraId="34BAA0FC" w14:textId="77777777" w:rsidR="000D5855" w:rsidRPr="000D5855" w:rsidRDefault="000D5855" w:rsidP="000D5855">
      <w:pPr>
        <w:spacing w:line="360" w:lineRule="auto"/>
        <w:rPr>
          <w:rFonts w:cstheme="minorHAnsi"/>
          <w:i/>
          <w:iCs/>
          <w:lang w:val="en-US"/>
        </w:rPr>
      </w:pPr>
    </w:p>
    <w:p w14:paraId="6BB9226E" w14:textId="77777777" w:rsidR="000D5855" w:rsidRPr="000D5855" w:rsidRDefault="000D5855" w:rsidP="000D5855">
      <w:pPr>
        <w:spacing w:line="360" w:lineRule="auto"/>
        <w:jc w:val="both"/>
        <w:rPr>
          <w:rFonts w:cstheme="minorHAnsi"/>
          <w:b/>
          <w:bCs/>
          <w:lang w:val="en-US"/>
        </w:rPr>
      </w:pPr>
      <w:r w:rsidRPr="000D5855">
        <w:rPr>
          <w:rFonts w:cstheme="minorHAnsi"/>
          <w:b/>
          <w:bCs/>
          <w:lang w:val="en-US"/>
        </w:rPr>
        <w:t>Supplementary annex 2:</w:t>
      </w:r>
    </w:p>
    <w:p w14:paraId="1DEDED03" w14:textId="314AC9BB" w:rsidR="000D5855" w:rsidRPr="000D5855" w:rsidRDefault="000D5855" w:rsidP="000D5855">
      <w:pPr>
        <w:spacing w:line="360" w:lineRule="auto"/>
        <w:jc w:val="both"/>
        <w:rPr>
          <w:rStyle w:val="tlid-translation"/>
          <w:lang w:val="en-US"/>
        </w:rPr>
      </w:pPr>
      <w:r w:rsidRPr="000D5855">
        <w:rPr>
          <w:rStyle w:val="tlid-translation"/>
          <w:lang w:val="en-US"/>
        </w:rPr>
        <w:t>An analysis of complex inequality measures was carried out with data from the 2012 survey following the recommendations of the literature</w:t>
      </w:r>
      <w:r w:rsidRPr="000D5855">
        <w:rPr>
          <w:rFonts w:eastAsia="Times New Roman" w:cstheme="minorHAnsi"/>
          <w:lang w:val="en-US" w:eastAsia="de-DE"/>
        </w:rPr>
        <w:t xml:space="preserve"> </w:t>
      </w:r>
      <w:r w:rsidRPr="000D5855">
        <w:fldChar w:fldCharType="begin"/>
      </w:r>
      <w:r w:rsidR="00A94A51">
        <w:rPr>
          <w:rFonts w:eastAsia="Times New Roman" w:cstheme="minorHAnsi"/>
          <w:lang w:val="en-US" w:eastAsia="de-DE"/>
        </w:rPr>
        <w:instrText xml:space="preserve"> ADDIN ZOTERO_ITEM CSL_CITATION {"citationID":"PEqZxdlN","properties":{"formattedCitation":"(1)","plainCitation":"(1)","noteIndex":0},"citationItems":[{"id":842,"uris":["http://zotero.org/users/2941851/items/4QYDTYWP"],"uri":["http://zotero.org/users/2941851/items/4QYDTYWP"],"itemData":{"id":842,"type":"article-journal","title":"Measuring Coverage in MNCH: Determining and Interpreting Inequalities in Coverage of Maternal, Newborn, and Child Health Interventions","container-title":"PLOS Medicine","page":"e1001390","volume":"10","issue":"5","source":"PLoS Journals","abstract":"In a PLOS Medicine Review, Aluísio Barros and Cesar Victora provide a practical guide to measuring and interpreting inequalities in the coverage of maternal, newborn, and child interventions in low- and middle-income countries using data collected by large household surveys.","DOI":"10.1371/journal.pmed.1001390","ISSN":"1549-1676","title-short":"Measuring Coverage in MNCH","journalAbbreviation":"PLOS Medicine","language":"en","author":[{"family":"Barros","given":"Aluísio J. D."},{"family":"Victora","given":"Cesar G."}],"issued":{"date-parts":[["2013",5,7]]}}}],"schema":"https://github.com/citation-style-language/schema/raw/master/csl-citation.json"} </w:instrText>
      </w:r>
      <w:r w:rsidRPr="000D5855">
        <w:fldChar w:fldCharType="separate"/>
      </w:r>
      <w:r w:rsidR="00A94A51" w:rsidRPr="00A94A51">
        <w:rPr>
          <w:rFonts w:ascii="Calibri" w:hAnsi="Calibri" w:cs="Calibri"/>
          <w:lang w:val="en-US"/>
        </w:rPr>
        <w:t>(1)</w:t>
      </w:r>
      <w:r w:rsidRPr="000D5855">
        <w:fldChar w:fldCharType="end"/>
      </w:r>
      <w:r w:rsidRPr="000D5855">
        <w:rPr>
          <w:rStyle w:val="tlid-translation"/>
          <w:lang w:val="en-US"/>
        </w:rPr>
        <w:t xml:space="preserve">. We calculated two absolute summary measures of inequality, the difference of Q1 and Q5 (Q5 – Q1) and the Slope Index of Inequality (SII) and two relative measures, the ratio of Q1 vs. Q5 (Q5:Q1) and the Concentration Index (CIX) </w:t>
      </w:r>
      <w:r w:rsidRPr="000D5855">
        <w:fldChar w:fldCharType="begin"/>
      </w:r>
      <w:r w:rsidR="00A94A51">
        <w:rPr>
          <w:rFonts w:eastAsia="Times New Roman" w:cstheme="minorHAnsi"/>
          <w:lang w:val="en-US" w:eastAsia="de-DE"/>
        </w:rPr>
        <w:instrText xml:space="preserve"> ADDIN ZOTERO_ITEM CSL_CITATION {"citationID":"a1ild6qmqd2","properties":{"formattedCitation":"(2,3)","plainCitation":"(2,3)","noteIndex":0},"citationItems":[{"id":845,"uris":["http://zotero.org/users/2941851/items/XRHQZ29Z"],"uri":["http://zotero.org/users/2941851/items/XRHQZ29Z"],"itemData":{"id":845,"type":"report","title":"Analyzing health equity using household survey data : a guide to techniques and their implementation","publisher":"The World Bank","page":"1-234","source":"documents.worldbank.org","abstract":"This book shows how to implement a variety of analytic tools that allow health equity - along different dimensions and in different spheres - to be quantified. Questions that the techniques can help provide answers for include the following: Have gaps in health outcomes between the poor and the better-off grown in specific countries or in the developing world as a whole? Are they larger in one country than in another? Are health sector subsidies more equally distributed in some countries than in others? Is health care utilization equitably distributed in the sense that people in equal need receive similar amounts of health care irrespective of their income? Are health care payments more progressive in one health care financing system than in another? What are catastrophic payments? How can they be measured? How far do health care payments impoverish households? This volume has a simple aim: to provide researchers and analysts with a step-by-step practical guide to the measurement of a variety of aspects of health equity. Each chapter includes worked examples and computer code. The authors hope that these guides, and the easy-to-implement computer routines contained in them, will stimulate yet more analysis in the field of health equity, especially in developing countries. They hope this, in turn, will lead to more comprehensive monitoring of trends in health equity, a better understanding of the causes of these inequities, more extensive evaluation of the impacts of development programs on health equity, and more effective policies and programs to reduce inequities in the health sector.","URL":"http://documents.worldbank.org/curated/en/633931468139502235/Analyzing-health-equity-using-household-survey-data-a-guide-to-techniques-and-their-implementation","number":"42480","title-short":"Analyzing health equity using household survey data","language":"en","author":[{"family":"O'Donnell","given":"Owen"},{"family":"Doorslaer","given":"Eddy","non-dropping-particle":"van"},{"family":"Wagstaff","given":"Adam"},{"family":"Lindelow","given":"Magnus"}],"issued":{"date-parts":[["2007",11,2]]},"accessed":{"date-parts":[["2019",5,14]]}}},{"id":53,"uris":["http://zotero.org/users/2941851/items/WCH5BZA4"],"uri":["http://zotero.org/users/2941851/items/WCH5BZA4"],"itemData":{"id":53,"type":"book","title":"Manual para el Monitoreo de las Desigualdades en Salud, con especial énfasis en países de ingresos medianos y bajos","publisher-place":"Washington D.C.","edition":"Biblioteca sede de la OPS","event-place":"Washington D.C.","abstract":"El monitoreo de las desigualdades en salud es una práctica que promueve la rendición de cuentas y el progreso contínuo de los sistemas de salud.  Ayuda a identificar","URL":"http://www.paho.org/hq/index.php?option=com_content&amp;view=article&amp;id=12571%3Amanual-monitoreo-desigualdadessalud-paises-ingresos-medianos-bajos&amp;catid=8896%3Apublications&amp;Itemid=42134&amp;lang=es","ISBN":"978 92 4 154863 2","author":[{"family":"PAHO/WHO","given":""}],"issued":{"date-parts":[["2016"]]},"accessed":{"date-parts":[["2016",11,14]]}}}],"schema":"https://github.com/citation-style-language/schema/raw/master/csl-citation.json"} </w:instrText>
      </w:r>
      <w:r w:rsidRPr="000D5855">
        <w:fldChar w:fldCharType="separate"/>
      </w:r>
      <w:r w:rsidR="00A94A51" w:rsidRPr="00EA4D88">
        <w:rPr>
          <w:rFonts w:ascii="Calibri" w:hAnsi="Calibri" w:cs="Calibri"/>
          <w:lang w:val="en-US"/>
        </w:rPr>
        <w:t>(2,3)</w:t>
      </w:r>
      <w:r w:rsidRPr="000D5855">
        <w:fldChar w:fldCharType="end"/>
      </w:r>
      <w:r w:rsidRPr="000D5855">
        <w:rPr>
          <w:rStyle w:val="tlid-translation"/>
          <w:lang w:val="en-US"/>
        </w:rPr>
        <w:t xml:space="preserve">. The SII takes all the subgroups into consideration, not only the most- advantaged and the most- disadvantaged (using regression model); the value zero is interpreted as no inequality while positive values indicate higher coverage in the advantaged subgroups and negative values indicate higher coverage in the disadvantaged subgroups. The relative measure based on a ratio of Q1 vs. Q5 means that if health services coverage were 100% and 50% in two subgroups, this would equal 2 times higher coverage in </w:t>
      </w:r>
      <w:r w:rsidRPr="000D5855">
        <w:rPr>
          <w:rStyle w:val="tlid-translation"/>
          <w:lang w:val="en-US"/>
        </w:rPr>
        <w:lastRenderedPageBreak/>
        <w:t xml:space="preserve">the richest compared to the poorest </w:t>
      </w:r>
      <w:r w:rsidRPr="000D5855">
        <w:fldChar w:fldCharType="begin"/>
      </w:r>
      <w:r w:rsidR="00A94A51">
        <w:rPr>
          <w:rStyle w:val="tlid-translation"/>
          <w:lang w:val="en-US"/>
        </w:rPr>
        <w:instrText xml:space="preserve"> ADDIN ZOTERO_ITEM CSL_CITATION {"citationID":"ab7olaqotg","properties":{"formattedCitation":"(3)","plainCitation":"(3)","noteIndex":0},"citationItems":[{"id":53,"uris":["http://zotero.org/users/2941851/items/WCH5BZA4"],"uri":["http://zotero.org/users/2941851/items/WCH5BZA4"],"itemData":{"id":53,"type":"book","title":"Manual para el Monitoreo de las Desigualdades en Salud, con especial énfasis en países de ingresos medianos y bajos","publisher-place":"Washington D.C.","edition":"Biblioteca sede de la OPS","event-place":"Washington D.C.","abstract":"El monitoreo de las desigualdades en salud es una práctica que promueve la rendición de cuentas y el progreso contínuo de los sistemas de salud.  Ayuda a identificar","URL":"http://www.paho.org/hq/index.php?option=com_content&amp;view=article&amp;id=12571%3Amanual-monitoreo-desigualdadessalud-paises-ingresos-medianos-bajos&amp;catid=8896%3Apublications&amp;Itemid=42134&amp;lang=es","ISBN":"978 92 4 154863 2","author":[{"family":"PAHO/WHO","given":""}],"issued":{"date-parts":[["2016"]]},"accessed":{"date-parts":[["2016",11,14]]}}}],"schema":"https://github.com/citation-style-language/schema/raw/master/csl-citation.json"} </w:instrText>
      </w:r>
      <w:r w:rsidRPr="000D5855">
        <w:fldChar w:fldCharType="separate"/>
      </w:r>
      <w:r w:rsidR="00A94A51" w:rsidRPr="00A94A51">
        <w:rPr>
          <w:rFonts w:ascii="Calibri" w:hAnsi="Calibri" w:cs="Calibri"/>
          <w:lang w:val="en-US"/>
        </w:rPr>
        <w:t>(3)</w:t>
      </w:r>
      <w:r w:rsidRPr="000D5855">
        <w:fldChar w:fldCharType="end"/>
      </w:r>
      <w:r w:rsidRPr="000D5855">
        <w:rPr>
          <w:rStyle w:val="tlid-translation"/>
          <w:lang w:val="en-US"/>
        </w:rPr>
        <w:t xml:space="preserve"> subgroups. The CIX is related to the Gini coefficient, where 0 implies an absence of inequality,  values ​​ between -1 and 1 imply favorable indicators, negative values ​​imply greater intervention coverage among the poor and positive values ​​imply greater coverage among the rich </w:t>
      </w:r>
      <w:r w:rsidRPr="000D5855">
        <w:fldChar w:fldCharType="begin"/>
      </w:r>
      <w:r w:rsidR="00A94A51">
        <w:rPr>
          <w:rFonts w:eastAsia="Times New Roman" w:cstheme="minorHAnsi"/>
          <w:lang w:val="en-US" w:eastAsia="de-DE"/>
        </w:rPr>
        <w:instrText xml:space="preserve"> ADDIN ZOTERO_ITEM CSL_CITATION {"citationID":"aq96p4ssln","properties":{"formattedCitation":"(1)","plainCitation":"(1)","noteIndex":0},"citationItems":[{"id":842,"uris":["http://zotero.org/users/2941851/items/4QYDTYWP"],"uri":["http://zotero.org/users/2941851/items/4QYDTYWP"],"itemData":{"id":842,"type":"article-journal","title":"Measuring Coverage in MNCH: Determining and Interpreting Inequalities in Coverage of Maternal, Newborn, and Child Health Interventions","container-title":"PLOS Medicine","page":"e1001390","volume":"10","issue":"5","source":"PLoS Journals","abstract":"In a PLOS Medicine Review, Aluísio Barros and Cesar Victora provide a practical guide to measuring and interpreting inequalities in the coverage of maternal, newborn, and child interventions in low- and middle-income countries using data collected by large household surveys.","DOI":"10.1371/journal.pmed.1001390","ISSN":"1549-1676","title-short":"Measuring Coverage in MNCH","journalAbbreviation":"PLOS Medicine","language":"en","author":[{"family":"Barros","given":"Aluísio J. D."},{"family":"Victora","given":"Cesar G."}],"issued":{"date-parts":[["2013",5,7]]}}}],"schema":"https://github.com/citation-style-language/schema/raw/master/csl-citation.json"} </w:instrText>
      </w:r>
      <w:r w:rsidRPr="000D5855">
        <w:fldChar w:fldCharType="separate"/>
      </w:r>
      <w:r w:rsidR="00A94A51" w:rsidRPr="00A94A51">
        <w:rPr>
          <w:rFonts w:ascii="Calibri" w:hAnsi="Calibri" w:cs="Calibri"/>
          <w:lang w:val="en-US"/>
        </w:rPr>
        <w:t>(1)</w:t>
      </w:r>
      <w:r w:rsidRPr="000D5855">
        <w:fldChar w:fldCharType="end"/>
      </w:r>
      <w:r w:rsidRPr="000D5855">
        <w:rPr>
          <w:rStyle w:val="tlid-translation"/>
          <w:lang w:val="en-US"/>
        </w:rPr>
        <w:t>. All measures were calculated with the 95% confidence interval and were multiplied by 100 for easy interpretation.</w:t>
      </w:r>
    </w:p>
    <w:p w14:paraId="60468D76" w14:textId="77777777" w:rsidR="000D5855" w:rsidRPr="000D5855" w:rsidRDefault="000D5855" w:rsidP="000D5855">
      <w:pPr>
        <w:spacing w:after="100" w:afterAutospacing="1" w:line="360" w:lineRule="auto"/>
        <w:jc w:val="both"/>
        <w:rPr>
          <w:rStyle w:val="tlid-translation"/>
          <w:lang w:val="en-US"/>
        </w:rPr>
      </w:pPr>
      <w:r w:rsidRPr="000D5855">
        <w:rPr>
          <w:rStyle w:val="tlid-translation"/>
          <w:lang w:val="en-US"/>
        </w:rPr>
        <w:t xml:space="preserve">In 2012, median coverage of interventions was 79%, and for most of the interventions the interquartile range was 69% to 87%. Between RMNCH interventions, </w:t>
      </w:r>
      <w:r w:rsidRPr="000D5855">
        <w:rPr>
          <w:rStyle w:val="tlid-translation"/>
          <w:i/>
          <w:iCs/>
          <w:lang w:val="en-US"/>
        </w:rPr>
        <w:t xml:space="preserve">the ratio Q5:Q1 for Antenatal care 4+ visits and institutional delivery was 1.3, that means </w:t>
      </w:r>
      <w:r w:rsidRPr="000D5855">
        <w:rPr>
          <w:rStyle w:val="tlid-translation"/>
          <w:lang w:val="en-US"/>
        </w:rPr>
        <w:t xml:space="preserve">rich people had 1.3 times greater coverage than the poorest (CIX 5.1; 95%; CI 4.6-5.7% and CIX 6.7; 95%; CI 6.3-7.2%, respectively). </w:t>
      </w:r>
      <w:r w:rsidRPr="000D5855">
        <w:rPr>
          <w:rStyle w:val="tlid-translation"/>
          <w:i/>
          <w:iCs/>
          <w:lang w:val="en-US"/>
        </w:rPr>
        <w:t xml:space="preserve"> Early initiation of breastfeeding</w:t>
      </w:r>
      <w:r w:rsidRPr="000D5855">
        <w:rPr>
          <w:rStyle w:val="tlid-translation"/>
          <w:lang w:val="en-US"/>
        </w:rPr>
        <w:t xml:space="preserve"> showed significant inequality favoring the poorest quintiles (CIX -4.5; 95%; CI -6.0- -3.1%). (see Table 1).</w:t>
      </w:r>
    </w:p>
    <w:p w14:paraId="0DADE214" w14:textId="77777777" w:rsidR="000D5855" w:rsidRPr="000D5855" w:rsidRDefault="000D5855" w:rsidP="000D5855">
      <w:pPr>
        <w:spacing w:line="360" w:lineRule="auto"/>
        <w:jc w:val="both"/>
        <w:rPr>
          <w:rFonts w:eastAsia="Times New Roman" w:cstheme="minorHAnsi"/>
          <w:lang w:val="en-US" w:eastAsia="de-DE"/>
        </w:rPr>
      </w:pPr>
      <w:r w:rsidRPr="000D5855">
        <w:rPr>
          <w:rFonts w:eastAsia="Times New Roman" w:cstheme="minorHAnsi"/>
          <w:lang w:val="en-US" w:eastAsia="de-DE"/>
        </w:rPr>
        <w:t xml:space="preserve">The greatest inequality was observed in WAS interventions. </w:t>
      </w:r>
      <w:r w:rsidRPr="000D5855">
        <w:rPr>
          <w:rStyle w:val="jlqj4b"/>
          <w:i/>
          <w:iCs/>
          <w:lang w:val="en-US"/>
        </w:rPr>
        <w:t>Improved sanitary facilities</w:t>
      </w:r>
      <w:r w:rsidRPr="000D5855">
        <w:rPr>
          <w:rStyle w:val="jlqj4b"/>
          <w:lang w:val="en-US"/>
        </w:rPr>
        <w:t xml:space="preserve"> and </w:t>
      </w:r>
      <w:r w:rsidRPr="000D5855">
        <w:rPr>
          <w:rStyle w:val="jlqj4b"/>
          <w:i/>
          <w:iCs/>
          <w:lang w:val="en-US"/>
        </w:rPr>
        <w:t>drinking water sources</w:t>
      </w:r>
      <w:r w:rsidRPr="000D5855">
        <w:rPr>
          <w:rStyle w:val="jlqj4b"/>
          <w:lang w:val="en-US"/>
        </w:rPr>
        <w:t xml:space="preserve"> had average coverage levels of 78.8% and 85.6% respectively, but when disaggregating the information by wealth quintiles, </w:t>
      </w:r>
      <w:r w:rsidRPr="000D5855">
        <w:rPr>
          <w:rStyle w:val="tlid-translation"/>
          <w:lang w:val="en-US"/>
        </w:rPr>
        <w:t>only around 50% of the poorest quintile had coverage</w:t>
      </w:r>
      <w:r w:rsidRPr="000D5855">
        <w:rPr>
          <w:rStyle w:val="jlqj4b"/>
          <w:lang w:val="en-US"/>
        </w:rPr>
        <w:t>, indicating a wide gap between rich and poor.</w:t>
      </w:r>
      <w:r w:rsidRPr="000D5855">
        <w:rPr>
          <w:rFonts w:eastAsia="Times New Roman" w:cstheme="minorHAnsi"/>
          <w:lang w:val="en-US" w:eastAsia="de-DE"/>
        </w:rPr>
        <w:t xml:space="preserve">  </w:t>
      </w:r>
    </w:p>
    <w:p w14:paraId="673AD4BE" w14:textId="1D6DE58E" w:rsidR="00F37910" w:rsidRPr="000D5855" w:rsidRDefault="000D5855" w:rsidP="000D5855">
      <w:pPr>
        <w:spacing w:line="360" w:lineRule="auto"/>
        <w:rPr>
          <w:rFonts w:ascii="Times New Roman" w:hAnsi="Times New Roman" w:cs="Times New Roman"/>
          <w:lang w:eastAsia="de-DE"/>
        </w:rPr>
      </w:pPr>
      <w:r w:rsidRPr="000D5855">
        <w:rPr>
          <w:rFonts w:eastAsia="Times New Roman" w:cstheme="minorHAnsi"/>
          <w:lang w:val="en-US" w:eastAsia="de-DE"/>
        </w:rPr>
        <w:t xml:space="preserve">In 2012, </w:t>
      </w:r>
      <w:r w:rsidRPr="000D5855">
        <w:rPr>
          <w:rStyle w:val="tlid-translation"/>
          <w:lang w:val="en-US"/>
        </w:rPr>
        <w:t xml:space="preserve">the ratio Q5:Q1 of </w:t>
      </w:r>
      <w:r w:rsidRPr="000D5855">
        <w:rPr>
          <w:rStyle w:val="tlid-translation"/>
          <w:i/>
          <w:iCs/>
          <w:lang w:val="en-US"/>
        </w:rPr>
        <w:t>improved sanitary facilities</w:t>
      </w:r>
      <w:r w:rsidRPr="000D5855">
        <w:rPr>
          <w:rStyle w:val="tlid-translation"/>
          <w:lang w:val="en-US"/>
        </w:rPr>
        <w:t xml:space="preserve"> was 2.4, that means individual whose incomes were in the highest quintile had 99.1% of coverage while the poorest quintile had 44% or in other words, rich people had 2.4 times greater coverage in improved sanitary facilities than the poorest (CIX 14.9; 95%; CI 13.8-16.0%). Similar results were observed for the </w:t>
      </w:r>
      <w:r w:rsidRPr="000D5855">
        <w:rPr>
          <w:rStyle w:val="tlid-translation"/>
          <w:i/>
          <w:iCs/>
          <w:lang w:val="en-US"/>
        </w:rPr>
        <w:t>improved drinking water</w:t>
      </w:r>
      <w:r w:rsidRPr="000D5855">
        <w:rPr>
          <w:rStyle w:val="tlid-translation"/>
          <w:lang w:val="en-US"/>
        </w:rPr>
        <w:t xml:space="preserve"> indicator where coverage was 2.0 times greater in the wealthiest quintile.</w:t>
      </w:r>
      <w:r w:rsidRPr="000D5855">
        <w:rPr>
          <w:lang w:val="en-US"/>
        </w:rPr>
        <w:t xml:space="preserve"> </w:t>
      </w:r>
      <w:r w:rsidRPr="000D5855">
        <w:rPr>
          <w:rStyle w:val="tlid-translation"/>
          <w:lang w:val="en-US"/>
        </w:rPr>
        <w:t xml:space="preserve">Complex measures (SII and CIX), which take into account the values of intermediate quintiles, showed larger, significant magnitudes of inequality than simple measures (which are calculated using just the extreme quintiles for all indicators) in all indicators except </w:t>
      </w:r>
      <w:r w:rsidRPr="000D5855">
        <w:rPr>
          <w:rStyle w:val="tlid-translation"/>
          <w:i/>
          <w:iCs/>
          <w:lang w:val="en-US"/>
        </w:rPr>
        <w:t>for full immunization coverage</w:t>
      </w:r>
      <w:r w:rsidRPr="000D5855">
        <w:rPr>
          <w:rStyle w:val="tlid-translation"/>
          <w:lang w:val="en-US"/>
        </w:rPr>
        <w:t xml:space="preserve">. (see Table </w:t>
      </w:r>
      <w:r>
        <w:rPr>
          <w:rFonts w:ascii="Times New Roman" w:hAnsi="Times New Roman" w:cs="Times New Roman"/>
          <w:lang w:eastAsia="de-DE"/>
        </w:rPr>
        <w:t>1)</w:t>
      </w:r>
      <w:r w:rsidR="00F37910" w:rsidRPr="000D5855">
        <w:rPr>
          <w:rFonts w:cstheme="minorHAnsi"/>
          <w:i/>
          <w:iCs/>
          <w:lang w:val="en-US"/>
        </w:rPr>
        <w:t xml:space="preserve"> </w:t>
      </w:r>
    </w:p>
    <w:p w14:paraId="5E6F88DE" w14:textId="77777777" w:rsidR="000D5855" w:rsidRPr="000D5855" w:rsidRDefault="000D5855" w:rsidP="000D5855">
      <w:pPr>
        <w:spacing w:line="360" w:lineRule="auto"/>
        <w:rPr>
          <w:rFonts w:cstheme="minorHAnsi"/>
          <w:i/>
          <w:iCs/>
          <w:lang w:val="en-US"/>
        </w:rPr>
        <w:sectPr w:rsidR="000D5855" w:rsidRPr="000D5855">
          <w:pgSz w:w="11906" w:h="16838"/>
          <w:pgMar w:top="1417" w:right="1417" w:bottom="1134" w:left="1417" w:header="708" w:footer="708" w:gutter="0"/>
          <w:cols w:space="708"/>
          <w:docGrid w:linePitch="360"/>
        </w:sectPr>
      </w:pPr>
    </w:p>
    <w:p w14:paraId="6C5DA8BC" w14:textId="601F127B" w:rsidR="00212F97" w:rsidRPr="000D5855" w:rsidRDefault="00212F97" w:rsidP="000D5855">
      <w:pPr>
        <w:spacing w:line="360" w:lineRule="auto"/>
        <w:jc w:val="both"/>
        <w:rPr>
          <w:rFonts w:cstheme="minorHAnsi"/>
          <w:b/>
          <w:bCs/>
          <w:lang w:val="en-US"/>
        </w:rPr>
      </w:pPr>
      <w:r w:rsidRPr="000D5855">
        <w:rPr>
          <w:rFonts w:cstheme="minorHAnsi"/>
          <w:b/>
          <w:bCs/>
          <w:lang w:val="en-US"/>
        </w:rPr>
        <w:lastRenderedPageBreak/>
        <w:t>Supplementary annex 2:</w:t>
      </w:r>
    </w:p>
    <w:tbl>
      <w:tblPr>
        <w:tblW w:w="4890" w:type="pct"/>
        <w:tblLayout w:type="fixed"/>
        <w:tblCellMar>
          <w:left w:w="70" w:type="dxa"/>
          <w:right w:w="70" w:type="dxa"/>
        </w:tblCellMar>
        <w:tblLook w:val="04A0" w:firstRow="1" w:lastRow="0" w:firstColumn="1" w:lastColumn="0" w:noHBand="0" w:noVBand="1"/>
      </w:tblPr>
      <w:tblGrid>
        <w:gridCol w:w="1908"/>
        <w:gridCol w:w="449"/>
        <w:gridCol w:w="189"/>
        <w:gridCol w:w="439"/>
        <w:gridCol w:w="190"/>
        <w:gridCol w:w="439"/>
        <w:gridCol w:w="190"/>
        <w:gridCol w:w="442"/>
        <w:gridCol w:w="190"/>
        <w:gridCol w:w="439"/>
        <w:gridCol w:w="190"/>
        <w:gridCol w:w="439"/>
        <w:gridCol w:w="190"/>
        <w:gridCol w:w="428"/>
        <w:gridCol w:w="190"/>
        <w:gridCol w:w="425"/>
        <w:gridCol w:w="190"/>
        <w:gridCol w:w="425"/>
        <w:gridCol w:w="190"/>
        <w:gridCol w:w="475"/>
        <w:gridCol w:w="190"/>
        <w:gridCol w:w="472"/>
        <w:gridCol w:w="190"/>
        <w:gridCol w:w="249"/>
        <w:gridCol w:w="224"/>
        <w:gridCol w:w="115"/>
        <w:gridCol w:w="75"/>
        <w:gridCol w:w="478"/>
        <w:gridCol w:w="190"/>
        <w:gridCol w:w="472"/>
        <w:gridCol w:w="190"/>
        <w:gridCol w:w="394"/>
        <w:gridCol w:w="78"/>
        <w:gridCol w:w="109"/>
        <w:gridCol w:w="81"/>
        <w:gridCol w:w="587"/>
        <w:gridCol w:w="28"/>
        <w:gridCol w:w="439"/>
        <w:gridCol w:w="190"/>
        <w:gridCol w:w="425"/>
        <w:gridCol w:w="190"/>
        <w:gridCol w:w="338"/>
        <w:gridCol w:w="87"/>
        <w:gridCol w:w="101"/>
        <w:gridCol w:w="64"/>
      </w:tblGrid>
      <w:tr w:rsidR="000D5855" w:rsidRPr="00EA4D88" w14:paraId="15A54B1E" w14:textId="77777777" w:rsidTr="002B4BBA">
        <w:trPr>
          <w:trHeight w:val="288"/>
        </w:trPr>
        <w:tc>
          <w:tcPr>
            <w:tcW w:w="2259" w:type="pct"/>
            <w:gridSpan w:val="15"/>
            <w:tcBorders>
              <w:top w:val="single" w:sz="4" w:space="0" w:color="757171"/>
              <w:left w:val="nil"/>
              <w:bottom w:val="nil"/>
              <w:right w:val="nil"/>
            </w:tcBorders>
            <w:shd w:val="clear" w:color="auto" w:fill="FFFFFF"/>
            <w:noWrap/>
            <w:vAlign w:val="bottom"/>
            <w:hideMark/>
          </w:tcPr>
          <w:p w14:paraId="5C8DD337" w14:textId="77777777" w:rsidR="000D5855" w:rsidRPr="000D5855" w:rsidRDefault="000D5855" w:rsidP="000D5855">
            <w:pPr>
              <w:spacing w:after="0" w:line="360" w:lineRule="auto"/>
              <w:jc w:val="both"/>
              <w:rPr>
                <w:rFonts w:ascii="Calibri" w:eastAsia="Times New Roman" w:hAnsi="Calibri" w:cs="Calibri"/>
                <w:b/>
                <w:bCs/>
                <w:sz w:val="18"/>
                <w:szCs w:val="24"/>
                <w:lang w:val="en-US" w:eastAsia="de-DE"/>
              </w:rPr>
            </w:pPr>
            <w:r w:rsidRPr="000D5855">
              <w:rPr>
                <w:rFonts w:ascii="Calibri" w:eastAsia="Times New Roman" w:hAnsi="Calibri" w:cs="Calibri"/>
                <w:b/>
                <w:bCs/>
                <w:sz w:val="18"/>
                <w:szCs w:val="24"/>
                <w:lang w:val="en-US" w:eastAsia="de-DE"/>
              </w:rPr>
              <w:t xml:space="preserve">Table 1. </w:t>
            </w:r>
            <w:r w:rsidRPr="000D5855">
              <w:rPr>
                <w:rFonts w:ascii="Calibri" w:eastAsia="Times New Roman" w:hAnsi="Calibri" w:cs="Calibri"/>
                <w:b/>
                <w:bCs/>
                <w:color w:val="000000"/>
                <w:sz w:val="18"/>
                <w:szCs w:val="24"/>
                <w:lang w:val="en-US" w:eastAsia="de-DE"/>
              </w:rPr>
              <w:t>Coverage and magnitude of inequalities by intervention in Ecuador 2012</w:t>
            </w:r>
          </w:p>
        </w:tc>
        <w:tc>
          <w:tcPr>
            <w:tcW w:w="152" w:type="pct"/>
            <w:tcBorders>
              <w:top w:val="single" w:sz="4" w:space="0" w:color="757171"/>
              <w:left w:val="nil"/>
              <w:bottom w:val="nil"/>
              <w:right w:val="nil"/>
            </w:tcBorders>
            <w:shd w:val="clear" w:color="auto" w:fill="FFFFFF"/>
            <w:noWrap/>
            <w:vAlign w:val="bottom"/>
            <w:hideMark/>
          </w:tcPr>
          <w:p w14:paraId="47ECBB13"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5FD1966D"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52" w:type="pct"/>
            <w:tcBorders>
              <w:top w:val="single" w:sz="4" w:space="0" w:color="757171"/>
              <w:left w:val="nil"/>
              <w:bottom w:val="nil"/>
              <w:right w:val="nil"/>
            </w:tcBorders>
            <w:shd w:val="clear" w:color="auto" w:fill="FFFFFF"/>
            <w:noWrap/>
            <w:vAlign w:val="bottom"/>
            <w:hideMark/>
          </w:tcPr>
          <w:p w14:paraId="0684BB3A"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2D0F5B91"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70" w:type="pct"/>
            <w:tcBorders>
              <w:top w:val="single" w:sz="4" w:space="0" w:color="757171"/>
              <w:left w:val="nil"/>
              <w:bottom w:val="nil"/>
              <w:right w:val="nil"/>
            </w:tcBorders>
            <w:shd w:val="clear" w:color="auto" w:fill="FFFFFF"/>
            <w:noWrap/>
            <w:vAlign w:val="bottom"/>
            <w:hideMark/>
          </w:tcPr>
          <w:p w14:paraId="413885B2" w14:textId="77777777" w:rsidR="000D5855" w:rsidRPr="000D5855" w:rsidRDefault="000D5855" w:rsidP="000D5855">
            <w:pPr>
              <w:spacing w:after="0" w:line="360" w:lineRule="auto"/>
              <w:jc w:val="both"/>
              <w:rPr>
                <w:rFonts w:ascii="Calibri" w:eastAsia="Times New Roman" w:hAnsi="Calibri" w:cs="Calibri"/>
                <w:b/>
                <w:bCs/>
                <w:sz w:val="18"/>
                <w:szCs w:val="24"/>
                <w:lang w:val="en-US" w:eastAsia="de-DE"/>
              </w:rPr>
            </w:pPr>
            <w:r w:rsidRPr="000D5855">
              <w:rPr>
                <w:rFonts w:ascii="Calibri" w:eastAsia="Times New Roman" w:hAnsi="Calibri" w:cs="Calibri"/>
                <w:b/>
                <w:bCs/>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306DC419"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69" w:type="pct"/>
            <w:tcBorders>
              <w:top w:val="single" w:sz="4" w:space="0" w:color="757171"/>
              <w:left w:val="nil"/>
              <w:bottom w:val="nil"/>
              <w:right w:val="nil"/>
            </w:tcBorders>
            <w:shd w:val="clear" w:color="auto" w:fill="FFFFFF"/>
            <w:noWrap/>
            <w:vAlign w:val="bottom"/>
            <w:hideMark/>
          </w:tcPr>
          <w:p w14:paraId="7E08C307"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312EDC7A"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69" w:type="pct"/>
            <w:gridSpan w:val="2"/>
            <w:tcBorders>
              <w:top w:val="single" w:sz="4" w:space="0" w:color="757171"/>
              <w:left w:val="nil"/>
              <w:bottom w:val="nil"/>
              <w:right w:val="nil"/>
            </w:tcBorders>
            <w:shd w:val="clear" w:color="auto" w:fill="FFFFFF"/>
            <w:noWrap/>
            <w:vAlign w:val="bottom"/>
            <w:hideMark/>
          </w:tcPr>
          <w:p w14:paraId="6DCD14C0"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68" w:type="pct"/>
            <w:gridSpan w:val="2"/>
            <w:tcBorders>
              <w:top w:val="single" w:sz="4" w:space="0" w:color="757171"/>
              <w:left w:val="nil"/>
              <w:bottom w:val="nil"/>
              <w:right w:val="nil"/>
            </w:tcBorders>
            <w:shd w:val="clear" w:color="auto" w:fill="FFFFFF"/>
            <w:noWrap/>
            <w:vAlign w:val="bottom"/>
            <w:hideMark/>
          </w:tcPr>
          <w:p w14:paraId="6FA2012F"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71" w:type="pct"/>
            <w:tcBorders>
              <w:top w:val="single" w:sz="4" w:space="0" w:color="757171"/>
              <w:left w:val="nil"/>
              <w:bottom w:val="nil"/>
              <w:right w:val="nil"/>
            </w:tcBorders>
            <w:shd w:val="clear" w:color="auto" w:fill="FFFFFF"/>
            <w:noWrap/>
            <w:vAlign w:val="bottom"/>
            <w:hideMark/>
          </w:tcPr>
          <w:p w14:paraId="35145698" w14:textId="77777777" w:rsidR="000D5855" w:rsidRPr="000D5855" w:rsidRDefault="000D5855" w:rsidP="000D5855">
            <w:pPr>
              <w:spacing w:after="0" w:line="360" w:lineRule="auto"/>
              <w:jc w:val="both"/>
              <w:rPr>
                <w:rFonts w:ascii="Calibri" w:eastAsia="Times New Roman" w:hAnsi="Calibri" w:cs="Calibri"/>
                <w:b/>
                <w:bCs/>
                <w:sz w:val="18"/>
                <w:szCs w:val="24"/>
                <w:lang w:val="en-US" w:eastAsia="de-DE"/>
              </w:rPr>
            </w:pPr>
            <w:r w:rsidRPr="000D5855">
              <w:rPr>
                <w:rFonts w:ascii="Calibri" w:eastAsia="Times New Roman" w:hAnsi="Calibri" w:cs="Calibri"/>
                <w:b/>
                <w:bCs/>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684ADC0F"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69" w:type="pct"/>
            <w:tcBorders>
              <w:top w:val="single" w:sz="4" w:space="0" w:color="757171"/>
              <w:left w:val="nil"/>
              <w:bottom w:val="nil"/>
              <w:right w:val="nil"/>
            </w:tcBorders>
            <w:shd w:val="clear" w:color="auto" w:fill="FFFFFF"/>
            <w:noWrap/>
            <w:vAlign w:val="bottom"/>
            <w:hideMark/>
          </w:tcPr>
          <w:p w14:paraId="1AE9194C"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7B7C3705"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69" w:type="pct"/>
            <w:gridSpan w:val="2"/>
            <w:tcBorders>
              <w:top w:val="single" w:sz="4" w:space="0" w:color="757171"/>
              <w:left w:val="nil"/>
              <w:bottom w:val="nil"/>
              <w:right w:val="nil"/>
            </w:tcBorders>
            <w:shd w:val="clear" w:color="auto" w:fill="FFFFFF"/>
            <w:noWrap/>
            <w:vAlign w:val="bottom"/>
            <w:hideMark/>
          </w:tcPr>
          <w:p w14:paraId="6757C6C8"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68" w:type="pct"/>
            <w:gridSpan w:val="2"/>
            <w:tcBorders>
              <w:top w:val="single" w:sz="4" w:space="0" w:color="757171"/>
              <w:left w:val="nil"/>
              <w:bottom w:val="nil"/>
              <w:right w:val="nil"/>
            </w:tcBorders>
            <w:shd w:val="clear" w:color="auto" w:fill="FFFFFF"/>
            <w:noWrap/>
            <w:vAlign w:val="bottom"/>
            <w:hideMark/>
          </w:tcPr>
          <w:p w14:paraId="2D71CC2F"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220" w:type="pct"/>
            <w:gridSpan w:val="2"/>
            <w:tcBorders>
              <w:top w:val="single" w:sz="4" w:space="0" w:color="757171"/>
              <w:left w:val="nil"/>
              <w:bottom w:val="nil"/>
              <w:right w:val="nil"/>
            </w:tcBorders>
            <w:shd w:val="clear" w:color="auto" w:fill="FFFFFF"/>
            <w:noWrap/>
            <w:vAlign w:val="bottom"/>
            <w:hideMark/>
          </w:tcPr>
          <w:p w14:paraId="01B305A3" w14:textId="77777777" w:rsidR="000D5855" w:rsidRPr="000D5855" w:rsidRDefault="000D5855" w:rsidP="000D5855">
            <w:pPr>
              <w:spacing w:after="0" w:line="360" w:lineRule="auto"/>
              <w:jc w:val="both"/>
              <w:rPr>
                <w:rFonts w:ascii="Calibri" w:eastAsia="Times New Roman" w:hAnsi="Calibri" w:cs="Calibri"/>
                <w:b/>
                <w:bCs/>
                <w:sz w:val="18"/>
                <w:szCs w:val="24"/>
                <w:lang w:val="en-US" w:eastAsia="de-DE"/>
              </w:rPr>
            </w:pPr>
            <w:r w:rsidRPr="000D5855">
              <w:rPr>
                <w:rFonts w:ascii="Calibri" w:eastAsia="Times New Roman" w:hAnsi="Calibri" w:cs="Calibri"/>
                <w:b/>
                <w:bCs/>
                <w:sz w:val="18"/>
                <w:szCs w:val="24"/>
                <w:lang w:val="en-US" w:eastAsia="de-DE"/>
              </w:rPr>
              <w:t> </w:t>
            </w:r>
          </w:p>
        </w:tc>
        <w:tc>
          <w:tcPr>
            <w:tcW w:w="157" w:type="pct"/>
            <w:tcBorders>
              <w:top w:val="single" w:sz="4" w:space="0" w:color="757171"/>
              <w:left w:val="nil"/>
              <w:bottom w:val="nil"/>
              <w:right w:val="nil"/>
            </w:tcBorders>
            <w:shd w:val="clear" w:color="auto" w:fill="FFFFFF"/>
            <w:noWrap/>
            <w:vAlign w:val="bottom"/>
            <w:hideMark/>
          </w:tcPr>
          <w:p w14:paraId="4BEBFA88" w14:textId="77777777" w:rsidR="000D5855" w:rsidRPr="000D5855" w:rsidRDefault="000D5855" w:rsidP="000D5855">
            <w:pPr>
              <w:spacing w:after="0" w:line="360" w:lineRule="auto"/>
              <w:jc w:val="both"/>
              <w:rPr>
                <w:rFonts w:ascii="Calibri" w:eastAsia="Times New Roman" w:hAnsi="Calibri" w:cs="Calibri"/>
                <w:b/>
                <w:bCs/>
                <w:sz w:val="18"/>
                <w:szCs w:val="24"/>
                <w:lang w:val="en-US" w:eastAsia="de-DE"/>
              </w:rPr>
            </w:pPr>
            <w:r w:rsidRPr="000D5855">
              <w:rPr>
                <w:rFonts w:ascii="Calibri" w:eastAsia="Times New Roman" w:hAnsi="Calibri" w:cs="Calibri"/>
                <w:b/>
                <w:bCs/>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36F715B7"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52" w:type="pct"/>
            <w:tcBorders>
              <w:top w:val="single" w:sz="4" w:space="0" w:color="757171"/>
              <w:left w:val="nil"/>
              <w:bottom w:val="nil"/>
              <w:right w:val="nil"/>
            </w:tcBorders>
            <w:shd w:val="clear" w:color="auto" w:fill="FFFFFF"/>
            <w:noWrap/>
            <w:vAlign w:val="bottom"/>
            <w:hideMark/>
          </w:tcPr>
          <w:p w14:paraId="4008E3F3"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68" w:type="pct"/>
            <w:tcBorders>
              <w:top w:val="single" w:sz="4" w:space="0" w:color="757171"/>
              <w:left w:val="nil"/>
              <w:bottom w:val="nil"/>
              <w:right w:val="nil"/>
            </w:tcBorders>
            <w:shd w:val="clear" w:color="auto" w:fill="FFFFFF"/>
            <w:noWrap/>
            <w:vAlign w:val="bottom"/>
            <w:hideMark/>
          </w:tcPr>
          <w:p w14:paraId="301DAC48"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152" w:type="pct"/>
            <w:gridSpan w:val="2"/>
            <w:tcBorders>
              <w:top w:val="single" w:sz="4" w:space="0" w:color="757171"/>
              <w:left w:val="nil"/>
              <w:bottom w:val="nil"/>
              <w:right w:val="nil"/>
            </w:tcBorders>
            <w:shd w:val="clear" w:color="auto" w:fill="FFFFFF"/>
            <w:noWrap/>
            <w:vAlign w:val="bottom"/>
            <w:hideMark/>
          </w:tcPr>
          <w:p w14:paraId="7D67192C"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c>
          <w:tcPr>
            <w:tcW w:w="59" w:type="pct"/>
            <w:gridSpan w:val="2"/>
            <w:tcBorders>
              <w:top w:val="single" w:sz="4" w:space="0" w:color="757171"/>
              <w:left w:val="nil"/>
              <w:bottom w:val="nil"/>
              <w:right w:val="nil"/>
            </w:tcBorders>
            <w:shd w:val="clear" w:color="auto" w:fill="FFFFFF"/>
            <w:noWrap/>
            <w:vAlign w:val="bottom"/>
            <w:hideMark/>
          </w:tcPr>
          <w:p w14:paraId="773DB713" w14:textId="77777777" w:rsidR="000D5855" w:rsidRPr="000D5855" w:rsidRDefault="000D5855" w:rsidP="000D5855">
            <w:pPr>
              <w:spacing w:after="0" w:line="360" w:lineRule="auto"/>
              <w:jc w:val="both"/>
              <w:rPr>
                <w:rFonts w:ascii="Calibri" w:eastAsia="Times New Roman" w:hAnsi="Calibri" w:cs="Calibri"/>
                <w:sz w:val="18"/>
                <w:szCs w:val="24"/>
                <w:lang w:val="en-US" w:eastAsia="de-DE"/>
              </w:rPr>
            </w:pPr>
            <w:r w:rsidRPr="000D5855">
              <w:rPr>
                <w:rFonts w:ascii="Calibri" w:eastAsia="Times New Roman" w:hAnsi="Calibri" w:cs="Calibri"/>
                <w:sz w:val="18"/>
                <w:szCs w:val="24"/>
                <w:lang w:val="en-US" w:eastAsia="de-DE"/>
              </w:rPr>
              <w:t> </w:t>
            </w:r>
          </w:p>
        </w:tc>
      </w:tr>
      <w:tr w:rsidR="000D5855" w:rsidRPr="000D5855" w14:paraId="2B2E0979" w14:textId="77777777" w:rsidTr="002B4BBA">
        <w:trPr>
          <w:gridAfter w:val="1"/>
          <w:wAfter w:w="23" w:type="pct"/>
          <w:trHeight w:val="542"/>
        </w:trPr>
        <w:tc>
          <w:tcPr>
            <w:tcW w:w="683" w:type="pct"/>
            <w:tcBorders>
              <w:top w:val="single" w:sz="4" w:space="0" w:color="757171"/>
              <w:left w:val="nil"/>
              <w:bottom w:val="single" w:sz="8" w:space="0" w:color="757171"/>
              <w:right w:val="nil"/>
            </w:tcBorders>
            <w:noWrap/>
            <w:vAlign w:val="bottom"/>
            <w:hideMark/>
          </w:tcPr>
          <w:p w14:paraId="013F7114"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Intervention</w:t>
            </w:r>
          </w:p>
        </w:tc>
        <w:tc>
          <w:tcPr>
            <w:tcW w:w="610" w:type="pct"/>
            <w:gridSpan w:val="5"/>
            <w:tcBorders>
              <w:top w:val="single" w:sz="4" w:space="0" w:color="757171"/>
              <w:left w:val="nil"/>
              <w:bottom w:val="single" w:sz="8" w:space="0" w:color="757171"/>
              <w:right w:val="nil"/>
            </w:tcBorders>
            <w:shd w:val="clear" w:color="auto" w:fill="FFFFFF"/>
            <w:vAlign w:val="bottom"/>
            <w:hideMark/>
          </w:tcPr>
          <w:p w14:paraId="79E1C210"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 xml:space="preserve">Overall </w:t>
            </w:r>
            <w:r w:rsidRPr="000D5855">
              <w:rPr>
                <w:rFonts w:ascii="Calibri" w:eastAsia="Times New Roman" w:hAnsi="Calibri" w:cs="Calibri"/>
                <w:b/>
                <w:bCs/>
                <w:sz w:val="16"/>
                <w:lang w:eastAsia="de-DE"/>
              </w:rPr>
              <w:br/>
              <w:t>Coverage % (CI 95%)</w:t>
            </w:r>
          </w:p>
        </w:tc>
        <w:tc>
          <w:tcPr>
            <w:tcW w:w="68" w:type="pct"/>
            <w:tcBorders>
              <w:top w:val="single" w:sz="4" w:space="0" w:color="757171"/>
              <w:left w:val="nil"/>
              <w:bottom w:val="single" w:sz="8" w:space="0" w:color="757171"/>
              <w:right w:val="nil"/>
            </w:tcBorders>
            <w:shd w:val="clear" w:color="auto" w:fill="FFFFFF"/>
            <w:noWrap/>
            <w:vAlign w:val="bottom"/>
            <w:hideMark/>
          </w:tcPr>
          <w:p w14:paraId="64DEC9AF"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 </w:t>
            </w:r>
          </w:p>
        </w:tc>
        <w:tc>
          <w:tcPr>
            <w:tcW w:w="608" w:type="pct"/>
            <w:gridSpan w:val="5"/>
            <w:tcBorders>
              <w:top w:val="single" w:sz="4" w:space="0" w:color="757171"/>
              <w:left w:val="nil"/>
              <w:bottom w:val="single" w:sz="8" w:space="0" w:color="757171"/>
              <w:right w:val="nil"/>
            </w:tcBorders>
            <w:shd w:val="clear" w:color="auto" w:fill="FFFFFF"/>
            <w:vAlign w:val="bottom"/>
            <w:hideMark/>
          </w:tcPr>
          <w:p w14:paraId="51EC3D47"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 xml:space="preserve">Quintile 1               </w:t>
            </w:r>
            <w:r w:rsidRPr="000D5855">
              <w:rPr>
                <w:rFonts w:ascii="Calibri" w:eastAsia="Times New Roman" w:hAnsi="Calibri" w:cs="Calibri"/>
                <w:b/>
                <w:bCs/>
                <w:sz w:val="16"/>
                <w:lang w:eastAsia="de-DE"/>
              </w:rPr>
              <w:br/>
              <w:t>Coverage % (CI 95%)</w:t>
            </w:r>
          </w:p>
        </w:tc>
        <w:tc>
          <w:tcPr>
            <w:tcW w:w="68" w:type="pct"/>
            <w:tcBorders>
              <w:top w:val="single" w:sz="4" w:space="0" w:color="757171"/>
              <w:left w:val="nil"/>
              <w:bottom w:val="single" w:sz="8" w:space="0" w:color="757171"/>
              <w:right w:val="nil"/>
            </w:tcBorders>
            <w:shd w:val="clear" w:color="auto" w:fill="FFFFFF"/>
            <w:noWrap/>
            <w:vAlign w:val="bottom"/>
            <w:hideMark/>
          </w:tcPr>
          <w:p w14:paraId="6EF7AC8C"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 </w:t>
            </w:r>
          </w:p>
        </w:tc>
        <w:tc>
          <w:tcPr>
            <w:tcW w:w="593" w:type="pct"/>
            <w:gridSpan w:val="5"/>
            <w:tcBorders>
              <w:top w:val="single" w:sz="4" w:space="0" w:color="757171"/>
              <w:left w:val="nil"/>
              <w:bottom w:val="single" w:sz="8" w:space="0" w:color="757171"/>
              <w:right w:val="nil"/>
            </w:tcBorders>
            <w:shd w:val="clear" w:color="auto" w:fill="FFFFFF"/>
            <w:vAlign w:val="bottom"/>
            <w:hideMark/>
          </w:tcPr>
          <w:p w14:paraId="2EA37C4F"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 xml:space="preserve">Quintile 5 </w:t>
            </w:r>
            <w:r w:rsidRPr="000D5855">
              <w:rPr>
                <w:rFonts w:ascii="Calibri" w:eastAsia="Times New Roman" w:hAnsi="Calibri" w:cs="Calibri"/>
                <w:b/>
                <w:bCs/>
                <w:sz w:val="16"/>
                <w:lang w:eastAsia="de-DE"/>
              </w:rPr>
              <w:br/>
              <w:t>Coverage % (CI 95%)</w:t>
            </w:r>
          </w:p>
        </w:tc>
        <w:tc>
          <w:tcPr>
            <w:tcW w:w="68" w:type="pct"/>
            <w:tcBorders>
              <w:top w:val="single" w:sz="4" w:space="0" w:color="757171"/>
              <w:left w:val="nil"/>
              <w:bottom w:val="single" w:sz="8" w:space="0" w:color="757171"/>
              <w:right w:val="nil"/>
            </w:tcBorders>
            <w:shd w:val="clear" w:color="auto" w:fill="FFFFFF"/>
            <w:noWrap/>
            <w:vAlign w:val="bottom"/>
            <w:hideMark/>
          </w:tcPr>
          <w:p w14:paraId="50E4A981"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 </w:t>
            </w:r>
          </w:p>
        </w:tc>
        <w:tc>
          <w:tcPr>
            <w:tcW w:w="564" w:type="pct"/>
            <w:gridSpan w:val="5"/>
            <w:tcBorders>
              <w:top w:val="single" w:sz="4" w:space="0" w:color="757171"/>
              <w:left w:val="nil"/>
              <w:bottom w:val="single" w:sz="8" w:space="0" w:color="757171"/>
              <w:right w:val="nil"/>
            </w:tcBorders>
            <w:shd w:val="clear" w:color="auto" w:fill="FFFFFF"/>
            <w:vAlign w:val="bottom"/>
            <w:hideMark/>
          </w:tcPr>
          <w:p w14:paraId="6F47ACA7" w14:textId="77777777" w:rsidR="000D5855" w:rsidRPr="000D5855" w:rsidRDefault="000D5855" w:rsidP="000D5855">
            <w:pPr>
              <w:spacing w:after="0" w:line="360" w:lineRule="auto"/>
              <w:rPr>
                <w:rFonts w:ascii="Calibri" w:eastAsia="Times New Roman" w:hAnsi="Calibri" w:cs="Calibri"/>
                <w:b/>
                <w:bCs/>
                <w:sz w:val="16"/>
                <w:szCs w:val="20"/>
                <w:lang w:val="en-US" w:eastAsia="de-DE"/>
              </w:rPr>
            </w:pPr>
            <w:r w:rsidRPr="000D5855">
              <w:rPr>
                <w:rFonts w:ascii="Calibri" w:eastAsia="Times New Roman" w:hAnsi="Calibri" w:cs="Calibri"/>
                <w:b/>
                <w:bCs/>
                <w:sz w:val="16"/>
                <w:szCs w:val="20"/>
                <w:lang w:val="en-US" w:eastAsia="de-DE"/>
              </w:rPr>
              <w:t xml:space="preserve">Difference Q5-Q1   </w:t>
            </w:r>
            <w:r w:rsidRPr="000D5855">
              <w:rPr>
                <w:rFonts w:ascii="Calibri" w:eastAsia="Times New Roman" w:hAnsi="Calibri" w:cs="Calibri"/>
                <w:b/>
                <w:bCs/>
                <w:sz w:val="16"/>
                <w:szCs w:val="20"/>
                <w:lang w:val="en-US" w:eastAsia="de-DE"/>
              </w:rPr>
              <w:br/>
              <w:t>* (CI 95%)</w:t>
            </w:r>
          </w:p>
        </w:tc>
        <w:tc>
          <w:tcPr>
            <w:tcW w:w="121" w:type="pct"/>
            <w:gridSpan w:val="2"/>
            <w:tcBorders>
              <w:top w:val="single" w:sz="4" w:space="0" w:color="757171"/>
              <w:left w:val="nil"/>
              <w:bottom w:val="single" w:sz="8" w:space="0" w:color="757171"/>
              <w:right w:val="nil"/>
            </w:tcBorders>
            <w:shd w:val="clear" w:color="auto" w:fill="FFFFFF"/>
            <w:noWrap/>
            <w:vAlign w:val="bottom"/>
            <w:hideMark/>
          </w:tcPr>
          <w:p w14:paraId="2BB76700" w14:textId="77777777" w:rsidR="000D5855" w:rsidRPr="000D5855" w:rsidRDefault="000D5855" w:rsidP="000D5855">
            <w:pPr>
              <w:spacing w:after="0" w:line="360" w:lineRule="auto"/>
              <w:jc w:val="both"/>
              <w:rPr>
                <w:rFonts w:ascii="Calibri" w:eastAsia="Times New Roman" w:hAnsi="Calibri" w:cs="Calibri"/>
                <w:b/>
                <w:bCs/>
                <w:sz w:val="16"/>
                <w:lang w:val="en-US" w:eastAsia="de-DE"/>
              </w:rPr>
            </w:pPr>
            <w:r w:rsidRPr="000D5855">
              <w:rPr>
                <w:rFonts w:ascii="Calibri" w:eastAsia="Times New Roman" w:hAnsi="Calibri" w:cs="Calibri"/>
                <w:b/>
                <w:bCs/>
                <w:sz w:val="16"/>
                <w:lang w:val="en-US" w:eastAsia="de-DE"/>
              </w:rPr>
              <w:t> </w:t>
            </w:r>
          </w:p>
        </w:tc>
        <w:tc>
          <w:tcPr>
            <w:tcW w:w="644" w:type="pct"/>
            <w:gridSpan w:val="6"/>
            <w:tcBorders>
              <w:top w:val="single" w:sz="4" w:space="0" w:color="757171"/>
              <w:left w:val="nil"/>
              <w:bottom w:val="single" w:sz="8" w:space="0" w:color="757171"/>
              <w:right w:val="nil"/>
            </w:tcBorders>
            <w:shd w:val="clear" w:color="auto" w:fill="FFFFFF"/>
            <w:vAlign w:val="bottom"/>
            <w:hideMark/>
          </w:tcPr>
          <w:p w14:paraId="35F726DE" w14:textId="77777777" w:rsidR="000D5855" w:rsidRPr="000D5855" w:rsidRDefault="000D5855" w:rsidP="000D5855">
            <w:pPr>
              <w:spacing w:after="0" w:line="360" w:lineRule="auto"/>
              <w:jc w:val="both"/>
              <w:rPr>
                <w:rFonts w:ascii="Calibri" w:eastAsia="Times New Roman" w:hAnsi="Calibri" w:cs="Calibri"/>
                <w:b/>
                <w:bCs/>
                <w:sz w:val="16"/>
                <w:szCs w:val="20"/>
                <w:lang w:val="en-US" w:eastAsia="de-DE"/>
              </w:rPr>
            </w:pPr>
            <w:r w:rsidRPr="000D5855">
              <w:rPr>
                <w:rFonts w:ascii="Calibri" w:eastAsia="Times New Roman" w:hAnsi="Calibri" w:cs="Calibri"/>
                <w:b/>
                <w:bCs/>
                <w:sz w:val="16"/>
                <w:szCs w:val="20"/>
                <w:lang w:val="en-US" w:eastAsia="de-DE"/>
              </w:rPr>
              <w:t>Slope Index of Inequality * (CI 95%)</w:t>
            </w:r>
          </w:p>
        </w:tc>
        <w:tc>
          <w:tcPr>
            <w:tcW w:w="67" w:type="pct"/>
            <w:gridSpan w:val="2"/>
            <w:tcBorders>
              <w:top w:val="single" w:sz="4" w:space="0" w:color="757171"/>
              <w:left w:val="nil"/>
              <w:bottom w:val="single" w:sz="8" w:space="0" w:color="757171"/>
              <w:right w:val="nil"/>
            </w:tcBorders>
            <w:shd w:val="clear" w:color="auto" w:fill="FFFFFF"/>
            <w:noWrap/>
            <w:vAlign w:val="bottom"/>
            <w:hideMark/>
          </w:tcPr>
          <w:p w14:paraId="659AF181" w14:textId="77777777" w:rsidR="000D5855" w:rsidRPr="000D5855" w:rsidRDefault="000D5855" w:rsidP="000D5855">
            <w:pPr>
              <w:spacing w:after="0" w:line="360" w:lineRule="auto"/>
              <w:jc w:val="both"/>
              <w:rPr>
                <w:rFonts w:ascii="Calibri" w:eastAsia="Times New Roman" w:hAnsi="Calibri" w:cs="Calibri"/>
                <w:b/>
                <w:bCs/>
                <w:sz w:val="16"/>
                <w:lang w:val="en-US" w:eastAsia="de-DE"/>
              </w:rPr>
            </w:pPr>
            <w:r w:rsidRPr="000D5855">
              <w:rPr>
                <w:rFonts w:ascii="Calibri" w:eastAsia="Times New Roman" w:hAnsi="Calibri" w:cs="Calibri"/>
                <w:b/>
                <w:bCs/>
                <w:sz w:val="16"/>
                <w:lang w:val="en-US" w:eastAsia="de-DE"/>
              </w:rPr>
              <w:t> </w:t>
            </w:r>
          </w:p>
        </w:tc>
        <w:tc>
          <w:tcPr>
            <w:tcW w:w="239" w:type="pct"/>
            <w:gridSpan w:val="2"/>
            <w:tcBorders>
              <w:top w:val="single" w:sz="4" w:space="0" w:color="757171"/>
              <w:left w:val="nil"/>
              <w:bottom w:val="single" w:sz="8" w:space="0" w:color="757171"/>
              <w:right w:val="nil"/>
            </w:tcBorders>
            <w:shd w:val="clear" w:color="auto" w:fill="FFFFFF"/>
            <w:vAlign w:val="bottom"/>
            <w:hideMark/>
          </w:tcPr>
          <w:p w14:paraId="042FE06C" w14:textId="77777777" w:rsidR="000D5855" w:rsidRPr="000D5855" w:rsidRDefault="000D5855" w:rsidP="000D5855">
            <w:pPr>
              <w:spacing w:after="0" w:line="360" w:lineRule="auto"/>
              <w:jc w:val="both"/>
              <w:rPr>
                <w:rFonts w:ascii="Calibri" w:eastAsia="Times New Roman" w:hAnsi="Calibri" w:cs="Calibri"/>
                <w:b/>
                <w:bCs/>
                <w:sz w:val="16"/>
                <w:szCs w:val="20"/>
                <w:lang w:eastAsia="de-DE"/>
              </w:rPr>
            </w:pPr>
            <w:r w:rsidRPr="000D5855">
              <w:rPr>
                <w:rFonts w:ascii="Calibri" w:eastAsia="Times New Roman" w:hAnsi="Calibri" w:cs="Calibri"/>
                <w:b/>
                <w:bCs/>
                <w:sz w:val="16"/>
                <w:szCs w:val="20"/>
                <w:lang w:eastAsia="de-DE"/>
              </w:rPr>
              <w:t>Ratio (Q5:Q1)</w:t>
            </w:r>
          </w:p>
        </w:tc>
        <w:tc>
          <w:tcPr>
            <w:tcW w:w="576" w:type="pct"/>
            <w:gridSpan w:val="6"/>
            <w:tcBorders>
              <w:top w:val="single" w:sz="4" w:space="0" w:color="757171"/>
              <w:left w:val="nil"/>
              <w:bottom w:val="single" w:sz="8" w:space="0" w:color="757171"/>
              <w:right w:val="nil"/>
            </w:tcBorders>
            <w:shd w:val="clear" w:color="auto" w:fill="FFFFFF"/>
            <w:vAlign w:val="bottom"/>
            <w:hideMark/>
          </w:tcPr>
          <w:p w14:paraId="3BC13AB2" w14:textId="77777777" w:rsidR="000D5855" w:rsidRPr="000D5855" w:rsidRDefault="000D5855" w:rsidP="000D5855">
            <w:pPr>
              <w:spacing w:after="0" w:line="360" w:lineRule="auto"/>
              <w:rPr>
                <w:rFonts w:ascii="Calibri" w:eastAsia="Times New Roman" w:hAnsi="Calibri" w:cs="Calibri"/>
                <w:b/>
                <w:bCs/>
                <w:sz w:val="16"/>
                <w:szCs w:val="20"/>
                <w:lang w:eastAsia="de-DE"/>
              </w:rPr>
            </w:pPr>
            <w:r w:rsidRPr="000D5855">
              <w:rPr>
                <w:rFonts w:ascii="Calibri" w:eastAsia="Times New Roman" w:hAnsi="Calibri" w:cs="Calibri"/>
                <w:b/>
                <w:bCs/>
                <w:sz w:val="16"/>
                <w:szCs w:val="20"/>
                <w:lang w:eastAsia="de-DE"/>
              </w:rPr>
              <w:t xml:space="preserve">Concentration Index </w:t>
            </w:r>
            <w:r w:rsidRPr="000D5855">
              <w:rPr>
                <w:rFonts w:ascii="Calibri" w:eastAsia="Times New Roman" w:hAnsi="Calibri" w:cs="Calibri"/>
                <w:b/>
                <w:bCs/>
                <w:sz w:val="16"/>
                <w:szCs w:val="20"/>
                <w:lang w:eastAsia="de-DE"/>
              </w:rPr>
              <w:br/>
              <w:t>x100 (CI95%)</w:t>
            </w:r>
          </w:p>
        </w:tc>
        <w:tc>
          <w:tcPr>
            <w:tcW w:w="67" w:type="pct"/>
            <w:gridSpan w:val="2"/>
            <w:tcBorders>
              <w:top w:val="single" w:sz="4" w:space="0" w:color="757171"/>
              <w:left w:val="nil"/>
              <w:bottom w:val="single" w:sz="8" w:space="0" w:color="757171"/>
              <w:right w:val="nil"/>
            </w:tcBorders>
            <w:shd w:val="clear" w:color="auto" w:fill="FFFFFF"/>
            <w:noWrap/>
            <w:vAlign w:val="bottom"/>
            <w:hideMark/>
          </w:tcPr>
          <w:p w14:paraId="7EF57FA0"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 </w:t>
            </w:r>
          </w:p>
        </w:tc>
      </w:tr>
      <w:tr w:rsidR="00EA4D88" w:rsidRPr="000D5855" w14:paraId="4FAED223" w14:textId="77777777" w:rsidTr="002B4BBA">
        <w:trPr>
          <w:trHeight w:val="576"/>
        </w:trPr>
        <w:tc>
          <w:tcPr>
            <w:tcW w:w="683" w:type="pct"/>
            <w:tcBorders>
              <w:top w:val="nil"/>
              <w:left w:val="nil"/>
              <w:bottom w:val="single" w:sz="4" w:space="0" w:color="757171"/>
              <w:right w:val="nil"/>
            </w:tcBorders>
            <w:shd w:val="clear" w:color="auto" w:fill="FFFFFF"/>
            <w:vAlign w:val="center"/>
            <w:hideMark/>
          </w:tcPr>
          <w:p w14:paraId="202E339C"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Use of modern contraceptive</w:t>
            </w:r>
          </w:p>
        </w:tc>
        <w:tc>
          <w:tcPr>
            <w:tcW w:w="161" w:type="pct"/>
            <w:tcBorders>
              <w:top w:val="nil"/>
              <w:left w:val="nil"/>
              <w:bottom w:val="single" w:sz="4" w:space="0" w:color="757171"/>
              <w:right w:val="nil"/>
            </w:tcBorders>
            <w:shd w:val="clear" w:color="auto" w:fill="FFFFFF"/>
            <w:noWrap/>
            <w:vAlign w:val="bottom"/>
            <w:hideMark/>
          </w:tcPr>
          <w:p w14:paraId="277EBA8B"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70.9</w:t>
            </w:r>
          </w:p>
        </w:tc>
        <w:tc>
          <w:tcPr>
            <w:tcW w:w="68" w:type="pct"/>
            <w:tcBorders>
              <w:top w:val="nil"/>
              <w:left w:val="nil"/>
              <w:bottom w:val="single" w:sz="4" w:space="0" w:color="757171"/>
              <w:right w:val="nil"/>
            </w:tcBorders>
            <w:shd w:val="clear" w:color="auto" w:fill="FFFFFF"/>
            <w:noWrap/>
            <w:vAlign w:val="bottom"/>
            <w:hideMark/>
          </w:tcPr>
          <w:p w14:paraId="43C73C4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4D60BBE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69.2</w:t>
            </w:r>
          </w:p>
        </w:tc>
        <w:tc>
          <w:tcPr>
            <w:tcW w:w="68" w:type="pct"/>
            <w:tcBorders>
              <w:top w:val="nil"/>
              <w:left w:val="nil"/>
              <w:bottom w:val="single" w:sz="4" w:space="0" w:color="757171"/>
              <w:right w:val="nil"/>
            </w:tcBorders>
            <w:shd w:val="clear" w:color="auto" w:fill="FFFFFF"/>
            <w:noWrap/>
            <w:vAlign w:val="bottom"/>
            <w:hideMark/>
          </w:tcPr>
          <w:p w14:paraId="1315384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301DC25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72.5</w:t>
            </w:r>
          </w:p>
        </w:tc>
        <w:tc>
          <w:tcPr>
            <w:tcW w:w="68" w:type="pct"/>
            <w:tcBorders>
              <w:top w:val="nil"/>
              <w:left w:val="nil"/>
              <w:bottom w:val="single" w:sz="4" w:space="0" w:color="757171"/>
              <w:right w:val="nil"/>
            </w:tcBorders>
            <w:shd w:val="clear" w:color="auto" w:fill="FFFFFF"/>
            <w:noWrap/>
            <w:vAlign w:val="bottom"/>
            <w:hideMark/>
          </w:tcPr>
          <w:p w14:paraId="00B500F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8" w:type="pct"/>
            <w:tcBorders>
              <w:top w:val="nil"/>
              <w:left w:val="nil"/>
              <w:bottom w:val="single" w:sz="4" w:space="0" w:color="757171"/>
              <w:right w:val="nil"/>
            </w:tcBorders>
            <w:shd w:val="clear" w:color="auto" w:fill="FFFFFF"/>
            <w:noWrap/>
            <w:vAlign w:val="bottom"/>
            <w:hideMark/>
          </w:tcPr>
          <w:p w14:paraId="3AF38FAD"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66.6</w:t>
            </w:r>
          </w:p>
        </w:tc>
        <w:tc>
          <w:tcPr>
            <w:tcW w:w="68" w:type="pct"/>
            <w:tcBorders>
              <w:top w:val="nil"/>
              <w:left w:val="nil"/>
              <w:bottom w:val="single" w:sz="4" w:space="0" w:color="757171"/>
              <w:right w:val="nil"/>
            </w:tcBorders>
            <w:shd w:val="clear" w:color="auto" w:fill="FFFFFF"/>
            <w:noWrap/>
            <w:vAlign w:val="bottom"/>
            <w:hideMark/>
          </w:tcPr>
          <w:p w14:paraId="2CDBA84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01D4901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62.3</w:t>
            </w:r>
          </w:p>
        </w:tc>
        <w:tc>
          <w:tcPr>
            <w:tcW w:w="68" w:type="pct"/>
            <w:tcBorders>
              <w:top w:val="nil"/>
              <w:left w:val="nil"/>
              <w:bottom w:val="single" w:sz="4" w:space="0" w:color="757171"/>
              <w:right w:val="nil"/>
            </w:tcBorders>
            <w:shd w:val="clear" w:color="auto" w:fill="FFFFFF"/>
            <w:noWrap/>
            <w:vAlign w:val="bottom"/>
            <w:hideMark/>
          </w:tcPr>
          <w:p w14:paraId="52A81DA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1685F64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70.6</w:t>
            </w:r>
          </w:p>
        </w:tc>
        <w:tc>
          <w:tcPr>
            <w:tcW w:w="68" w:type="pct"/>
            <w:tcBorders>
              <w:top w:val="nil"/>
              <w:left w:val="nil"/>
              <w:bottom w:val="single" w:sz="4" w:space="0" w:color="757171"/>
              <w:right w:val="nil"/>
            </w:tcBorders>
            <w:shd w:val="clear" w:color="auto" w:fill="FFFFFF"/>
            <w:noWrap/>
            <w:vAlign w:val="bottom"/>
            <w:hideMark/>
          </w:tcPr>
          <w:p w14:paraId="2C458FC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3" w:type="pct"/>
            <w:tcBorders>
              <w:top w:val="nil"/>
              <w:left w:val="nil"/>
              <w:bottom w:val="single" w:sz="4" w:space="0" w:color="757171"/>
              <w:right w:val="nil"/>
            </w:tcBorders>
            <w:shd w:val="clear" w:color="auto" w:fill="FFFFFF"/>
            <w:noWrap/>
            <w:vAlign w:val="bottom"/>
            <w:hideMark/>
          </w:tcPr>
          <w:p w14:paraId="03AAAA68"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71.9</w:t>
            </w:r>
          </w:p>
        </w:tc>
        <w:tc>
          <w:tcPr>
            <w:tcW w:w="68" w:type="pct"/>
            <w:tcBorders>
              <w:top w:val="nil"/>
              <w:left w:val="nil"/>
              <w:bottom w:val="single" w:sz="4" w:space="0" w:color="757171"/>
              <w:right w:val="nil"/>
            </w:tcBorders>
            <w:shd w:val="clear" w:color="auto" w:fill="FFFFFF"/>
            <w:noWrap/>
            <w:vAlign w:val="bottom"/>
            <w:hideMark/>
          </w:tcPr>
          <w:p w14:paraId="4557FFB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5BFA089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68.9</w:t>
            </w:r>
          </w:p>
        </w:tc>
        <w:tc>
          <w:tcPr>
            <w:tcW w:w="68" w:type="pct"/>
            <w:tcBorders>
              <w:top w:val="nil"/>
              <w:left w:val="nil"/>
              <w:bottom w:val="single" w:sz="4" w:space="0" w:color="757171"/>
              <w:right w:val="nil"/>
            </w:tcBorders>
            <w:shd w:val="clear" w:color="auto" w:fill="FFFFFF"/>
            <w:noWrap/>
            <w:vAlign w:val="bottom"/>
            <w:hideMark/>
          </w:tcPr>
          <w:p w14:paraId="22276A8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5D2EC4A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74.7</w:t>
            </w:r>
          </w:p>
        </w:tc>
        <w:tc>
          <w:tcPr>
            <w:tcW w:w="68" w:type="pct"/>
            <w:tcBorders>
              <w:top w:val="nil"/>
              <w:left w:val="nil"/>
              <w:bottom w:val="single" w:sz="4" w:space="0" w:color="757171"/>
              <w:right w:val="nil"/>
            </w:tcBorders>
            <w:shd w:val="clear" w:color="auto" w:fill="FFFFFF"/>
            <w:noWrap/>
            <w:vAlign w:val="bottom"/>
            <w:hideMark/>
          </w:tcPr>
          <w:p w14:paraId="663B7EC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0" w:type="pct"/>
            <w:tcBorders>
              <w:top w:val="nil"/>
              <w:left w:val="nil"/>
              <w:bottom w:val="single" w:sz="4" w:space="0" w:color="757171"/>
              <w:right w:val="nil"/>
            </w:tcBorders>
            <w:shd w:val="clear" w:color="auto" w:fill="FFFFFF"/>
            <w:noWrap/>
            <w:vAlign w:val="bottom"/>
            <w:hideMark/>
          </w:tcPr>
          <w:p w14:paraId="137A9984"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5.3</w:t>
            </w:r>
          </w:p>
        </w:tc>
        <w:tc>
          <w:tcPr>
            <w:tcW w:w="68" w:type="pct"/>
            <w:tcBorders>
              <w:top w:val="nil"/>
              <w:left w:val="nil"/>
              <w:bottom w:val="single" w:sz="4" w:space="0" w:color="757171"/>
              <w:right w:val="nil"/>
            </w:tcBorders>
            <w:shd w:val="clear" w:color="auto" w:fill="FFFFFF"/>
            <w:noWrap/>
            <w:vAlign w:val="bottom"/>
            <w:hideMark/>
          </w:tcPr>
          <w:p w14:paraId="616029E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413471A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2.6</w:t>
            </w:r>
          </w:p>
        </w:tc>
        <w:tc>
          <w:tcPr>
            <w:tcW w:w="68" w:type="pct"/>
            <w:tcBorders>
              <w:top w:val="nil"/>
              <w:left w:val="nil"/>
              <w:bottom w:val="single" w:sz="4" w:space="0" w:color="757171"/>
              <w:right w:val="nil"/>
            </w:tcBorders>
            <w:shd w:val="clear" w:color="auto" w:fill="FFFFFF"/>
            <w:noWrap/>
            <w:vAlign w:val="bottom"/>
            <w:hideMark/>
          </w:tcPr>
          <w:p w14:paraId="13F94C1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5DE802B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8.0</w:t>
            </w:r>
          </w:p>
        </w:tc>
        <w:tc>
          <w:tcPr>
            <w:tcW w:w="68" w:type="pct"/>
            <w:gridSpan w:val="2"/>
            <w:tcBorders>
              <w:top w:val="nil"/>
              <w:left w:val="nil"/>
              <w:bottom w:val="single" w:sz="4" w:space="0" w:color="757171"/>
              <w:right w:val="nil"/>
            </w:tcBorders>
            <w:shd w:val="clear" w:color="auto" w:fill="FFFFFF"/>
            <w:noWrap/>
            <w:vAlign w:val="bottom"/>
            <w:hideMark/>
          </w:tcPr>
          <w:p w14:paraId="28BC03F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1" w:type="pct"/>
            <w:tcBorders>
              <w:top w:val="nil"/>
              <w:left w:val="nil"/>
              <w:bottom w:val="single" w:sz="4" w:space="0" w:color="757171"/>
              <w:right w:val="nil"/>
            </w:tcBorders>
            <w:shd w:val="clear" w:color="auto" w:fill="FFFFFF"/>
            <w:noWrap/>
            <w:vAlign w:val="bottom"/>
            <w:hideMark/>
          </w:tcPr>
          <w:p w14:paraId="4FF0CF08"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7.3</w:t>
            </w:r>
          </w:p>
        </w:tc>
        <w:tc>
          <w:tcPr>
            <w:tcW w:w="68" w:type="pct"/>
            <w:tcBorders>
              <w:top w:val="nil"/>
              <w:left w:val="nil"/>
              <w:bottom w:val="single" w:sz="4" w:space="0" w:color="757171"/>
              <w:right w:val="nil"/>
            </w:tcBorders>
            <w:shd w:val="clear" w:color="auto" w:fill="FFFFFF"/>
            <w:noWrap/>
            <w:vAlign w:val="bottom"/>
            <w:hideMark/>
          </w:tcPr>
          <w:p w14:paraId="6443378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01B5224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3.0</w:t>
            </w:r>
          </w:p>
        </w:tc>
        <w:tc>
          <w:tcPr>
            <w:tcW w:w="68" w:type="pct"/>
            <w:tcBorders>
              <w:top w:val="nil"/>
              <w:left w:val="nil"/>
              <w:bottom w:val="single" w:sz="4" w:space="0" w:color="757171"/>
              <w:right w:val="nil"/>
            </w:tcBorders>
            <w:shd w:val="clear" w:color="auto" w:fill="FFFFFF"/>
            <w:noWrap/>
            <w:vAlign w:val="bottom"/>
            <w:hideMark/>
          </w:tcPr>
          <w:p w14:paraId="1CF11CD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68ED3C0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11.6</w:t>
            </w:r>
          </w:p>
        </w:tc>
        <w:tc>
          <w:tcPr>
            <w:tcW w:w="68" w:type="pct"/>
            <w:gridSpan w:val="2"/>
            <w:tcBorders>
              <w:top w:val="nil"/>
              <w:left w:val="nil"/>
              <w:bottom w:val="single" w:sz="4" w:space="0" w:color="757171"/>
              <w:right w:val="nil"/>
            </w:tcBorders>
            <w:shd w:val="clear" w:color="auto" w:fill="FFFFFF"/>
            <w:noWrap/>
            <w:vAlign w:val="bottom"/>
            <w:hideMark/>
          </w:tcPr>
          <w:p w14:paraId="7024BF0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220" w:type="pct"/>
            <w:gridSpan w:val="2"/>
            <w:tcBorders>
              <w:top w:val="nil"/>
              <w:left w:val="nil"/>
              <w:bottom w:val="single" w:sz="4" w:space="0" w:color="757171"/>
              <w:right w:val="nil"/>
            </w:tcBorders>
            <w:shd w:val="clear" w:color="auto" w:fill="FFFFFF"/>
            <w:noWrap/>
            <w:vAlign w:val="bottom"/>
            <w:hideMark/>
          </w:tcPr>
          <w:p w14:paraId="4CC1F56B"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1.1</w:t>
            </w:r>
          </w:p>
        </w:tc>
        <w:tc>
          <w:tcPr>
            <w:tcW w:w="157" w:type="pct"/>
            <w:tcBorders>
              <w:top w:val="nil"/>
              <w:left w:val="nil"/>
              <w:bottom w:val="single" w:sz="4" w:space="0" w:color="757171"/>
              <w:right w:val="nil"/>
            </w:tcBorders>
            <w:shd w:val="clear" w:color="auto" w:fill="FFFFFF"/>
            <w:noWrap/>
            <w:vAlign w:val="bottom"/>
            <w:hideMark/>
          </w:tcPr>
          <w:p w14:paraId="47F0DD6A"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3.6</w:t>
            </w:r>
          </w:p>
        </w:tc>
        <w:tc>
          <w:tcPr>
            <w:tcW w:w="68" w:type="pct"/>
            <w:tcBorders>
              <w:top w:val="nil"/>
              <w:left w:val="nil"/>
              <w:bottom w:val="single" w:sz="4" w:space="0" w:color="757171"/>
              <w:right w:val="nil"/>
            </w:tcBorders>
            <w:shd w:val="clear" w:color="auto" w:fill="FFFFFF"/>
            <w:noWrap/>
            <w:vAlign w:val="bottom"/>
            <w:hideMark/>
          </w:tcPr>
          <w:p w14:paraId="7E6B19A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6DC3F5F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3.0</w:t>
            </w:r>
          </w:p>
        </w:tc>
        <w:tc>
          <w:tcPr>
            <w:tcW w:w="68" w:type="pct"/>
            <w:tcBorders>
              <w:top w:val="nil"/>
              <w:left w:val="nil"/>
              <w:bottom w:val="single" w:sz="4" w:space="0" w:color="757171"/>
              <w:right w:val="nil"/>
            </w:tcBorders>
            <w:shd w:val="clear" w:color="auto" w:fill="FFFFFF"/>
            <w:noWrap/>
            <w:vAlign w:val="bottom"/>
            <w:hideMark/>
          </w:tcPr>
          <w:p w14:paraId="11BF8D3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gridSpan w:val="2"/>
            <w:tcBorders>
              <w:top w:val="nil"/>
              <w:left w:val="nil"/>
              <w:bottom w:val="single" w:sz="4" w:space="0" w:color="757171"/>
              <w:right w:val="nil"/>
            </w:tcBorders>
            <w:shd w:val="clear" w:color="auto" w:fill="FFFFFF"/>
            <w:noWrap/>
            <w:vAlign w:val="bottom"/>
            <w:hideMark/>
          </w:tcPr>
          <w:p w14:paraId="7C98A53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4.3</w:t>
            </w:r>
          </w:p>
        </w:tc>
        <w:tc>
          <w:tcPr>
            <w:tcW w:w="59" w:type="pct"/>
            <w:gridSpan w:val="2"/>
            <w:tcBorders>
              <w:top w:val="nil"/>
              <w:left w:val="nil"/>
              <w:bottom w:val="single" w:sz="4" w:space="0" w:color="757171"/>
              <w:right w:val="nil"/>
            </w:tcBorders>
            <w:shd w:val="clear" w:color="auto" w:fill="FFFFFF"/>
            <w:noWrap/>
            <w:vAlign w:val="bottom"/>
            <w:hideMark/>
          </w:tcPr>
          <w:p w14:paraId="0707C21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r>
      <w:tr w:rsidR="00EA4D88" w:rsidRPr="000D5855" w14:paraId="2F48EF32" w14:textId="77777777" w:rsidTr="002B4BBA">
        <w:trPr>
          <w:trHeight w:val="288"/>
        </w:trPr>
        <w:tc>
          <w:tcPr>
            <w:tcW w:w="683" w:type="pct"/>
            <w:tcBorders>
              <w:top w:val="nil"/>
              <w:left w:val="nil"/>
              <w:bottom w:val="single" w:sz="4" w:space="0" w:color="757171"/>
              <w:right w:val="nil"/>
            </w:tcBorders>
            <w:shd w:val="clear" w:color="auto" w:fill="FFFFFF"/>
            <w:vAlign w:val="center"/>
            <w:hideMark/>
          </w:tcPr>
          <w:p w14:paraId="00C06F5F"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 xml:space="preserve">Antenatal care 4+ visits </w:t>
            </w:r>
          </w:p>
        </w:tc>
        <w:tc>
          <w:tcPr>
            <w:tcW w:w="161" w:type="pct"/>
            <w:tcBorders>
              <w:top w:val="nil"/>
              <w:left w:val="nil"/>
              <w:bottom w:val="single" w:sz="4" w:space="0" w:color="757171"/>
              <w:right w:val="nil"/>
            </w:tcBorders>
            <w:shd w:val="clear" w:color="auto" w:fill="FFFFFF"/>
            <w:noWrap/>
            <w:vAlign w:val="bottom"/>
            <w:hideMark/>
          </w:tcPr>
          <w:p w14:paraId="717D3D24"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86.8</w:t>
            </w:r>
          </w:p>
        </w:tc>
        <w:tc>
          <w:tcPr>
            <w:tcW w:w="68" w:type="pct"/>
            <w:tcBorders>
              <w:top w:val="nil"/>
              <w:left w:val="nil"/>
              <w:bottom w:val="single" w:sz="4" w:space="0" w:color="757171"/>
              <w:right w:val="nil"/>
            </w:tcBorders>
            <w:shd w:val="clear" w:color="auto" w:fill="FFFFFF"/>
            <w:noWrap/>
            <w:vAlign w:val="bottom"/>
            <w:hideMark/>
          </w:tcPr>
          <w:p w14:paraId="6C9F7FA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3DF1B69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84.9</w:t>
            </w:r>
          </w:p>
        </w:tc>
        <w:tc>
          <w:tcPr>
            <w:tcW w:w="68" w:type="pct"/>
            <w:tcBorders>
              <w:top w:val="nil"/>
              <w:left w:val="nil"/>
              <w:bottom w:val="single" w:sz="4" w:space="0" w:color="757171"/>
              <w:right w:val="nil"/>
            </w:tcBorders>
            <w:shd w:val="clear" w:color="auto" w:fill="FFFFFF"/>
            <w:noWrap/>
            <w:vAlign w:val="bottom"/>
            <w:hideMark/>
          </w:tcPr>
          <w:p w14:paraId="7CF66EE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1508BE8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88.5</w:t>
            </w:r>
          </w:p>
        </w:tc>
        <w:tc>
          <w:tcPr>
            <w:tcW w:w="68" w:type="pct"/>
            <w:tcBorders>
              <w:top w:val="nil"/>
              <w:left w:val="nil"/>
              <w:bottom w:val="single" w:sz="4" w:space="0" w:color="757171"/>
              <w:right w:val="nil"/>
            </w:tcBorders>
            <w:shd w:val="clear" w:color="auto" w:fill="FFFFFF"/>
            <w:noWrap/>
            <w:vAlign w:val="bottom"/>
            <w:hideMark/>
          </w:tcPr>
          <w:p w14:paraId="0B810BA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8" w:type="pct"/>
            <w:tcBorders>
              <w:top w:val="nil"/>
              <w:left w:val="nil"/>
              <w:bottom w:val="single" w:sz="4" w:space="0" w:color="757171"/>
              <w:right w:val="nil"/>
            </w:tcBorders>
            <w:shd w:val="clear" w:color="auto" w:fill="FFFFFF"/>
            <w:noWrap/>
            <w:vAlign w:val="bottom"/>
            <w:hideMark/>
          </w:tcPr>
          <w:p w14:paraId="70A875EE"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75.0</w:t>
            </w:r>
          </w:p>
        </w:tc>
        <w:tc>
          <w:tcPr>
            <w:tcW w:w="68" w:type="pct"/>
            <w:tcBorders>
              <w:top w:val="nil"/>
              <w:left w:val="nil"/>
              <w:bottom w:val="single" w:sz="4" w:space="0" w:color="757171"/>
              <w:right w:val="nil"/>
            </w:tcBorders>
            <w:shd w:val="clear" w:color="auto" w:fill="FFFFFF"/>
            <w:noWrap/>
            <w:vAlign w:val="bottom"/>
            <w:hideMark/>
          </w:tcPr>
          <w:p w14:paraId="09C1261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51E0341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71.0</w:t>
            </w:r>
          </w:p>
        </w:tc>
        <w:tc>
          <w:tcPr>
            <w:tcW w:w="68" w:type="pct"/>
            <w:tcBorders>
              <w:top w:val="nil"/>
              <w:left w:val="nil"/>
              <w:bottom w:val="single" w:sz="4" w:space="0" w:color="757171"/>
              <w:right w:val="nil"/>
            </w:tcBorders>
            <w:shd w:val="clear" w:color="auto" w:fill="FFFFFF"/>
            <w:noWrap/>
            <w:vAlign w:val="bottom"/>
            <w:hideMark/>
          </w:tcPr>
          <w:p w14:paraId="213A9B5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606520C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78.6</w:t>
            </w:r>
          </w:p>
        </w:tc>
        <w:tc>
          <w:tcPr>
            <w:tcW w:w="68" w:type="pct"/>
            <w:tcBorders>
              <w:top w:val="nil"/>
              <w:left w:val="nil"/>
              <w:bottom w:val="single" w:sz="4" w:space="0" w:color="757171"/>
              <w:right w:val="nil"/>
            </w:tcBorders>
            <w:shd w:val="clear" w:color="auto" w:fill="FFFFFF"/>
            <w:noWrap/>
            <w:vAlign w:val="bottom"/>
            <w:hideMark/>
          </w:tcPr>
          <w:p w14:paraId="22A8696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3" w:type="pct"/>
            <w:tcBorders>
              <w:top w:val="nil"/>
              <w:left w:val="nil"/>
              <w:bottom w:val="single" w:sz="4" w:space="0" w:color="757171"/>
              <w:right w:val="nil"/>
            </w:tcBorders>
            <w:shd w:val="clear" w:color="auto" w:fill="FFFFFF"/>
            <w:noWrap/>
            <w:vAlign w:val="bottom"/>
            <w:hideMark/>
          </w:tcPr>
          <w:p w14:paraId="31DFB9AE"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96.0</w:t>
            </w:r>
          </w:p>
        </w:tc>
        <w:tc>
          <w:tcPr>
            <w:tcW w:w="68" w:type="pct"/>
            <w:tcBorders>
              <w:top w:val="nil"/>
              <w:left w:val="nil"/>
              <w:bottom w:val="single" w:sz="4" w:space="0" w:color="757171"/>
              <w:right w:val="nil"/>
            </w:tcBorders>
            <w:shd w:val="clear" w:color="auto" w:fill="FFFFFF"/>
            <w:noWrap/>
            <w:vAlign w:val="bottom"/>
            <w:hideMark/>
          </w:tcPr>
          <w:p w14:paraId="6EE3235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1ACEFC3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92.8</w:t>
            </w:r>
          </w:p>
        </w:tc>
        <w:tc>
          <w:tcPr>
            <w:tcW w:w="68" w:type="pct"/>
            <w:tcBorders>
              <w:top w:val="nil"/>
              <w:left w:val="nil"/>
              <w:bottom w:val="single" w:sz="4" w:space="0" w:color="757171"/>
              <w:right w:val="nil"/>
            </w:tcBorders>
            <w:shd w:val="clear" w:color="auto" w:fill="FFFFFF"/>
            <w:noWrap/>
            <w:vAlign w:val="bottom"/>
            <w:hideMark/>
          </w:tcPr>
          <w:p w14:paraId="11ADEA4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5802412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97.8</w:t>
            </w:r>
          </w:p>
        </w:tc>
        <w:tc>
          <w:tcPr>
            <w:tcW w:w="68" w:type="pct"/>
            <w:tcBorders>
              <w:top w:val="nil"/>
              <w:left w:val="nil"/>
              <w:bottom w:val="single" w:sz="4" w:space="0" w:color="757171"/>
              <w:right w:val="nil"/>
            </w:tcBorders>
            <w:shd w:val="clear" w:color="auto" w:fill="FFFFFF"/>
            <w:noWrap/>
            <w:vAlign w:val="bottom"/>
            <w:hideMark/>
          </w:tcPr>
          <w:p w14:paraId="698B0D7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0" w:type="pct"/>
            <w:tcBorders>
              <w:top w:val="nil"/>
              <w:left w:val="nil"/>
              <w:bottom w:val="single" w:sz="4" w:space="0" w:color="757171"/>
              <w:right w:val="nil"/>
            </w:tcBorders>
            <w:shd w:val="clear" w:color="auto" w:fill="FFFFFF"/>
            <w:noWrap/>
            <w:vAlign w:val="bottom"/>
            <w:hideMark/>
          </w:tcPr>
          <w:p w14:paraId="1690C8A8"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21.0</w:t>
            </w:r>
          </w:p>
        </w:tc>
        <w:tc>
          <w:tcPr>
            <w:tcW w:w="68" w:type="pct"/>
            <w:tcBorders>
              <w:top w:val="nil"/>
              <w:left w:val="nil"/>
              <w:bottom w:val="single" w:sz="4" w:space="0" w:color="757171"/>
              <w:right w:val="nil"/>
            </w:tcBorders>
            <w:shd w:val="clear" w:color="auto" w:fill="FFFFFF"/>
            <w:noWrap/>
            <w:vAlign w:val="bottom"/>
            <w:hideMark/>
          </w:tcPr>
          <w:p w14:paraId="4B6E858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6A04BA1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18.8</w:t>
            </w:r>
          </w:p>
        </w:tc>
        <w:tc>
          <w:tcPr>
            <w:tcW w:w="68" w:type="pct"/>
            <w:tcBorders>
              <w:top w:val="nil"/>
              <w:left w:val="nil"/>
              <w:bottom w:val="single" w:sz="4" w:space="0" w:color="757171"/>
              <w:right w:val="nil"/>
            </w:tcBorders>
            <w:shd w:val="clear" w:color="auto" w:fill="FFFFFF"/>
            <w:noWrap/>
            <w:vAlign w:val="bottom"/>
            <w:hideMark/>
          </w:tcPr>
          <w:p w14:paraId="5263295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4134EE0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23.2</w:t>
            </w:r>
          </w:p>
        </w:tc>
        <w:tc>
          <w:tcPr>
            <w:tcW w:w="68" w:type="pct"/>
            <w:gridSpan w:val="2"/>
            <w:tcBorders>
              <w:top w:val="nil"/>
              <w:left w:val="nil"/>
              <w:bottom w:val="single" w:sz="4" w:space="0" w:color="757171"/>
              <w:right w:val="nil"/>
            </w:tcBorders>
            <w:shd w:val="clear" w:color="auto" w:fill="FFFFFF"/>
            <w:noWrap/>
            <w:vAlign w:val="bottom"/>
            <w:hideMark/>
          </w:tcPr>
          <w:p w14:paraId="269C681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1" w:type="pct"/>
            <w:tcBorders>
              <w:top w:val="nil"/>
              <w:left w:val="nil"/>
              <w:bottom w:val="single" w:sz="4" w:space="0" w:color="757171"/>
              <w:right w:val="nil"/>
            </w:tcBorders>
            <w:shd w:val="clear" w:color="auto" w:fill="FFFFFF"/>
            <w:noWrap/>
            <w:vAlign w:val="bottom"/>
            <w:hideMark/>
          </w:tcPr>
          <w:p w14:paraId="59515919"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24.7</w:t>
            </w:r>
          </w:p>
        </w:tc>
        <w:tc>
          <w:tcPr>
            <w:tcW w:w="68" w:type="pct"/>
            <w:tcBorders>
              <w:top w:val="nil"/>
              <w:left w:val="nil"/>
              <w:bottom w:val="single" w:sz="4" w:space="0" w:color="757171"/>
              <w:right w:val="nil"/>
            </w:tcBorders>
            <w:shd w:val="clear" w:color="auto" w:fill="FFFFFF"/>
            <w:noWrap/>
            <w:vAlign w:val="bottom"/>
            <w:hideMark/>
          </w:tcPr>
          <w:p w14:paraId="20D3F6C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7EAE792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19.1</w:t>
            </w:r>
          </w:p>
        </w:tc>
        <w:tc>
          <w:tcPr>
            <w:tcW w:w="68" w:type="pct"/>
            <w:tcBorders>
              <w:top w:val="nil"/>
              <w:left w:val="nil"/>
              <w:bottom w:val="single" w:sz="4" w:space="0" w:color="757171"/>
              <w:right w:val="nil"/>
            </w:tcBorders>
            <w:shd w:val="clear" w:color="auto" w:fill="FFFFFF"/>
            <w:noWrap/>
            <w:vAlign w:val="bottom"/>
            <w:hideMark/>
          </w:tcPr>
          <w:p w14:paraId="066A664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3AE2393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30.3</w:t>
            </w:r>
          </w:p>
        </w:tc>
        <w:tc>
          <w:tcPr>
            <w:tcW w:w="68" w:type="pct"/>
            <w:gridSpan w:val="2"/>
            <w:tcBorders>
              <w:top w:val="nil"/>
              <w:left w:val="nil"/>
              <w:bottom w:val="single" w:sz="4" w:space="0" w:color="757171"/>
              <w:right w:val="nil"/>
            </w:tcBorders>
            <w:shd w:val="clear" w:color="auto" w:fill="FFFFFF"/>
            <w:noWrap/>
            <w:vAlign w:val="bottom"/>
            <w:hideMark/>
          </w:tcPr>
          <w:p w14:paraId="13B9A5C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220" w:type="pct"/>
            <w:gridSpan w:val="2"/>
            <w:tcBorders>
              <w:top w:val="nil"/>
              <w:left w:val="nil"/>
              <w:bottom w:val="single" w:sz="4" w:space="0" w:color="757171"/>
              <w:right w:val="nil"/>
            </w:tcBorders>
            <w:shd w:val="clear" w:color="auto" w:fill="FFFFFF"/>
            <w:noWrap/>
            <w:vAlign w:val="bottom"/>
            <w:hideMark/>
          </w:tcPr>
          <w:p w14:paraId="5419C957"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1.3</w:t>
            </w:r>
          </w:p>
        </w:tc>
        <w:tc>
          <w:tcPr>
            <w:tcW w:w="157" w:type="pct"/>
            <w:tcBorders>
              <w:top w:val="nil"/>
              <w:left w:val="nil"/>
              <w:bottom w:val="single" w:sz="4" w:space="0" w:color="757171"/>
              <w:right w:val="nil"/>
            </w:tcBorders>
            <w:shd w:val="clear" w:color="auto" w:fill="FFFFFF"/>
            <w:noWrap/>
            <w:vAlign w:val="bottom"/>
            <w:hideMark/>
          </w:tcPr>
          <w:p w14:paraId="7C4DE6B8"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5.1</w:t>
            </w:r>
          </w:p>
        </w:tc>
        <w:tc>
          <w:tcPr>
            <w:tcW w:w="68" w:type="pct"/>
            <w:tcBorders>
              <w:top w:val="nil"/>
              <w:left w:val="nil"/>
              <w:bottom w:val="single" w:sz="4" w:space="0" w:color="757171"/>
              <w:right w:val="nil"/>
            </w:tcBorders>
            <w:shd w:val="clear" w:color="auto" w:fill="FFFFFF"/>
            <w:noWrap/>
            <w:vAlign w:val="bottom"/>
            <w:hideMark/>
          </w:tcPr>
          <w:p w14:paraId="5399120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3256B4F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4.6</w:t>
            </w:r>
          </w:p>
        </w:tc>
        <w:tc>
          <w:tcPr>
            <w:tcW w:w="68" w:type="pct"/>
            <w:tcBorders>
              <w:top w:val="nil"/>
              <w:left w:val="nil"/>
              <w:bottom w:val="single" w:sz="4" w:space="0" w:color="757171"/>
              <w:right w:val="nil"/>
            </w:tcBorders>
            <w:shd w:val="clear" w:color="auto" w:fill="FFFFFF"/>
            <w:noWrap/>
            <w:vAlign w:val="bottom"/>
            <w:hideMark/>
          </w:tcPr>
          <w:p w14:paraId="4369810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gridSpan w:val="2"/>
            <w:tcBorders>
              <w:top w:val="nil"/>
              <w:left w:val="nil"/>
              <w:bottom w:val="single" w:sz="4" w:space="0" w:color="757171"/>
              <w:right w:val="nil"/>
            </w:tcBorders>
            <w:shd w:val="clear" w:color="auto" w:fill="FFFFFF"/>
            <w:noWrap/>
            <w:vAlign w:val="bottom"/>
            <w:hideMark/>
          </w:tcPr>
          <w:p w14:paraId="4188022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5.7</w:t>
            </w:r>
          </w:p>
        </w:tc>
        <w:tc>
          <w:tcPr>
            <w:tcW w:w="59" w:type="pct"/>
            <w:gridSpan w:val="2"/>
            <w:tcBorders>
              <w:top w:val="nil"/>
              <w:left w:val="nil"/>
              <w:bottom w:val="single" w:sz="4" w:space="0" w:color="757171"/>
              <w:right w:val="nil"/>
            </w:tcBorders>
            <w:shd w:val="clear" w:color="auto" w:fill="FFFFFF"/>
            <w:noWrap/>
            <w:vAlign w:val="bottom"/>
            <w:hideMark/>
          </w:tcPr>
          <w:p w14:paraId="19C82BE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r>
      <w:tr w:rsidR="00EA4D88" w:rsidRPr="000D5855" w14:paraId="3C0F4723" w14:textId="77777777" w:rsidTr="002B4BBA">
        <w:trPr>
          <w:trHeight w:val="288"/>
        </w:trPr>
        <w:tc>
          <w:tcPr>
            <w:tcW w:w="683" w:type="pct"/>
            <w:tcBorders>
              <w:top w:val="nil"/>
              <w:left w:val="nil"/>
              <w:bottom w:val="single" w:sz="4" w:space="0" w:color="757171"/>
              <w:right w:val="nil"/>
            </w:tcBorders>
            <w:shd w:val="clear" w:color="auto" w:fill="FFFFFF"/>
            <w:vAlign w:val="center"/>
            <w:hideMark/>
          </w:tcPr>
          <w:p w14:paraId="1C0D266F"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Institutional delivery</w:t>
            </w:r>
          </w:p>
        </w:tc>
        <w:tc>
          <w:tcPr>
            <w:tcW w:w="161" w:type="pct"/>
            <w:tcBorders>
              <w:top w:val="nil"/>
              <w:left w:val="nil"/>
              <w:bottom w:val="single" w:sz="4" w:space="0" w:color="757171"/>
              <w:right w:val="nil"/>
            </w:tcBorders>
            <w:shd w:val="clear" w:color="auto" w:fill="FFFFFF"/>
            <w:noWrap/>
            <w:vAlign w:val="bottom"/>
            <w:hideMark/>
          </w:tcPr>
          <w:p w14:paraId="3F883EED"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90.2</w:t>
            </w:r>
          </w:p>
        </w:tc>
        <w:tc>
          <w:tcPr>
            <w:tcW w:w="68" w:type="pct"/>
            <w:tcBorders>
              <w:top w:val="nil"/>
              <w:left w:val="nil"/>
              <w:bottom w:val="single" w:sz="4" w:space="0" w:color="757171"/>
              <w:right w:val="nil"/>
            </w:tcBorders>
            <w:shd w:val="clear" w:color="auto" w:fill="FFFFFF"/>
            <w:noWrap/>
            <w:vAlign w:val="bottom"/>
            <w:hideMark/>
          </w:tcPr>
          <w:p w14:paraId="68E2D25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60ABBE4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88.0</w:t>
            </w:r>
          </w:p>
        </w:tc>
        <w:tc>
          <w:tcPr>
            <w:tcW w:w="68" w:type="pct"/>
            <w:tcBorders>
              <w:top w:val="nil"/>
              <w:left w:val="nil"/>
              <w:bottom w:val="single" w:sz="4" w:space="0" w:color="757171"/>
              <w:right w:val="nil"/>
            </w:tcBorders>
            <w:shd w:val="clear" w:color="auto" w:fill="FFFFFF"/>
            <w:noWrap/>
            <w:vAlign w:val="bottom"/>
            <w:hideMark/>
          </w:tcPr>
          <w:p w14:paraId="37AE800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3C718FA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92.1</w:t>
            </w:r>
          </w:p>
        </w:tc>
        <w:tc>
          <w:tcPr>
            <w:tcW w:w="68" w:type="pct"/>
            <w:tcBorders>
              <w:top w:val="nil"/>
              <w:left w:val="nil"/>
              <w:bottom w:val="single" w:sz="4" w:space="0" w:color="757171"/>
              <w:right w:val="nil"/>
            </w:tcBorders>
            <w:shd w:val="clear" w:color="auto" w:fill="FFFFFF"/>
            <w:noWrap/>
            <w:vAlign w:val="bottom"/>
            <w:hideMark/>
          </w:tcPr>
          <w:p w14:paraId="6BA041E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8" w:type="pct"/>
            <w:tcBorders>
              <w:top w:val="nil"/>
              <w:left w:val="nil"/>
              <w:bottom w:val="single" w:sz="4" w:space="0" w:color="757171"/>
              <w:right w:val="nil"/>
            </w:tcBorders>
            <w:shd w:val="clear" w:color="auto" w:fill="FFFFFF"/>
            <w:noWrap/>
            <w:vAlign w:val="bottom"/>
            <w:hideMark/>
          </w:tcPr>
          <w:p w14:paraId="7E0DCF2D"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76.4</w:t>
            </w:r>
          </w:p>
        </w:tc>
        <w:tc>
          <w:tcPr>
            <w:tcW w:w="68" w:type="pct"/>
            <w:tcBorders>
              <w:top w:val="nil"/>
              <w:left w:val="nil"/>
              <w:bottom w:val="single" w:sz="4" w:space="0" w:color="757171"/>
              <w:right w:val="nil"/>
            </w:tcBorders>
            <w:shd w:val="clear" w:color="auto" w:fill="FFFFFF"/>
            <w:noWrap/>
            <w:vAlign w:val="bottom"/>
            <w:hideMark/>
          </w:tcPr>
          <w:p w14:paraId="72D1E67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7983131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70.6</w:t>
            </w:r>
          </w:p>
        </w:tc>
        <w:tc>
          <w:tcPr>
            <w:tcW w:w="68" w:type="pct"/>
            <w:tcBorders>
              <w:top w:val="nil"/>
              <w:left w:val="nil"/>
              <w:bottom w:val="single" w:sz="4" w:space="0" w:color="757171"/>
              <w:right w:val="nil"/>
            </w:tcBorders>
            <w:shd w:val="clear" w:color="auto" w:fill="FFFFFF"/>
            <w:noWrap/>
            <w:vAlign w:val="bottom"/>
            <w:hideMark/>
          </w:tcPr>
          <w:p w14:paraId="3480F5B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525F072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81.3</w:t>
            </w:r>
          </w:p>
        </w:tc>
        <w:tc>
          <w:tcPr>
            <w:tcW w:w="68" w:type="pct"/>
            <w:tcBorders>
              <w:top w:val="nil"/>
              <w:left w:val="nil"/>
              <w:bottom w:val="single" w:sz="4" w:space="0" w:color="757171"/>
              <w:right w:val="nil"/>
            </w:tcBorders>
            <w:shd w:val="clear" w:color="auto" w:fill="FFFFFF"/>
            <w:noWrap/>
            <w:vAlign w:val="bottom"/>
            <w:hideMark/>
          </w:tcPr>
          <w:p w14:paraId="22A3552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3" w:type="pct"/>
            <w:tcBorders>
              <w:top w:val="nil"/>
              <w:left w:val="nil"/>
              <w:bottom w:val="single" w:sz="4" w:space="0" w:color="757171"/>
              <w:right w:val="nil"/>
            </w:tcBorders>
            <w:shd w:val="clear" w:color="auto" w:fill="FFFFFF"/>
            <w:noWrap/>
            <w:vAlign w:val="bottom"/>
            <w:hideMark/>
          </w:tcPr>
          <w:p w14:paraId="6F0703D9"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98.5</w:t>
            </w:r>
          </w:p>
        </w:tc>
        <w:tc>
          <w:tcPr>
            <w:tcW w:w="68" w:type="pct"/>
            <w:tcBorders>
              <w:top w:val="nil"/>
              <w:left w:val="nil"/>
              <w:bottom w:val="single" w:sz="4" w:space="0" w:color="757171"/>
              <w:right w:val="nil"/>
            </w:tcBorders>
            <w:shd w:val="clear" w:color="auto" w:fill="FFFFFF"/>
            <w:noWrap/>
            <w:vAlign w:val="bottom"/>
            <w:hideMark/>
          </w:tcPr>
          <w:p w14:paraId="7B2B82A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4F3F62C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96.9</w:t>
            </w:r>
          </w:p>
        </w:tc>
        <w:tc>
          <w:tcPr>
            <w:tcW w:w="68" w:type="pct"/>
            <w:tcBorders>
              <w:top w:val="nil"/>
              <w:left w:val="nil"/>
              <w:bottom w:val="single" w:sz="4" w:space="0" w:color="757171"/>
              <w:right w:val="nil"/>
            </w:tcBorders>
            <w:shd w:val="clear" w:color="auto" w:fill="FFFFFF"/>
            <w:noWrap/>
            <w:vAlign w:val="bottom"/>
            <w:hideMark/>
          </w:tcPr>
          <w:p w14:paraId="4DBD7C1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794DFAE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99.3</w:t>
            </w:r>
          </w:p>
        </w:tc>
        <w:tc>
          <w:tcPr>
            <w:tcW w:w="68" w:type="pct"/>
            <w:tcBorders>
              <w:top w:val="nil"/>
              <w:left w:val="nil"/>
              <w:bottom w:val="single" w:sz="4" w:space="0" w:color="757171"/>
              <w:right w:val="nil"/>
            </w:tcBorders>
            <w:shd w:val="clear" w:color="auto" w:fill="FFFFFF"/>
            <w:noWrap/>
            <w:vAlign w:val="bottom"/>
            <w:hideMark/>
          </w:tcPr>
          <w:p w14:paraId="3F9F88D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0" w:type="pct"/>
            <w:tcBorders>
              <w:top w:val="nil"/>
              <w:left w:val="nil"/>
              <w:bottom w:val="single" w:sz="4" w:space="0" w:color="757171"/>
              <w:right w:val="nil"/>
            </w:tcBorders>
            <w:shd w:val="clear" w:color="auto" w:fill="FFFFFF"/>
            <w:noWrap/>
            <w:vAlign w:val="bottom"/>
            <w:hideMark/>
          </w:tcPr>
          <w:p w14:paraId="6651BC54"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22.1</w:t>
            </w:r>
          </w:p>
        </w:tc>
        <w:tc>
          <w:tcPr>
            <w:tcW w:w="68" w:type="pct"/>
            <w:tcBorders>
              <w:top w:val="nil"/>
              <w:left w:val="nil"/>
              <w:bottom w:val="single" w:sz="4" w:space="0" w:color="757171"/>
              <w:right w:val="nil"/>
            </w:tcBorders>
            <w:shd w:val="clear" w:color="auto" w:fill="FFFFFF"/>
            <w:noWrap/>
            <w:vAlign w:val="bottom"/>
            <w:hideMark/>
          </w:tcPr>
          <w:p w14:paraId="68B2D80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3015710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20.5</w:t>
            </w:r>
          </w:p>
        </w:tc>
        <w:tc>
          <w:tcPr>
            <w:tcW w:w="68" w:type="pct"/>
            <w:tcBorders>
              <w:top w:val="nil"/>
              <w:left w:val="nil"/>
              <w:bottom w:val="single" w:sz="4" w:space="0" w:color="757171"/>
              <w:right w:val="nil"/>
            </w:tcBorders>
            <w:shd w:val="clear" w:color="auto" w:fill="FFFFFF"/>
            <w:noWrap/>
            <w:vAlign w:val="bottom"/>
            <w:hideMark/>
          </w:tcPr>
          <w:p w14:paraId="419D40F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48D29C3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23.8</w:t>
            </w:r>
          </w:p>
        </w:tc>
        <w:tc>
          <w:tcPr>
            <w:tcW w:w="68" w:type="pct"/>
            <w:gridSpan w:val="2"/>
            <w:tcBorders>
              <w:top w:val="nil"/>
              <w:left w:val="nil"/>
              <w:bottom w:val="single" w:sz="4" w:space="0" w:color="757171"/>
              <w:right w:val="nil"/>
            </w:tcBorders>
            <w:shd w:val="clear" w:color="auto" w:fill="FFFFFF"/>
            <w:noWrap/>
            <w:vAlign w:val="bottom"/>
            <w:hideMark/>
          </w:tcPr>
          <w:p w14:paraId="52BF212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1" w:type="pct"/>
            <w:tcBorders>
              <w:top w:val="nil"/>
              <w:left w:val="nil"/>
              <w:bottom w:val="single" w:sz="4" w:space="0" w:color="757171"/>
              <w:right w:val="nil"/>
            </w:tcBorders>
            <w:shd w:val="clear" w:color="auto" w:fill="FFFFFF"/>
            <w:noWrap/>
            <w:vAlign w:val="bottom"/>
            <w:hideMark/>
          </w:tcPr>
          <w:p w14:paraId="096799BB"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31.1</w:t>
            </w:r>
          </w:p>
        </w:tc>
        <w:tc>
          <w:tcPr>
            <w:tcW w:w="68" w:type="pct"/>
            <w:tcBorders>
              <w:top w:val="nil"/>
              <w:left w:val="nil"/>
              <w:bottom w:val="single" w:sz="4" w:space="0" w:color="757171"/>
              <w:right w:val="nil"/>
            </w:tcBorders>
            <w:shd w:val="clear" w:color="auto" w:fill="FFFFFF"/>
            <w:noWrap/>
            <w:vAlign w:val="bottom"/>
            <w:hideMark/>
          </w:tcPr>
          <w:p w14:paraId="6681562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0AD1F68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23.0</w:t>
            </w:r>
          </w:p>
        </w:tc>
        <w:tc>
          <w:tcPr>
            <w:tcW w:w="68" w:type="pct"/>
            <w:tcBorders>
              <w:top w:val="nil"/>
              <w:left w:val="nil"/>
              <w:bottom w:val="single" w:sz="4" w:space="0" w:color="757171"/>
              <w:right w:val="nil"/>
            </w:tcBorders>
            <w:shd w:val="clear" w:color="auto" w:fill="FFFFFF"/>
            <w:noWrap/>
            <w:vAlign w:val="bottom"/>
            <w:hideMark/>
          </w:tcPr>
          <w:p w14:paraId="33EA3D0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3C35108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39.3</w:t>
            </w:r>
          </w:p>
        </w:tc>
        <w:tc>
          <w:tcPr>
            <w:tcW w:w="68" w:type="pct"/>
            <w:gridSpan w:val="2"/>
            <w:tcBorders>
              <w:top w:val="nil"/>
              <w:left w:val="nil"/>
              <w:bottom w:val="single" w:sz="4" w:space="0" w:color="757171"/>
              <w:right w:val="nil"/>
            </w:tcBorders>
            <w:shd w:val="clear" w:color="auto" w:fill="FFFFFF"/>
            <w:noWrap/>
            <w:vAlign w:val="bottom"/>
            <w:hideMark/>
          </w:tcPr>
          <w:p w14:paraId="5AC8386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220" w:type="pct"/>
            <w:gridSpan w:val="2"/>
            <w:tcBorders>
              <w:top w:val="nil"/>
              <w:left w:val="nil"/>
              <w:bottom w:val="single" w:sz="4" w:space="0" w:color="757171"/>
              <w:right w:val="nil"/>
            </w:tcBorders>
            <w:shd w:val="clear" w:color="auto" w:fill="FFFFFF"/>
            <w:noWrap/>
            <w:vAlign w:val="bottom"/>
            <w:hideMark/>
          </w:tcPr>
          <w:p w14:paraId="4E299393"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1.3</w:t>
            </w:r>
          </w:p>
        </w:tc>
        <w:tc>
          <w:tcPr>
            <w:tcW w:w="157" w:type="pct"/>
            <w:tcBorders>
              <w:top w:val="nil"/>
              <w:left w:val="nil"/>
              <w:bottom w:val="single" w:sz="4" w:space="0" w:color="757171"/>
              <w:right w:val="nil"/>
            </w:tcBorders>
            <w:shd w:val="clear" w:color="auto" w:fill="FFFFFF"/>
            <w:noWrap/>
            <w:vAlign w:val="bottom"/>
            <w:hideMark/>
          </w:tcPr>
          <w:p w14:paraId="2C0F5069"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6.7</w:t>
            </w:r>
          </w:p>
        </w:tc>
        <w:tc>
          <w:tcPr>
            <w:tcW w:w="68" w:type="pct"/>
            <w:tcBorders>
              <w:top w:val="nil"/>
              <w:left w:val="nil"/>
              <w:bottom w:val="single" w:sz="4" w:space="0" w:color="757171"/>
              <w:right w:val="nil"/>
            </w:tcBorders>
            <w:shd w:val="clear" w:color="auto" w:fill="FFFFFF"/>
            <w:noWrap/>
            <w:vAlign w:val="bottom"/>
            <w:hideMark/>
          </w:tcPr>
          <w:p w14:paraId="628C961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466721A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6.3</w:t>
            </w:r>
          </w:p>
        </w:tc>
        <w:tc>
          <w:tcPr>
            <w:tcW w:w="68" w:type="pct"/>
            <w:tcBorders>
              <w:top w:val="nil"/>
              <w:left w:val="nil"/>
              <w:bottom w:val="single" w:sz="4" w:space="0" w:color="757171"/>
              <w:right w:val="nil"/>
            </w:tcBorders>
            <w:shd w:val="clear" w:color="auto" w:fill="FFFFFF"/>
            <w:noWrap/>
            <w:vAlign w:val="bottom"/>
            <w:hideMark/>
          </w:tcPr>
          <w:p w14:paraId="7D823AE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gridSpan w:val="2"/>
            <w:tcBorders>
              <w:top w:val="nil"/>
              <w:left w:val="nil"/>
              <w:bottom w:val="single" w:sz="4" w:space="0" w:color="757171"/>
              <w:right w:val="nil"/>
            </w:tcBorders>
            <w:shd w:val="clear" w:color="auto" w:fill="FFFFFF"/>
            <w:noWrap/>
            <w:vAlign w:val="bottom"/>
            <w:hideMark/>
          </w:tcPr>
          <w:p w14:paraId="081AEE8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7.2</w:t>
            </w:r>
          </w:p>
        </w:tc>
        <w:tc>
          <w:tcPr>
            <w:tcW w:w="59" w:type="pct"/>
            <w:gridSpan w:val="2"/>
            <w:tcBorders>
              <w:top w:val="nil"/>
              <w:left w:val="nil"/>
              <w:bottom w:val="single" w:sz="4" w:space="0" w:color="757171"/>
              <w:right w:val="nil"/>
            </w:tcBorders>
            <w:shd w:val="clear" w:color="auto" w:fill="FFFFFF"/>
            <w:noWrap/>
            <w:vAlign w:val="bottom"/>
            <w:hideMark/>
          </w:tcPr>
          <w:p w14:paraId="0C3DDB3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r>
      <w:tr w:rsidR="00EA4D88" w:rsidRPr="000D5855" w14:paraId="42D46650" w14:textId="77777777" w:rsidTr="002B4BBA">
        <w:trPr>
          <w:trHeight w:val="576"/>
        </w:trPr>
        <w:tc>
          <w:tcPr>
            <w:tcW w:w="683" w:type="pct"/>
            <w:tcBorders>
              <w:top w:val="nil"/>
              <w:left w:val="nil"/>
              <w:bottom w:val="single" w:sz="4" w:space="0" w:color="757171"/>
              <w:right w:val="nil"/>
            </w:tcBorders>
            <w:shd w:val="clear" w:color="auto" w:fill="FFFFFF"/>
            <w:vAlign w:val="center"/>
            <w:hideMark/>
          </w:tcPr>
          <w:p w14:paraId="3128DD1C"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Early initiation of breastfeeding</w:t>
            </w:r>
          </w:p>
        </w:tc>
        <w:tc>
          <w:tcPr>
            <w:tcW w:w="161" w:type="pct"/>
            <w:tcBorders>
              <w:top w:val="nil"/>
              <w:left w:val="nil"/>
              <w:bottom w:val="single" w:sz="4" w:space="0" w:color="757171"/>
              <w:right w:val="nil"/>
            </w:tcBorders>
            <w:shd w:val="clear" w:color="auto" w:fill="FFFFFF"/>
            <w:noWrap/>
            <w:vAlign w:val="bottom"/>
            <w:hideMark/>
          </w:tcPr>
          <w:p w14:paraId="07B75B62"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52.6</w:t>
            </w:r>
          </w:p>
        </w:tc>
        <w:tc>
          <w:tcPr>
            <w:tcW w:w="68" w:type="pct"/>
            <w:tcBorders>
              <w:top w:val="nil"/>
              <w:left w:val="nil"/>
              <w:bottom w:val="single" w:sz="4" w:space="0" w:color="757171"/>
              <w:right w:val="nil"/>
            </w:tcBorders>
            <w:shd w:val="clear" w:color="auto" w:fill="FFFFFF"/>
            <w:noWrap/>
            <w:vAlign w:val="bottom"/>
            <w:hideMark/>
          </w:tcPr>
          <w:p w14:paraId="20397AC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5827ABE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49.7</w:t>
            </w:r>
          </w:p>
        </w:tc>
        <w:tc>
          <w:tcPr>
            <w:tcW w:w="68" w:type="pct"/>
            <w:tcBorders>
              <w:top w:val="nil"/>
              <w:left w:val="nil"/>
              <w:bottom w:val="single" w:sz="4" w:space="0" w:color="757171"/>
              <w:right w:val="nil"/>
            </w:tcBorders>
            <w:shd w:val="clear" w:color="auto" w:fill="FFFFFF"/>
            <w:noWrap/>
            <w:vAlign w:val="bottom"/>
            <w:hideMark/>
          </w:tcPr>
          <w:p w14:paraId="04FBDDE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4D7C6D8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55.5</w:t>
            </w:r>
          </w:p>
        </w:tc>
        <w:tc>
          <w:tcPr>
            <w:tcW w:w="68" w:type="pct"/>
            <w:tcBorders>
              <w:top w:val="nil"/>
              <w:left w:val="nil"/>
              <w:bottom w:val="single" w:sz="4" w:space="0" w:color="757171"/>
              <w:right w:val="nil"/>
            </w:tcBorders>
            <w:shd w:val="clear" w:color="auto" w:fill="FFFFFF"/>
            <w:noWrap/>
            <w:vAlign w:val="bottom"/>
            <w:hideMark/>
          </w:tcPr>
          <w:p w14:paraId="398213D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8" w:type="pct"/>
            <w:tcBorders>
              <w:top w:val="nil"/>
              <w:left w:val="nil"/>
              <w:bottom w:val="single" w:sz="4" w:space="0" w:color="757171"/>
              <w:right w:val="nil"/>
            </w:tcBorders>
            <w:shd w:val="clear" w:color="auto" w:fill="FFFFFF"/>
            <w:noWrap/>
            <w:vAlign w:val="bottom"/>
            <w:hideMark/>
          </w:tcPr>
          <w:p w14:paraId="4E3F92AB"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61.7</w:t>
            </w:r>
          </w:p>
        </w:tc>
        <w:tc>
          <w:tcPr>
            <w:tcW w:w="68" w:type="pct"/>
            <w:tcBorders>
              <w:top w:val="nil"/>
              <w:left w:val="nil"/>
              <w:bottom w:val="single" w:sz="4" w:space="0" w:color="757171"/>
              <w:right w:val="nil"/>
            </w:tcBorders>
            <w:shd w:val="clear" w:color="auto" w:fill="FFFFFF"/>
            <w:noWrap/>
            <w:vAlign w:val="bottom"/>
            <w:hideMark/>
          </w:tcPr>
          <w:p w14:paraId="77EA7E1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79F5102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56.4</w:t>
            </w:r>
          </w:p>
        </w:tc>
        <w:tc>
          <w:tcPr>
            <w:tcW w:w="68" w:type="pct"/>
            <w:tcBorders>
              <w:top w:val="nil"/>
              <w:left w:val="nil"/>
              <w:bottom w:val="single" w:sz="4" w:space="0" w:color="757171"/>
              <w:right w:val="nil"/>
            </w:tcBorders>
            <w:shd w:val="clear" w:color="auto" w:fill="FFFFFF"/>
            <w:noWrap/>
            <w:vAlign w:val="bottom"/>
            <w:hideMark/>
          </w:tcPr>
          <w:p w14:paraId="4978838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2F5B8FA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66.7</w:t>
            </w:r>
          </w:p>
        </w:tc>
        <w:tc>
          <w:tcPr>
            <w:tcW w:w="68" w:type="pct"/>
            <w:tcBorders>
              <w:top w:val="nil"/>
              <w:left w:val="nil"/>
              <w:bottom w:val="single" w:sz="4" w:space="0" w:color="757171"/>
              <w:right w:val="nil"/>
            </w:tcBorders>
            <w:shd w:val="clear" w:color="auto" w:fill="FFFFFF"/>
            <w:noWrap/>
            <w:vAlign w:val="bottom"/>
            <w:hideMark/>
          </w:tcPr>
          <w:p w14:paraId="66A3459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3" w:type="pct"/>
            <w:tcBorders>
              <w:top w:val="nil"/>
              <w:left w:val="nil"/>
              <w:bottom w:val="single" w:sz="4" w:space="0" w:color="757171"/>
              <w:right w:val="nil"/>
            </w:tcBorders>
            <w:shd w:val="clear" w:color="auto" w:fill="FFFFFF"/>
            <w:noWrap/>
            <w:vAlign w:val="bottom"/>
            <w:hideMark/>
          </w:tcPr>
          <w:p w14:paraId="20B2CEF0"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44.0</w:t>
            </w:r>
          </w:p>
        </w:tc>
        <w:tc>
          <w:tcPr>
            <w:tcW w:w="68" w:type="pct"/>
            <w:tcBorders>
              <w:top w:val="nil"/>
              <w:left w:val="nil"/>
              <w:bottom w:val="single" w:sz="4" w:space="0" w:color="757171"/>
              <w:right w:val="nil"/>
            </w:tcBorders>
            <w:shd w:val="clear" w:color="auto" w:fill="FFFFFF"/>
            <w:noWrap/>
            <w:vAlign w:val="bottom"/>
            <w:hideMark/>
          </w:tcPr>
          <w:p w14:paraId="06B98F6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17C011F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39.5</w:t>
            </w:r>
          </w:p>
        </w:tc>
        <w:tc>
          <w:tcPr>
            <w:tcW w:w="68" w:type="pct"/>
            <w:tcBorders>
              <w:top w:val="nil"/>
              <w:left w:val="nil"/>
              <w:bottom w:val="single" w:sz="4" w:space="0" w:color="757171"/>
              <w:right w:val="nil"/>
            </w:tcBorders>
            <w:shd w:val="clear" w:color="auto" w:fill="FFFFFF"/>
            <w:noWrap/>
            <w:vAlign w:val="bottom"/>
            <w:hideMark/>
          </w:tcPr>
          <w:p w14:paraId="3E7D90D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722946D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48.7</w:t>
            </w:r>
          </w:p>
        </w:tc>
        <w:tc>
          <w:tcPr>
            <w:tcW w:w="68" w:type="pct"/>
            <w:tcBorders>
              <w:top w:val="nil"/>
              <w:left w:val="nil"/>
              <w:bottom w:val="single" w:sz="4" w:space="0" w:color="757171"/>
              <w:right w:val="nil"/>
            </w:tcBorders>
            <w:shd w:val="clear" w:color="auto" w:fill="FFFFFF"/>
            <w:noWrap/>
            <w:vAlign w:val="bottom"/>
            <w:hideMark/>
          </w:tcPr>
          <w:p w14:paraId="34907B2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0" w:type="pct"/>
            <w:tcBorders>
              <w:top w:val="nil"/>
              <w:left w:val="nil"/>
              <w:bottom w:val="single" w:sz="4" w:space="0" w:color="757171"/>
              <w:right w:val="nil"/>
            </w:tcBorders>
            <w:shd w:val="clear" w:color="auto" w:fill="FFFFFF"/>
            <w:noWrap/>
            <w:vAlign w:val="bottom"/>
            <w:hideMark/>
          </w:tcPr>
          <w:p w14:paraId="25D266F5"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-17.7</w:t>
            </w:r>
          </w:p>
        </w:tc>
        <w:tc>
          <w:tcPr>
            <w:tcW w:w="68" w:type="pct"/>
            <w:tcBorders>
              <w:top w:val="nil"/>
              <w:left w:val="nil"/>
              <w:bottom w:val="single" w:sz="4" w:space="0" w:color="757171"/>
              <w:right w:val="nil"/>
            </w:tcBorders>
            <w:shd w:val="clear" w:color="auto" w:fill="FFFFFF"/>
            <w:noWrap/>
            <w:vAlign w:val="bottom"/>
            <w:hideMark/>
          </w:tcPr>
          <w:p w14:paraId="13C4974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77EC433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23.1</w:t>
            </w:r>
          </w:p>
        </w:tc>
        <w:tc>
          <w:tcPr>
            <w:tcW w:w="68" w:type="pct"/>
            <w:tcBorders>
              <w:top w:val="nil"/>
              <w:left w:val="nil"/>
              <w:bottom w:val="single" w:sz="4" w:space="0" w:color="757171"/>
              <w:right w:val="nil"/>
            </w:tcBorders>
            <w:shd w:val="clear" w:color="auto" w:fill="FFFFFF"/>
            <w:noWrap/>
            <w:vAlign w:val="bottom"/>
            <w:hideMark/>
          </w:tcPr>
          <w:p w14:paraId="3DDAF58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1409715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-12.2</w:t>
            </w:r>
          </w:p>
        </w:tc>
        <w:tc>
          <w:tcPr>
            <w:tcW w:w="68" w:type="pct"/>
            <w:gridSpan w:val="2"/>
            <w:tcBorders>
              <w:top w:val="nil"/>
              <w:left w:val="nil"/>
              <w:bottom w:val="single" w:sz="4" w:space="0" w:color="757171"/>
              <w:right w:val="nil"/>
            </w:tcBorders>
            <w:shd w:val="clear" w:color="auto" w:fill="FFFFFF"/>
            <w:noWrap/>
            <w:vAlign w:val="bottom"/>
            <w:hideMark/>
          </w:tcPr>
          <w:p w14:paraId="494DECC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1" w:type="pct"/>
            <w:tcBorders>
              <w:top w:val="nil"/>
              <w:left w:val="nil"/>
              <w:bottom w:val="single" w:sz="4" w:space="0" w:color="757171"/>
              <w:right w:val="nil"/>
            </w:tcBorders>
            <w:shd w:val="clear" w:color="auto" w:fill="FFFFFF"/>
            <w:noWrap/>
            <w:vAlign w:val="bottom"/>
            <w:hideMark/>
          </w:tcPr>
          <w:p w14:paraId="4D813D6C"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-22.9</w:t>
            </w:r>
          </w:p>
        </w:tc>
        <w:tc>
          <w:tcPr>
            <w:tcW w:w="68" w:type="pct"/>
            <w:tcBorders>
              <w:top w:val="nil"/>
              <w:left w:val="nil"/>
              <w:bottom w:val="single" w:sz="4" w:space="0" w:color="757171"/>
              <w:right w:val="nil"/>
            </w:tcBorders>
            <w:shd w:val="clear" w:color="auto" w:fill="FFFFFF"/>
            <w:noWrap/>
            <w:vAlign w:val="bottom"/>
            <w:hideMark/>
          </w:tcPr>
          <w:p w14:paraId="721E3BB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0CE6A3E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28.5</w:t>
            </w:r>
          </w:p>
        </w:tc>
        <w:tc>
          <w:tcPr>
            <w:tcW w:w="68" w:type="pct"/>
            <w:tcBorders>
              <w:top w:val="nil"/>
              <w:left w:val="nil"/>
              <w:bottom w:val="single" w:sz="4" w:space="0" w:color="757171"/>
              <w:right w:val="nil"/>
            </w:tcBorders>
            <w:shd w:val="clear" w:color="auto" w:fill="FFFFFF"/>
            <w:noWrap/>
            <w:vAlign w:val="bottom"/>
            <w:hideMark/>
          </w:tcPr>
          <w:p w14:paraId="072A40C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7B0357F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17.4</w:t>
            </w:r>
          </w:p>
        </w:tc>
        <w:tc>
          <w:tcPr>
            <w:tcW w:w="68" w:type="pct"/>
            <w:gridSpan w:val="2"/>
            <w:tcBorders>
              <w:top w:val="nil"/>
              <w:left w:val="nil"/>
              <w:bottom w:val="single" w:sz="4" w:space="0" w:color="757171"/>
              <w:right w:val="nil"/>
            </w:tcBorders>
            <w:shd w:val="clear" w:color="auto" w:fill="FFFFFF"/>
            <w:noWrap/>
            <w:vAlign w:val="bottom"/>
            <w:hideMark/>
          </w:tcPr>
          <w:p w14:paraId="4A53C5B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220" w:type="pct"/>
            <w:gridSpan w:val="2"/>
            <w:tcBorders>
              <w:top w:val="nil"/>
              <w:left w:val="nil"/>
              <w:bottom w:val="single" w:sz="4" w:space="0" w:color="757171"/>
              <w:right w:val="nil"/>
            </w:tcBorders>
            <w:shd w:val="clear" w:color="auto" w:fill="FFFFFF"/>
            <w:noWrap/>
            <w:vAlign w:val="bottom"/>
            <w:hideMark/>
          </w:tcPr>
          <w:p w14:paraId="0AD44BCE"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0.7</w:t>
            </w:r>
          </w:p>
        </w:tc>
        <w:tc>
          <w:tcPr>
            <w:tcW w:w="157" w:type="pct"/>
            <w:tcBorders>
              <w:top w:val="nil"/>
              <w:left w:val="nil"/>
              <w:bottom w:val="single" w:sz="4" w:space="0" w:color="757171"/>
              <w:right w:val="nil"/>
            </w:tcBorders>
            <w:shd w:val="clear" w:color="auto" w:fill="FFFFFF"/>
            <w:noWrap/>
            <w:vAlign w:val="bottom"/>
            <w:hideMark/>
          </w:tcPr>
          <w:p w14:paraId="0D6CE745"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-4.5</w:t>
            </w:r>
          </w:p>
        </w:tc>
        <w:tc>
          <w:tcPr>
            <w:tcW w:w="68" w:type="pct"/>
            <w:tcBorders>
              <w:top w:val="nil"/>
              <w:left w:val="nil"/>
              <w:bottom w:val="single" w:sz="4" w:space="0" w:color="757171"/>
              <w:right w:val="nil"/>
            </w:tcBorders>
            <w:shd w:val="clear" w:color="auto" w:fill="FFFFFF"/>
            <w:noWrap/>
            <w:vAlign w:val="bottom"/>
            <w:hideMark/>
          </w:tcPr>
          <w:p w14:paraId="25F0F5D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281426A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-6.0</w:t>
            </w:r>
          </w:p>
        </w:tc>
        <w:tc>
          <w:tcPr>
            <w:tcW w:w="68" w:type="pct"/>
            <w:tcBorders>
              <w:top w:val="nil"/>
              <w:left w:val="nil"/>
              <w:bottom w:val="single" w:sz="4" w:space="0" w:color="757171"/>
              <w:right w:val="nil"/>
            </w:tcBorders>
            <w:shd w:val="clear" w:color="auto" w:fill="FFFFFF"/>
            <w:noWrap/>
            <w:vAlign w:val="bottom"/>
            <w:hideMark/>
          </w:tcPr>
          <w:p w14:paraId="281B9D9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gridSpan w:val="2"/>
            <w:tcBorders>
              <w:top w:val="nil"/>
              <w:left w:val="nil"/>
              <w:bottom w:val="single" w:sz="4" w:space="0" w:color="757171"/>
              <w:right w:val="nil"/>
            </w:tcBorders>
            <w:shd w:val="clear" w:color="auto" w:fill="FFFFFF"/>
            <w:noWrap/>
            <w:vAlign w:val="bottom"/>
            <w:hideMark/>
          </w:tcPr>
          <w:p w14:paraId="4678E02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-3.1</w:t>
            </w:r>
          </w:p>
        </w:tc>
        <w:tc>
          <w:tcPr>
            <w:tcW w:w="59" w:type="pct"/>
            <w:gridSpan w:val="2"/>
            <w:tcBorders>
              <w:top w:val="nil"/>
              <w:left w:val="nil"/>
              <w:bottom w:val="single" w:sz="4" w:space="0" w:color="757171"/>
              <w:right w:val="nil"/>
            </w:tcBorders>
            <w:shd w:val="clear" w:color="auto" w:fill="FFFFFF"/>
            <w:noWrap/>
            <w:vAlign w:val="bottom"/>
            <w:hideMark/>
          </w:tcPr>
          <w:p w14:paraId="263B0FA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r>
      <w:tr w:rsidR="00EA4D88" w:rsidRPr="000D5855" w14:paraId="72B8DA29" w14:textId="77777777" w:rsidTr="002B4BBA">
        <w:trPr>
          <w:trHeight w:val="576"/>
        </w:trPr>
        <w:tc>
          <w:tcPr>
            <w:tcW w:w="683" w:type="pct"/>
            <w:tcBorders>
              <w:top w:val="nil"/>
              <w:left w:val="nil"/>
              <w:bottom w:val="single" w:sz="4" w:space="0" w:color="757171"/>
              <w:right w:val="nil"/>
            </w:tcBorders>
            <w:shd w:val="clear" w:color="auto" w:fill="FFFFFF"/>
            <w:vAlign w:val="center"/>
            <w:hideMark/>
          </w:tcPr>
          <w:p w14:paraId="6965F36F"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Full immunization coverage</w:t>
            </w:r>
          </w:p>
        </w:tc>
        <w:tc>
          <w:tcPr>
            <w:tcW w:w="161" w:type="pct"/>
            <w:tcBorders>
              <w:top w:val="nil"/>
              <w:left w:val="nil"/>
              <w:bottom w:val="single" w:sz="4" w:space="0" w:color="757171"/>
              <w:right w:val="nil"/>
            </w:tcBorders>
            <w:shd w:val="clear" w:color="auto" w:fill="FFFFFF"/>
            <w:noWrap/>
            <w:vAlign w:val="bottom"/>
            <w:hideMark/>
          </w:tcPr>
          <w:p w14:paraId="0738EA81"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66.6</w:t>
            </w:r>
          </w:p>
        </w:tc>
        <w:tc>
          <w:tcPr>
            <w:tcW w:w="68" w:type="pct"/>
            <w:tcBorders>
              <w:top w:val="nil"/>
              <w:left w:val="nil"/>
              <w:bottom w:val="single" w:sz="4" w:space="0" w:color="757171"/>
              <w:right w:val="nil"/>
            </w:tcBorders>
            <w:shd w:val="clear" w:color="auto" w:fill="FFFFFF"/>
            <w:noWrap/>
            <w:vAlign w:val="bottom"/>
            <w:hideMark/>
          </w:tcPr>
          <w:p w14:paraId="2D89100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7E38F37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62.9</w:t>
            </w:r>
          </w:p>
        </w:tc>
        <w:tc>
          <w:tcPr>
            <w:tcW w:w="68" w:type="pct"/>
            <w:tcBorders>
              <w:top w:val="nil"/>
              <w:left w:val="nil"/>
              <w:bottom w:val="single" w:sz="4" w:space="0" w:color="757171"/>
              <w:right w:val="nil"/>
            </w:tcBorders>
            <w:shd w:val="clear" w:color="auto" w:fill="FFFFFF"/>
            <w:noWrap/>
            <w:vAlign w:val="bottom"/>
            <w:hideMark/>
          </w:tcPr>
          <w:p w14:paraId="69E055D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5E4B36C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70.1</w:t>
            </w:r>
          </w:p>
        </w:tc>
        <w:tc>
          <w:tcPr>
            <w:tcW w:w="68" w:type="pct"/>
            <w:tcBorders>
              <w:top w:val="nil"/>
              <w:left w:val="nil"/>
              <w:bottom w:val="single" w:sz="4" w:space="0" w:color="757171"/>
              <w:right w:val="nil"/>
            </w:tcBorders>
            <w:shd w:val="clear" w:color="auto" w:fill="FFFFFF"/>
            <w:noWrap/>
            <w:vAlign w:val="bottom"/>
            <w:hideMark/>
          </w:tcPr>
          <w:p w14:paraId="068190A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8" w:type="pct"/>
            <w:tcBorders>
              <w:top w:val="nil"/>
              <w:left w:val="nil"/>
              <w:bottom w:val="single" w:sz="4" w:space="0" w:color="757171"/>
              <w:right w:val="nil"/>
            </w:tcBorders>
            <w:shd w:val="clear" w:color="auto" w:fill="FFFFFF"/>
            <w:noWrap/>
            <w:vAlign w:val="bottom"/>
            <w:hideMark/>
          </w:tcPr>
          <w:p w14:paraId="3396B254"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63.1</w:t>
            </w:r>
          </w:p>
        </w:tc>
        <w:tc>
          <w:tcPr>
            <w:tcW w:w="68" w:type="pct"/>
            <w:tcBorders>
              <w:top w:val="nil"/>
              <w:left w:val="nil"/>
              <w:bottom w:val="single" w:sz="4" w:space="0" w:color="757171"/>
              <w:right w:val="nil"/>
            </w:tcBorders>
            <w:shd w:val="clear" w:color="auto" w:fill="FFFFFF"/>
            <w:noWrap/>
            <w:vAlign w:val="bottom"/>
            <w:hideMark/>
          </w:tcPr>
          <w:p w14:paraId="374416A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4A270D1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56.0</w:t>
            </w:r>
          </w:p>
        </w:tc>
        <w:tc>
          <w:tcPr>
            <w:tcW w:w="68" w:type="pct"/>
            <w:tcBorders>
              <w:top w:val="nil"/>
              <w:left w:val="nil"/>
              <w:bottom w:val="single" w:sz="4" w:space="0" w:color="757171"/>
              <w:right w:val="nil"/>
            </w:tcBorders>
            <w:shd w:val="clear" w:color="auto" w:fill="FFFFFF"/>
            <w:noWrap/>
            <w:vAlign w:val="bottom"/>
            <w:hideMark/>
          </w:tcPr>
          <w:p w14:paraId="572D28A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7A7E7D7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69.6</w:t>
            </w:r>
          </w:p>
        </w:tc>
        <w:tc>
          <w:tcPr>
            <w:tcW w:w="68" w:type="pct"/>
            <w:tcBorders>
              <w:top w:val="nil"/>
              <w:left w:val="nil"/>
              <w:bottom w:val="single" w:sz="4" w:space="0" w:color="757171"/>
              <w:right w:val="nil"/>
            </w:tcBorders>
            <w:shd w:val="clear" w:color="auto" w:fill="FFFFFF"/>
            <w:noWrap/>
            <w:vAlign w:val="bottom"/>
            <w:hideMark/>
          </w:tcPr>
          <w:p w14:paraId="619F36E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3" w:type="pct"/>
            <w:tcBorders>
              <w:top w:val="nil"/>
              <w:left w:val="nil"/>
              <w:bottom w:val="single" w:sz="4" w:space="0" w:color="757171"/>
              <w:right w:val="nil"/>
            </w:tcBorders>
            <w:shd w:val="clear" w:color="auto" w:fill="FFFFFF"/>
            <w:noWrap/>
            <w:vAlign w:val="bottom"/>
            <w:hideMark/>
          </w:tcPr>
          <w:p w14:paraId="340A60FC"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74.0</w:t>
            </w:r>
          </w:p>
        </w:tc>
        <w:tc>
          <w:tcPr>
            <w:tcW w:w="68" w:type="pct"/>
            <w:tcBorders>
              <w:top w:val="nil"/>
              <w:left w:val="nil"/>
              <w:bottom w:val="single" w:sz="4" w:space="0" w:color="757171"/>
              <w:right w:val="nil"/>
            </w:tcBorders>
            <w:shd w:val="clear" w:color="auto" w:fill="FFFFFF"/>
            <w:noWrap/>
            <w:vAlign w:val="bottom"/>
            <w:hideMark/>
          </w:tcPr>
          <w:p w14:paraId="0D37834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25B5266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64.4</w:t>
            </w:r>
          </w:p>
        </w:tc>
        <w:tc>
          <w:tcPr>
            <w:tcW w:w="68" w:type="pct"/>
            <w:tcBorders>
              <w:top w:val="nil"/>
              <w:left w:val="nil"/>
              <w:bottom w:val="single" w:sz="4" w:space="0" w:color="757171"/>
              <w:right w:val="nil"/>
            </w:tcBorders>
            <w:shd w:val="clear" w:color="auto" w:fill="FFFFFF"/>
            <w:noWrap/>
            <w:vAlign w:val="bottom"/>
            <w:hideMark/>
          </w:tcPr>
          <w:p w14:paraId="318FC3F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735DC68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81.7</w:t>
            </w:r>
          </w:p>
        </w:tc>
        <w:tc>
          <w:tcPr>
            <w:tcW w:w="68" w:type="pct"/>
            <w:tcBorders>
              <w:top w:val="nil"/>
              <w:left w:val="nil"/>
              <w:bottom w:val="single" w:sz="4" w:space="0" w:color="757171"/>
              <w:right w:val="nil"/>
            </w:tcBorders>
            <w:shd w:val="clear" w:color="auto" w:fill="FFFFFF"/>
            <w:noWrap/>
            <w:vAlign w:val="bottom"/>
            <w:hideMark/>
          </w:tcPr>
          <w:p w14:paraId="6F96F7A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0" w:type="pct"/>
            <w:tcBorders>
              <w:top w:val="nil"/>
              <w:left w:val="nil"/>
              <w:bottom w:val="single" w:sz="4" w:space="0" w:color="757171"/>
              <w:right w:val="nil"/>
            </w:tcBorders>
            <w:shd w:val="clear" w:color="auto" w:fill="FFFFFF"/>
            <w:noWrap/>
            <w:vAlign w:val="bottom"/>
            <w:hideMark/>
          </w:tcPr>
          <w:p w14:paraId="0DA8636B"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10.9</w:t>
            </w:r>
          </w:p>
        </w:tc>
        <w:tc>
          <w:tcPr>
            <w:tcW w:w="68" w:type="pct"/>
            <w:tcBorders>
              <w:top w:val="nil"/>
              <w:left w:val="nil"/>
              <w:bottom w:val="single" w:sz="4" w:space="0" w:color="757171"/>
              <w:right w:val="nil"/>
            </w:tcBorders>
            <w:shd w:val="clear" w:color="auto" w:fill="FFFFFF"/>
            <w:noWrap/>
            <w:vAlign w:val="bottom"/>
            <w:hideMark/>
          </w:tcPr>
          <w:p w14:paraId="0FFAC2E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2215141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4.0</w:t>
            </w:r>
          </w:p>
        </w:tc>
        <w:tc>
          <w:tcPr>
            <w:tcW w:w="68" w:type="pct"/>
            <w:tcBorders>
              <w:top w:val="nil"/>
              <w:left w:val="nil"/>
              <w:bottom w:val="single" w:sz="4" w:space="0" w:color="757171"/>
              <w:right w:val="nil"/>
            </w:tcBorders>
            <w:shd w:val="clear" w:color="auto" w:fill="FFFFFF"/>
            <w:noWrap/>
            <w:vAlign w:val="bottom"/>
            <w:hideMark/>
          </w:tcPr>
          <w:p w14:paraId="1DB11C0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2E8C6E8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17.8</w:t>
            </w:r>
          </w:p>
        </w:tc>
        <w:tc>
          <w:tcPr>
            <w:tcW w:w="68" w:type="pct"/>
            <w:gridSpan w:val="2"/>
            <w:tcBorders>
              <w:top w:val="nil"/>
              <w:left w:val="nil"/>
              <w:bottom w:val="single" w:sz="4" w:space="0" w:color="757171"/>
              <w:right w:val="nil"/>
            </w:tcBorders>
            <w:shd w:val="clear" w:color="auto" w:fill="FFFFFF"/>
            <w:noWrap/>
            <w:vAlign w:val="bottom"/>
            <w:hideMark/>
          </w:tcPr>
          <w:p w14:paraId="5C78861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1" w:type="pct"/>
            <w:tcBorders>
              <w:top w:val="nil"/>
              <w:left w:val="nil"/>
              <w:bottom w:val="single" w:sz="4" w:space="0" w:color="757171"/>
              <w:right w:val="nil"/>
            </w:tcBorders>
            <w:shd w:val="clear" w:color="auto" w:fill="FFFFFF"/>
            <w:noWrap/>
            <w:vAlign w:val="bottom"/>
            <w:hideMark/>
          </w:tcPr>
          <w:p w14:paraId="16BDB6F1"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8.0</w:t>
            </w:r>
          </w:p>
        </w:tc>
        <w:tc>
          <w:tcPr>
            <w:tcW w:w="68" w:type="pct"/>
            <w:tcBorders>
              <w:top w:val="nil"/>
              <w:left w:val="nil"/>
              <w:bottom w:val="single" w:sz="4" w:space="0" w:color="757171"/>
              <w:right w:val="nil"/>
            </w:tcBorders>
            <w:shd w:val="clear" w:color="auto" w:fill="FFFFFF"/>
            <w:noWrap/>
            <w:vAlign w:val="bottom"/>
            <w:hideMark/>
          </w:tcPr>
          <w:p w14:paraId="071FFC1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7115DAB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-3.0</w:t>
            </w:r>
          </w:p>
        </w:tc>
        <w:tc>
          <w:tcPr>
            <w:tcW w:w="68" w:type="pct"/>
            <w:tcBorders>
              <w:top w:val="nil"/>
              <w:left w:val="nil"/>
              <w:bottom w:val="single" w:sz="4" w:space="0" w:color="757171"/>
              <w:right w:val="nil"/>
            </w:tcBorders>
            <w:shd w:val="clear" w:color="auto" w:fill="FFFFFF"/>
            <w:noWrap/>
            <w:vAlign w:val="bottom"/>
            <w:hideMark/>
          </w:tcPr>
          <w:p w14:paraId="6E745D5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012DE21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19.1</w:t>
            </w:r>
          </w:p>
        </w:tc>
        <w:tc>
          <w:tcPr>
            <w:tcW w:w="68" w:type="pct"/>
            <w:gridSpan w:val="2"/>
            <w:tcBorders>
              <w:top w:val="nil"/>
              <w:left w:val="nil"/>
              <w:bottom w:val="single" w:sz="4" w:space="0" w:color="757171"/>
              <w:right w:val="nil"/>
            </w:tcBorders>
            <w:shd w:val="clear" w:color="auto" w:fill="FFFFFF"/>
            <w:noWrap/>
            <w:vAlign w:val="bottom"/>
            <w:hideMark/>
          </w:tcPr>
          <w:p w14:paraId="5847869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220" w:type="pct"/>
            <w:gridSpan w:val="2"/>
            <w:tcBorders>
              <w:top w:val="nil"/>
              <w:left w:val="nil"/>
              <w:bottom w:val="single" w:sz="4" w:space="0" w:color="757171"/>
              <w:right w:val="nil"/>
            </w:tcBorders>
            <w:shd w:val="clear" w:color="auto" w:fill="FFFFFF"/>
            <w:noWrap/>
            <w:vAlign w:val="bottom"/>
            <w:hideMark/>
          </w:tcPr>
          <w:p w14:paraId="4B0225F8"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1.2</w:t>
            </w:r>
          </w:p>
        </w:tc>
        <w:tc>
          <w:tcPr>
            <w:tcW w:w="157" w:type="pct"/>
            <w:tcBorders>
              <w:top w:val="nil"/>
              <w:left w:val="nil"/>
              <w:bottom w:val="single" w:sz="4" w:space="0" w:color="757171"/>
              <w:right w:val="nil"/>
            </w:tcBorders>
            <w:shd w:val="clear" w:color="auto" w:fill="FFFFFF"/>
            <w:noWrap/>
            <w:vAlign w:val="bottom"/>
            <w:hideMark/>
          </w:tcPr>
          <w:p w14:paraId="2C77705D"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4.2</w:t>
            </w:r>
          </w:p>
        </w:tc>
        <w:tc>
          <w:tcPr>
            <w:tcW w:w="68" w:type="pct"/>
            <w:tcBorders>
              <w:top w:val="nil"/>
              <w:left w:val="nil"/>
              <w:bottom w:val="single" w:sz="4" w:space="0" w:color="757171"/>
              <w:right w:val="nil"/>
            </w:tcBorders>
            <w:shd w:val="clear" w:color="auto" w:fill="FFFFFF"/>
            <w:noWrap/>
            <w:vAlign w:val="bottom"/>
            <w:hideMark/>
          </w:tcPr>
          <w:p w14:paraId="7D1E6E6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137D943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2.4</w:t>
            </w:r>
          </w:p>
        </w:tc>
        <w:tc>
          <w:tcPr>
            <w:tcW w:w="68" w:type="pct"/>
            <w:tcBorders>
              <w:top w:val="nil"/>
              <w:left w:val="nil"/>
              <w:bottom w:val="single" w:sz="4" w:space="0" w:color="757171"/>
              <w:right w:val="nil"/>
            </w:tcBorders>
            <w:shd w:val="clear" w:color="auto" w:fill="FFFFFF"/>
            <w:noWrap/>
            <w:vAlign w:val="bottom"/>
            <w:hideMark/>
          </w:tcPr>
          <w:p w14:paraId="53AB1FE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gridSpan w:val="2"/>
            <w:tcBorders>
              <w:top w:val="nil"/>
              <w:left w:val="nil"/>
              <w:bottom w:val="single" w:sz="4" w:space="0" w:color="757171"/>
              <w:right w:val="nil"/>
            </w:tcBorders>
            <w:shd w:val="clear" w:color="auto" w:fill="FFFFFF"/>
            <w:noWrap/>
            <w:vAlign w:val="bottom"/>
            <w:hideMark/>
          </w:tcPr>
          <w:p w14:paraId="66F39D4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6.1</w:t>
            </w:r>
          </w:p>
        </w:tc>
        <w:tc>
          <w:tcPr>
            <w:tcW w:w="59" w:type="pct"/>
            <w:gridSpan w:val="2"/>
            <w:tcBorders>
              <w:top w:val="nil"/>
              <w:left w:val="nil"/>
              <w:bottom w:val="single" w:sz="4" w:space="0" w:color="757171"/>
              <w:right w:val="nil"/>
            </w:tcBorders>
            <w:shd w:val="clear" w:color="auto" w:fill="FFFFFF"/>
            <w:noWrap/>
            <w:vAlign w:val="bottom"/>
            <w:hideMark/>
          </w:tcPr>
          <w:p w14:paraId="2AE6C8F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r>
      <w:tr w:rsidR="00EA4D88" w:rsidRPr="000D5855" w14:paraId="292DC50F" w14:textId="77777777" w:rsidTr="002B4BBA">
        <w:trPr>
          <w:trHeight w:val="576"/>
        </w:trPr>
        <w:tc>
          <w:tcPr>
            <w:tcW w:w="683" w:type="pct"/>
            <w:tcBorders>
              <w:top w:val="nil"/>
              <w:left w:val="nil"/>
              <w:bottom w:val="single" w:sz="4" w:space="0" w:color="757171"/>
              <w:right w:val="nil"/>
            </w:tcBorders>
            <w:shd w:val="clear" w:color="auto" w:fill="FFFFFF"/>
            <w:vAlign w:val="center"/>
            <w:hideMark/>
          </w:tcPr>
          <w:p w14:paraId="389651B4"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Improved sanitary facility</w:t>
            </w:r>
          </w:p>
        </w:tc>
        <w:tc>
          <w:tcPr>
            <w:tcW w:w="161" w:type="pct"/>
            <w:tcBorders>
              <w:top w:val="nil"/>
              <w:left w:val="nil"/>
              <w:bottom w:val="single" w:sz="4" w:space="0" w:color="757171"/>
              <w:right w:val="nil"/>
            </w:tcBorders>
            <w:shd w:val="clear" w:color="auto" w:fill="FFFFFF"/>
            <w:noWrap/>
            <w:vAlign w:val="bottom"/>
            <w:hideMark/>
          </w:tcPr>
          <w:p w14:paraId="79C93523"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78.8</w:t>
            </w:r>
          </w:p>
        </w:tc>
        <w:tc>
          <w:tcPr>
            <w:tcW w:w="68" w:type="pct"/>
            <w:tcBorders>
              <w:top w:val="nil"/>
              <w:left w:val="nil"/>
              <w:bottom w:val="single" w:sz="4" w:space="0" w:color="757171"/>
              <w:right w:val="nil"/>
            </w:tcBorders>
            <w:shd w:val="clear" w:color="auto" w:fill="FFFFFF"/>
            <w:noWrap/>
            <w:vAlign w:val="bottom"/>
            <w:hideMark/>
          </w:tcPr>
          <w:p w14:paraId="37087C3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5B93528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76.6</w:t>
            </w:r>
          </w:p>
        </w:tc>
        <w:tc>
          <w:tcPr>
            <w:tcW w:w="68" w:type="pct"/>
            <w:tcBorders>
              <w:top w:val="nil"/>
              <w:left w:val="nil"/>
              <w:bottom w:val="single" w:sz="4" w:space="0" w:color="757171"/>
              <w:right w:val="nil"/>
            </w:tcBorders>
            <w:shd w:val="clear" w:color="auto" w:fill="FFFFFF"/>
            <w:noWrap/>
            <w:vAlign w:val="bottom"/>
            <w:hideMark/>
          </w:tcPr>
          <w:p w14:paraId="3DD1F67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3AE9CD0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80.9</w:t>
            </w:r>
          </w:p>
        </w:tc>
        <w:tc>
          <w:tcPr>
            <w:tcW w:w="68" w:type="pct"/>
            <w:tcBorders>
              <w:top w:val="nil"/>
              <w:left w:val="nil"/>
              <w:bottom w:val="single" w:sz="4" w:space="0" w:color="757171"/>
              <w:right w:val="nil"/>
            </w:tcBorders>
            <w:shd w:val="clear" w:color="auto" w:fill="FFFFFF"/>
            <w:noWrap/>
            <w:vAlign w:val="bottom"/>
            <w:hideMark/>
          </w:tcPr>
          <w:p w14:paraId="366BB1E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8" w:type="pct"/>
            <w:tcBorders>
              <w:top w:val="nil"/>
              <w:left w:val="nil"/>
              <w:bottom w:val="single" w:sz="4" w:space="0" w:color="757171"/>
              <w:right w:val="nil"/>
            </w:tcBorders>
            <w:shd w:val="clear" w:color="auto" w:fill="FFFFFF"/>
            <w:noWrap/>
            <w:vAlign w:val="bottom"/>
            <w:hideMark/>
          </w:tcPr>
          <w:p w14:paraId="5C93D5E2"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41.0</w:t>
            </w:r>
          </w:p>
        </w:tc>
        <w:tc>
          <w:tcPr>
            <w:tcW w:w="68" w:type="pct"/>
            <w:tcBorders>
              <w:top w:val="nil"/>
              <w:left w:val="nil"/>
              <w:bottom w:val="single" w:sz="4" w:space="0" w:color="757171"/>
              <w:right w:val="nil"/>
            </w:tcBorders>
            <w:shd w:val="clear" w:color="auto" w:fill="FFFFFF"/>
            <w:noWrap/>
            <w:vAlign w:val="bottom"/>
            <w:hideMark/>
          </w:tcPr>
          <w:p w14:paraId="2E81347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2DC597C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37.5</w:t>
            </w:r>
          </w:p>
        </w:tc>
        <w:tc>
          <w:tcPr>
            <w:tcW w:w="68" w:type="pct"/>
            <w:tcBorders>
              <w:top w:val="nil"/>
              <w:left w:val="nil"/>
              <w:bottom w:val="single" w:sz="4" w:space="0" w:color="757171"/>
              <w:right w:val="nil"/>
            </w:tcBorders>
            <w:shd w:val="clear" w:color="auto" w:fill="FFFFFF"/>
            <w:noWrap/>
            <w:vAlign w:val="bottom"/>
            <w:hideMark/>
          </w:tcPr>
          <w:p w14:paraId="105BDCF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4" w:space="0" w:color="757171"/>
              <w:right w:val="nil"/>
            </w:tcBorders>
            <w:shd w:val="clear" w:color="auto" w:fill="FFFFFF"/>
            <w:noWrap/>
            <w:vAlign w:val="bottom"/>
            <w:hideMark/>
          </w:tcPr>
          <w:p w14:paraId="2F38FAB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44.6</w:t>
            </w:r>
          </w:p>
        </w:tc>
        <w:tc>
          <w:tcPr>
            <w:tcW w:w="68" w:type="pct"/>
            <w:tcBorders>
              <w:top w:val="nil"/>
              <w:left w:val="nil"/>
              <w:bottom w:val="single" w:sz="4" w:space="0" w:color="757171"/>
              <w:right w:val="nil"/>
            </w:tcBorders>
            <w:shd w:val="clear" w:color="auto" w:fill="FFFFFF"/>
            <w:noWrap/>
            <w:vAlign w:val="bottom"/>
            <w:hideMark/>
          </w:tcPr>
          <w:p w14:paraId="37F762E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3" w:type="pct"/>
            <w:tcBorders>
              <w:top w:val="nil"/>
              <w:left w:val="nil"/>
              <w:bottom w:val="single" w:sz="4" w:space="0" w:color="757171"/>
              <w:right w:val="nil"/>
            </w:tcBorders>
            <w:shd w:val="clear" w:color="auto" w:fill="FFFFFF"/>
            <w:noWrap/>
            <w:vAlign w:val="bottom"/>
            <w:hideMark/>
          </w:tcPr>
          <w:p w14:paraId="2898F2C9"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99.1</w:t>
            </w:r>
          </w:p>
        </w:tc>
        <w:tc>
          <w:tcPr>
            <w:tcW w:w="68" w:type="pct"/>
            <w:tcBorders>
              <w:top w:val="nil"/>
              <w:left w:val="nil"/>
              <w:bottom w:val="single" w:sz="4" w:space="0" w:color="757171"/>
              <w:right w:val="nil"/>
            </w:tcBorders>
            <w:shd w:val="clear" w:color="auto" w:fill="FFFFFF"/>
            <w:noWrap/>
            <w:vAlign w:val="bottom"/>
            <w:hideMark/>
          </w:tcPr>
          <w:p w14:paraId="0EA6C07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2E327EF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98.4</w:t>
            </w:r>
          </w:p>
        </w:tc>
        <w:tc>
          <w:tcPr>
            <w:tcW w:w="68" w:type="pct"/>
            <w:tcBorders>
              <w:top w:val="nil"/>
              <w:left w:val="nil"/>
              <w:bottom w:val="single" w:sz="4" w:space="0" w:color="757171"/>
              <w:right w:val="nil"/>
            </w:tcBorders>
            <w:shd w:val="clear" w:color="auto" w:fill="FFFFFF"/>
            <w:noWrap/>
            <w:vAlign w:val="bottom"/>
            <w:hideMark/>
          </w:tcPr>
          <w:p w14:paraId="623D3BC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622BBCD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99.4</w:t>
            </w:r>
          </w:p>
        </w:tc>
        <w:tc>
          <w:tcPr>
            <w:tcW w:w="68" w:type="pct"/>
            <w:tcBorders>
              <w:top w:val="nil"/>
              <w:left w:val="nil"/>
              <w:bottom w:val="single" w:sz="4" w:space="0" w:color="757171"/>
              <w:right w:val="nil"/>
            </w:tcBorders>
            <w:shd w:val="clear" w:color="auto" w:fill="FFFFFF"/>
            <w:noWrap/>
            <w:vAlign w:val="bottom"/>
            <w:hideMark/>
          </w:tcPr>
          <w:p w14:paraId="42F7E1F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0" w:type="pct"/>
            <w:tcBorders>
              <w:top w:val="nil"/>
              <w:left w:val="nil"/>
              <w:bottom w:val="single" w:sz="4" w:space="0" w:color="757171"/>
              <w:right w:val="nil"/>
            </w:tcBorders>
            <w:shd w:val="clear" w:color="auto" w:fill="FFFFFF"/>
            <w:noWrap/>
            <w:vAlign w:val="bottom"/>
            <w:hideMark/>
          </w:tcPr>
          <w:p w14:paraId="3AA3949F"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58.1</w:t>
            </w:r>
          </w:p>
        </w:tc>
        <w:tc>
          <w:tcPr>
            <w:tcW w:w="68" w:type="pct"/>
            <w:tcBorders>
              <w:top w:val="nil"/>
              <w:left w:val="nil"/>
              <w:bottom w:val="single" w:sz="4" w:space="0" w:color="757171"/>
              <w:right w:val="nil"/>
            </w:tcBorders>
            <w:shd w:val="clear" w:color="auto" w:fill="FFFFFF"/>
            <w:noWrap/>
            <w:vAlign w:val="bottom"/>
            <w:hideMark/>
          </w:tcPr>
          <w:p w14:paraId="308968D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2287A1C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56.6</w:t>
            </w:r>
          </w:p>
        </w:tc>
        <w:tc>
          <w:tcPr>
            <w:tcW w:w="68" w:type="pct"/>
            <w:tcBorders>
              <w:top w:val="nil"/>
              <w:left w:val="nil"/>
              <w:bottom w:val="single" w:sz="4" w:space="0" w:color="757171"/>
              <w:right w:val="nil"/>
            </w:tcBorders>
            <w:shd w:val="clear" w:color="auto" w:fill="FFFFFF"/>
            <w:noWrap/>
            <w:vAlign w:val="bottom"/>
            <w:hideMark/>
          </w:tcPr>
          <w:p w14:paraId="48550B9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01AA1BE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59.5</w:t>
            </w:r>
          </w:p>
        </w:tc>
        <w:tc>
          <w:tcPr>
            <w:tcW w:w="68" w:type="pct"/>
            <w:gridSpan w:val="2"/>
            <w:tcBorders>
              <w:top w:val="nil"/>
              <w:left w:val="nil"/>
              <w:bottom w:val="single" w:sz="4" w:space="0" w:color="757171"/>
              <w:right w:val="nil"/>
            </w:tcBorders>
            <w:shd w:val="clear" w:color="auto" w:fill="FFFFFF"/>
            <w:noWrap/>
            <w:vAlign w:val="bottom"/>
            <w:hideMark/>
          </w:tcPr>
          <w:p w14:paraId="75FC954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1" w:type="pct"/>
            <w:tcBorders>
              <w:top w:val="nil"/>
              <w:left w:val="nil"/>
              <w:bottom w:val="single" w:sz="4" w:space="0" w:color="757171"/>
              <w:right w:val="nil"/>
            </w:tcBorders>
            <w:shd w:val="clear" w:color="auto" w:fill="FFFFFF"/>
            <w:noWrap/>
            <w:vAlign w:val="bottom"/>
            <w:hideMark/>
          </w:tcPr>
          <w:p w14:paraId="75F6A485"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67.8</w:t>
            </w:r>
          </w:p>
        </w:tc>
        <w:tc>
          <w:tcPr>
            <w:tcW w:w="68" w:type="pct"/>
            <w:tcBorders>
              <w:top w:val="nil"/>
              <w:left w:val="nil"/>
              <w:bottom w:val="single" w:sz="4" w:space="0" w:color="757171"/>
              <w:right w:val="nil"/>
            </w:tcBorders>
            <w:shd w:val="clear" w:color="auto" w:fill="FFFFFF"/>
            <w:noWrap/>
            <w:vAlign w:val="bottom"/>
            <w:hideMark/>
          </w:tcPr>
          <w:p w14:paraId="121279D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4" w:space="0" w:color="757171"/>
              <w:right w:val="nil"/>
            </w:tcBorders>
            <w:shd w:val="clear" w:color="auto" w:fill="FFFFFF"/>
            <w:noWrap/>
            <w:vAlign w:val="bottom"/>
            <w:hideMark/>
          </w:tcPr>
          <w:p w14:paraId="69D8891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64.8</w:t>
            </w:r>
          </w:p>
        </w:tc>
        <w:tc>
          <w:tcPr>
            <w:tcW w:w="68" w:type="pct"/>
            <w:tcBorders>
              <w:top w:val="nil"/>
              <w:left w:val="nil"/>
              <w:bottom w:val="single" w:sz="4" w:space="0" w:color="757171"/>
              <w:right w:val="nil"/>
            </w:tcBorders>
            <w:shd w:val="clear" w:color="auto" w:fill="FFFFFF"/>
            <w:noWrap/>
            <w:vAlign w:val="bottom"/>
            <w:hideMark/>
          </w:tcPr>
          <w:p w14:paraId="330F1CD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4" w:space="0" w:color="757171"/>
              <w:right w:val="nil"/>
            </w:tcBorders>
            <w:shd w:val="clear" w:color="auto" w:fill="FFFFFF"/>
            <w:noWrap/>
            <w:vAlign w:val="bottom"/>
            <w:hideMark/>
          </w:tcPr>
          <w:p w14:paraId="65D2C29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70.9</w:t>
            </w:r>
          </w:p>
        </w:tc>
        <w:tc>
          <w:tcPr>
            <w:tcW w:w="68" w:type="pct"/>
            <w:gridSpan w:val="2"/>
            <w:tcBorders>
              <w:top w:val="nil"/>
              <w:left w:val="nil"/>
              <w:bottom w:val="single" w:sz="4" w:space="0" w:color="757171"/>
              <w:right w:val="nil"/>
            </w:tcBorders>
            <w:shd w:val="clear" w:color="auto" w:fill="FFFFFF"/>
            <w:noWrap/>
            <w:vAlign w:val="bottom"/>
            <w:hideMark/>
          </w:tcPr>
          <w:p w14:paraId="617F19A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220" w:type="pct"/>
            <w:gridSpan w:val="2"/>
            <w:tcBorders>
              <w:top w:val="nil"/>
              <w:left w:val="nil"/>
              <w:bottom w:val="single" w:sz="4" w:space="0" w:color="757171"/>
              <w:right w:val="nil"/>
            </w:tcBorders>
            <w:shd w:val="clear" w:color="auto" w:fill="FFFFFF"/>
            <w:noWrap/>
            <w:vAlign w:val="bottom"/>
            <w:hideMark/>
          </w:tcPr>
          <w:p w14:paraId="6408FC5B"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2.4</w:t>
            </w:r>
          </w:p>
        </w:tc>
        <w:tc>
          <w:tcPr>
            <w:tcW w:w="157" w:type="pct"/>
            <w:tcBorders>
              <w:top w:val="nil"/>
              <w:left w:val="nil"/>
              <w:bottom w:val="single" w:sz="4" w:space="0" w:color="757171"/>
              <w:right w:val="nil"/>
            </w:tcBorders>
            <w:shd w:val="clear" w:color="auto" w:fill="FFFFFF"/>
            <w:noWrap/>
            <w:vAlign w:val="bottom"/>
            <w:hideMark/>
          </w:tcPr>
          <w:p w14:paraId="47C60839"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15.4</w:t>
            </w:r>
          </w:p>
        </w:tc>
        <w:tc>
          <w:tcPr>
            <w:tcW w:w="68" w:type="pct"/>
            <w:tcBorders>
              <w:top w:val="nil"/>
              <w:left w:val="nil"/>
              <w:bottom w:val="single" w:sz="4" w:space="0" w:color="757171"/>
              <w:right w:val="nil"/>
            </w:tcBorders>
            <w:shd w:val="clear" w:color="auto" w:fill="FFFFFF"/>
            <w:noWrap/>
            <w:vAlign w:val="bottom"/>
            <w:hideMark/>
          </w:tcPr>
          <w:p w14:paraId="1336526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4" w:space="0" w:color="757171"/>
              <w:right w:val="nil"/>
            </w:tcBorders>
            <w:shd w:val="clear" w:color="auto" w:fill="FFFFFF"/>
            <w:noWrap/>
            <w:vAlign w:val="bottom"/>
            <w:hideMark/>
          </w:tcPr>
          <w:p w14:paraId="26039E72"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15.0</w:t>
            </w:r>
          </w:p>
        </w:tc>
        <w:tc>
          <w:tcPr>
            <w:tcW w:w="68" w:type="pct"/>
            <w:tcBorders>
              <w:top w:val="nil"/>
              <w:left w:val="nil"/>
              <w:bottom w:val="single" w:sz="4" w:space="0" w:color="757171"/>
              <w:right w:val="nil"/>
            </w:tcBorders>
            <w:shd w:val="clear" w:color="auto" w:fill="FFFFFF"/>
            <w:noWrap/>
            <w:vAlign w:val="bottom"/>
            <w:hideMark/>
          </w:tcPr>
          <w:p w14:paraId="73E2464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gridSpan w:val="2"/>
            <w:tcBorders>
              <w:top w:val="nil"/>
              <w:left w:val="nil"/>
              <w:bottom w:val="single" w:sz="4" w:space="0" w:color="757171"/>
              <w:right w:val="nil"/>
            </w:tcBorders>
            <w:shd w:val="clear" w:color="auto" w:fill="FFFFFF"/>
            <w:noWrap/>
            <w:vAlign w:val="bottom"/>
            <w:hideMark/>
          </w:tcPr>
          <w:p w14:paraId="4AAE8A2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15.9</w:t>
            </w:r>
          </w:p>
        </w:tc>
        <w:tc>
          <w:tcPr>
            <w:tcW w:w="59" w:type="pct"/>
            <w:gridSpan w:val="2"/>
            <w:tcBorders>
              <w:top w:val="nil"/>
              <w:left w:val="nil"/>
              <w:bottom w:val="single" w:sz="4" w:space="0" w:color="757171"/>
              <w:right w:val="nil"/>
            </w:tcBorders>
            <w:shd w:val="clear" w:color="auto" w:fill="FFFFFF"/>
            <w:noWrap/>
            <w:vAlign w:val="bottom"/>
            <w:hideMark/>
          </w:tcPr>
          <w:p w14:paraId="24F6BFE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r>
      <w:tr w:rsidR="00EA4D88" w:rsidRPr="000D5855" w14:paraId="335146EA" w14:textId="77777777" w:rsidTr="002B4BBA">
        <w:trPr>
          <w:trHeight w:val="588"/>
        </w:trPr>
        <w:tc>
          <w:tcPr>
            <w:tcW w:w="683" w:type="pct"/>
            <w:tcBorders>
              <w:top w:val="nil"/>
              <w:left w:val="nil"/>
              <w:bottom w:val="single" w:sz="12" w:space="0" w:color="auto"/>
              <w:right w:val="nil"/>
            </w:tcBorders>
            <w:shd w:val="clear" w:color="auto" w:fill="FFFFFF"/>
            <w:vAlign w:val="center"/>
            <w:hideMark/>
          </w:tcPr>
          <w:p w14:paraId="5BEDA1BF" w14:textId="77777777" w:rsidR="000D5855" w:rsidRPr="000D5855" w:rsidRDefault="000D5855" w:rsidP="000D5855">
            <w:pPr>
              <w:spacing w:after="0" w:line="360" w:lineRule="auto"/>
              <w:rPr>
                <w:rFonts w:ascii="Calibri" w:eastAsia="Times New Roman" w:hAnsi="Calibri" w:cs="Calibri"/>
                <w:b/>
                <w:bCs/>
                <w:sz w:val="16"/>
                <w:lang w:eastAsia="de-DE"/>
              </w:rPr>
            </w:pPr>
            <w:r w:rsidRPr="000D5855">
              <w:rPr>
                <w:rFonts w:ascii="Calibri" w:eastAsia="Times New Roman" w:hAnsi="Calibri" w:cs="Calibri"/>
                <w:b/>
                <w:bCs/>
                <w:sz w:val="16"/>
                <w:lang w:eastAsia="de-DE"/>
              </w:rPr>
              <w:t>Improved drinking water source</w:t>
            </w:r>
          </w:p>
        </w:tc>
        <w:tc>
          <w:tcPr>
            <w:tcW w:w="161" w:type="pct"/>
            <w:tcBorders>
              <w:top w:val="nil"/>
              <w:left w:val="nil"/>
              <w:bottom w:val="single" w:sz="12" w:space="0" w:color="auto"/>
              <w:right w:val="nil"/>
            </w:tcBorders>
            <w:shd w:val="clear" w:color="auto" w:fill="FFFFFF"/>
            <w:noWrap/>
            <w:vAlign w:val="bottom"/>
            <w:hideMark/>
          </w:tcPr>
          <w:p w14:paraId="4662F94C"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85.6</w:t>
            </w:r>
          </w:p>
        </w:tc>
        <w:tc>
          <w:tcPr>
            <w:tcW w:w="68" w:type="pct"/>
            <w:tcBorders>
              <w:top w:val="nil"/>
              <w:left w:val="nil"/>
              <w:bottom w:val="single" w:sz="12" w:space="0" w:color="auto"/>
              <w:right w:val="nil"/>
            </w:tcBorders>
            <w:shd w:val="clear" w:color="auto" w:fill="FFFFFF"/>
            <w:noWrap/>
            <w:vAlign w:val="bottom"/>
            <w:hideMark/>
          </w:tcPr>
          <w:p w14:paraId="5E02BB70"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12" w:space="0" w:color="auto"/>
              <w:right w:val="nil"/>
            </w:tcBorders>
            <w:shd w:val="clear" w:color="auto" w:fill="FFFFFF"/>
            <w:noWrap/>
            <w:vAlign w:val="bottom"/>
            <w:hideMark/>
          </w:tcPr>
          <w:p w14:paraId="29DDA7E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82.8</w:t>
            </w:r>
          </w:p>
        </w:tc>
        <w:tc>
          <w:tcPr>
            <w:tcW w:w="68" w:type="pct"/>
            <w:tcBorders>
              <w:top w:val="nil"/>
              <w:left w:val="nil"/>
              <w:bottom w:val="single" w:sz="12" w:space="0" w:color="auto"/>
              <w:right w:val="nil"/>
            </w:tcBorders>
            <w:shd w:val="clear" w:color="auto" w:fill="FFFFFF"/>
            <w:noWrap/>
            <w:vAlign w:val="bottom"/>
            <w:hideMark/>
          </w:tcPr>
          <w:p w14:paraId="3780330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12" w:space="0" w:color="auto"/>
              <w:right w:val="nil"/>
            </w:tcBorders>
            <w:shd w:val="clear" w:color="auto" w:fill="FFFFFF"/>
            <w:noWrap/>
            <w:vAlign w:val="bottom"/>
            <w:hideMark/>
          </w:tcPr>
          <w:p w14:paraId="4C33282E"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88.1</w:t>
            </w:r>
          </w:p>
        </w:tc>
        <w:tc>
          <w:tcPr>
            <w:tcW w:w="68" w:type="pct"/>
            <w:tcBorders>
              <w:top w:val="nil"/>
              <w:left w:val="nil"/>
              <w:bottom w:val="single" w:sz="12" w:space="0" w:color="auto"/>
              <w:right w:val="nil"/>
            </w:tcBorders>
            <w:shd w:val="clear" w:color="auto" w:fill="FFFFFF"/>
            <w:noWrap/>
            <w:vAlign w:val="bottom"/>
            <w:hideMark/>
          </w:tcPr>
          <w:p w14:paraId="619937D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8" w:type="pct"/>
            <w:tcBorders>
              <w:top w:val="nil"/>
              <w:left w:val="nil"/>
              <w:bottom w:val="single" w:sz="12" w:space="0" w:color="auto"/>
              <w:right w:val="nil"/>
            </w:tcBorders>
            <w:shd w:val="clear" w:color="auto" w:fill="FFFFFF"/>
            <w:noWrap/>
            <w:vAlign w:val="bottom"/>
            <w:hideMark/>
          </w:tcPr>
          <w:p w14:paraId="4E00FA3E"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49.8</w:t>
            </w:r>
          </w:p>
        </w:tc>
        <w:tc>
          <w:tcPr>
            <w:tcW w:w="68" w:type="pct"/>
            <w:tcBorders>
              <w:top w:val="nil"/>
              <w:left w:val="nil"/>
              <w:bottom w:val="single" w:sz="12" w:space="0" w:color="auto"/>
              <w:right w:val="nil"/>
            </w:tcBorders>
            <w:shd w:val="clear" w:color="auto" w:fill="FFFFFF"/>
            <w:noWrap/>
            <w:vAlign w:val="bottom"/>
            <w:hideMark/>
          </w:tcPr>
          <w:p w14:paraId="168CF80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12" w:space="0" w:color="auto"/>
              <w:right w:val="nil"/>
            </w:tcBorders>
            <w:shd w:val="clear" w:color="auto" w:fill="FFFFFF"/>
            <w:noWrap/>
            <w:vAlign w:val="bottom"/>
            <w:hideMark/>
          </w:tcPr>
          <w:p w14:paraId="39135C9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45.3</w:t>
            </w:r>
          </w:p>
        </w:tc>
        <w:tc>
          <w:tcPr>
            <w:tcW w:w="68" w:type="pct"/>
            <w:tcBorders>
              <w:top w:val="nil"/>
              <w:left w:val="nil"/>
              <w:bottom w:val="single" w:sz="12" w:space="0" w:color="auto"/>
              <w:right w:val="nil"/>
            </w:tcBorders>
            <w:shd w:val="clear" w:color="auto" w:fill="FFFFFF"/>
            <w:noWrap/>
            <w:vAlign w:val="bottom"/>
            <w:hideMark/>
          </w:tcPr>
          <w:p w14:paraId="36D4BE7D"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7" w:type="pct"/>
            <w:tcBorders>
              <w:top w:val="nil"/>
              <w:left w:val="nil"/>
              <w:bottom w:val="single" w:sz="12" w:space="0" w:color="auto"/>
              <w:right w:val="nil"/>
            </w:tcBorders>
            <w:shd w:val="clear" w:color="auto" w:fill="FFFFFF"/>
            <w:noWrap/>
            <w:vAlign w:val="bottom"/>
            <w:hideMark/>
          </w:tcPr>
          <w:p w14:paraId="1A9C97E1"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54.2</w:t>
            </w:r>
          </w:p>
        </w:tc>
        <w:tc>
          <w:tcPr>
            <w:tcW w:w="68" w:type="pct"/>
            <w:tcBorders>
              <w:top w:val="nil"/>
              <w:left w:val="nil"/>
              <w:bottom w:val="single" w:sz="12" w:space="0" w:color="auto"/>
              <w:right w:val="nil"/>
            </w:tcBorders>
            <w:shd w:val="clear" w:color="auto" w:fill="FFFFFF"/>
            <w:noWrap/>
            <w:vAlign w:val="bottom"/>
            <w:hideMark/>
          </w:tcPr>
          <w:p w14:paraId="047B5DB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3" w:type="pct"/>
            <w:tcBorders>
              <w:top w:val="nil"/>
              <w:left w:val="nil"/>
              <w:bottom w:val="single" w:sz="12" w:space="0" w:color="auto"/>
              <w:right w:val="nil"/>
            </w:tcBorders>
            <w:shd w:val="clear" w:color="auto" w:fill="FFFFFF"/>
            <w:noWrap/>
            <w:vAlign w:val="bottom"/>
            <w:hideMark/>
          </w:tcPr>
          <w:p w14:paraId="0BC8150C"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99.7</w:t>
            </w:r>
          </w:p>
        </w:tc>
        <w:tc>
          <w:tcPr>
            <w:tcW w:w="68" w:type="pct"/>
            <w:tcBorders>
              <w:top w:val="nil"/>
              <w:left w:val="nil"/>
              <w:bottom w:val="single" w:sz="12" w:space="0" w:color="auto"/>
              <w:right w:val="nil"/>
            </w:tcBorders>
            <w:shd w:val="clear" w:color="auto" w:fill="FFFFFF"/>
            <w:noWrap/>
            <w:vAlign w:val="bottom"/>
            <w:hideMark/>
          </w:tcPr>
          <w:p w14:paraId="15DC2AB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12" w:space="0" w:color="auto"/>
              <w:right w:val="nil"/>
            </w:tcBorders>
            <w:shd w:val="clear" w:color="auto" w:fill="FFFFFF"/>
            <w:noWrap/>
            <w:vAlign w:val="bottom"/>
            <w:hideMark/>
          </w:tcPr>
          <w:p w14:paraId="3A5FF25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99.1</w:t>
            </w:r>
          </w:p>
        </w:tc>
        <w:tc>
          <w:tcPr>
            <w:tcW w:w="68" w:type="pct"/>
            <w:tcBorders>
              <w:top w:val="nil"/>
              <w:left w:val="nil"/>
              <w:bottom w:val="single" w:sz="12" w:space="0" w:color="auto"/>
              <w:right w:val="nil"/>
            </w:tcBorders>
            <w:shd w:val="clear" w:color="auto" w:fill="FFFFFF"/>
            <w:noWrap/>
            <w:vAlign w:val="bottom"/>
            <w:hideMark/>
          </w:tcPr>
          <w:p w14:paraId="0DE0EC7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12" w:space="0" w:color="auto"/>
              <w:right w:val="nil"/>
            </w:tcBorders>
            <w:shd w:val="clear" w:color="auto" w:fill="FFFFFF"/>
            <w:noWrap/>
            <w:vAlign w:val="bottom"/>
            <w:hideMark/>
          </w:tcPr>
          <w:p w14:paraId="08DC6A8C"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99.9</w:t>
            </w:r>
          </w:p>
        </w:tc>
        <w:tc>
          <w:tcPr>
            <w:tcW w:w="68" w:type="pct"/>
            <w:tcBorders>
              <w:top w:val="nil"/>
              <w:left w:val="nil"/>
              <w:bottom w:val="single" w:sz="12" w:space="0" w:color="auto"/>
              <w:right w:val="nil"/>
            </w:tcBorders>
            <w:shd w:val="clear" w:color="auto" w:fill="FFFFFF"/>
            <w:noWrap/>
            <w:vAlign w:val="bottom"/>
            <w:hideMark/>
          </w:tcPr>
          <w:p w14:paraId="0AF0441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0" w:type="pct"/>
            <w:tcBorders>
              <w:top w:val="nil"/>
              <w:left w:val="nil"/>
              <w:bottom w:val="single" w:sz="12" w:space="0" w:color="auto"/>
              <w:right w:val="nil"/>
            </w:tcBorders>
            <w:shd w:val="clear" w:color="auto" w:fill="FFFFFF"/>
            <w:noWrap/>
            <w:vAlign w:val="bottom"/>
            <w:hideMark/>
          </w:tcPr>
          <w:p w14:paraId="3E7202C6"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50.0</w:t>
            </w:r>
          </w:p>
        </w:tc>
        <w:tc>
          <w:tcPr>
            <w:tcW w:w="68" w:type="pct"/>
            <w:tcBorders>
              <w:top w:val="nil"/>
              <w:left w:val="nil"/>
              <w:bottom w:val="single" w:sz="12" w:space="0" w:color="auto"/>
              <w:right w:val="nil"/>
            </w:tcBorders>
            <w:shd w:val="clear" w:color="auto" w:fill="FFFFFF"/>
            <w:noWrap/>
            <w:vAlign w:val="bottom"/>
            <w:hideMark/>
          </w:tcPr>
          <w:p w14:paraId="36E13189"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12" w:space="0" w:color="auto"/>
              <w:right w:val="nil"/>
            </w:tcBorders>
            <w:shd w:val="clear" w:color="auto" w:fill="FFFFFF"/>
            <w:noWrap/>
            <w:vAlign w:val="bottom"/>
            <w:hideMark/>
          </w:tcPr>
          <w:p w14:paraId="783612C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48.5</w:t>
            </w:r>
          </w:p>
        </w:tc>
        <w:tc>
          <w:tcPr>
            <w:tcW w:w="68" w:type="pct"/>
            <w:tcBorders>
              <w:top w:val="nil"/>
              <w:left w:val="nil"/>
              <w:bottom w:val="single" w:sz="12" w:space="0" w:color="auto"/>
              <w:right w:val="nil"/>
            </w:tcBorders>
            <w:shd w:val="clear" w:color="auto" w:fill="FFFFFF"/>
            <w:noWrap/>
            <w:vAlign w:val="bottom"/>
            <w:hideMark/>
          </w:tcPr>
          <w:p w14:paraId="4D7C785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12" w:space="0" w:color="auto"/>
              <w:right w:val="nil"/>
            </w:tcBorders>
            <w:shd w:val="clear" w:color="auto" w:fill="FFFFFF"/>
            <w:noWrap/>
            <w:vAlign w:val="bottom"/>
            <w:hideMark/>
          </w:tcPr>
          <w:p w14:paraId="3B20DBFF"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51.4</w:t>
            </w:r>
          </w:p>
        </w:tc>
        <w:tc>
          <w:tcPr>
            <w:tcW w:w="68" w:type="pct"/>
            <w:gridSpan w:val="2"/>
            <w:tcBorders>
              <w:top w:val="nil"/>
              <w:left w:val="nil"/>
              <w:bottom w:val="single" w:sz="12" w:space="0" w:color="auto"/>
              <w:right w:val="nil"/>
            </w:tcBorders>
            <w:shd w:val="clear" w:color="auto" w:fill="FFFFFF"/>
            <w:noWrap/>
            <w:vAlign w:val="bottom"/>
            <w:hideMark/>
          </w:tcPr>
          <w:p w14:paraId="76A4A94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71" w:type="pct"/>
            <w:tcBorders>
              <w:top w:val="nil"/>
              <w:left w:val="nil"/>
              <w:bottom w:val="single" w:sz="12" w:space="0" w:color="auto"/>
              <w:right w:val="nil"/>
            </w:tcBorders>
            <w:shd w:val="clear" w:color="auto" w:fill="FFFFFF"/>
            <w:noWrap/>
            <w:vAlign w:val="bottom"/>
            <w:hideMark/>
          </w:tcPr>
          <w:p w14:paraId="25FF6C0D"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62.9</w:t>
            </w:r>
          </w:p>
        </w:tc>
        <w:tc>
          <w:tcPr>
            <w:tcW w:w="68" w:type="pct"/>
            <w:tcBorders>
              <w:top w:val="nil"/>
              <w:left w:val="nil"/>
              <w:bottom w:val="single" w:sz="12" w:space="0" w:color="auto"/>
              <w:right w:val="nil"/>
            </w:tcBorders>
            <w:shd w:val="clear" w:color="auto" w:fill="FFFFFF"/>
            <w:noWrap/>
            <w:vAlign w:val="bottom"/>
            <w:hideMark/>
          </w:tcPr>
          <w:p w14:paraId="52E1056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tcBorders>
              <w:top w:val="nil"/>
              <w:left w:val="nil"/>
              <w:bottom w:val="single" w:sz="12" w:space="0" w:color="auto"/>
              <w:right w:val="nil"/>
            </w:tcBorders>
            <w:shd w:val="clear" w:color="auto" w:fill="FFFFFF"/>
            <w:noWrap/>
            <w:vAlign w:val="bottom"/>
            <w:hideMark/>
          </w:tcPr>
          <w:p w14:paraId="1D99936B"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57.9</w:t>
            </w:r>
          </w:p>
        </w:tc>
        <w:tc>
          <w:tcPr>
            <w:tcW w:w="68" w:type="pct"/>
            <w:tcBorders>
              <w:top w:val="nil"/>
              <w:left w:val="nil"/>
              <w:bottom w:val="single" w:sz="12" w:space="0" w:color="auto"/>
              <w:right w:val="nil"/>
            </w:tcBorders>
            <w:shd w:val="clear" w:color="auto" w:fill="FFFFFF"/>
            <w:noWrap/>
            <w:vAlign w:val="bottom"/>
            <w:hideMark/>
          </w:tcPr>
          <w:p w14:paraId="27B93688"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69" w:type="pct"/>
            <w:gridSpan w:val="2"/>
            <w:tcBorders>
              <w:top w:val="nil"/>
              <w:left w:val="nil"/>
              <w:bottom w:val="single" w:sz="12" w:space="0" w:color="auto"/>
              <w:right w:val="nil"/>
            </w:tcBorders>
            <w:shd w:val="clear" w:color="auto" w:fill="FFFFFF"/>
            <w:noWrap/>
            <w:vAlign w:val="bottom"/>
            <w:hideMark/>
          </w:tcPr>
          <w:p w14:paraId="076DBDE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67.8</w:t>
            </w:r>
          </w:p>
        </w:tc>
        <w:tc>
          <w:tcPr>
            <w:tcW w:w="68" w:type="pct"/>
            <w:gridSpan w:val="2"/>
            <w:tcBorders>
              <w:top w:val="nil"/>
              <w:left w:val="nil"/>
              <w:bottom w:val="single" w:sz="12" w:space="0" w:color="auto"/>
              <w:right w:val="nil"/>
            </w:tcBorders>
            <w:shd w:val="clear" w:color="auto" w:fill="FFFFFF"/>
            <w:noWrap/>
            <w:vAlign w:val="bottom"/>
            <w:hideMark/>
          </w:tcPr>
          <w:p w14:paraId="181AE6C4"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220" w:type="pct"/>
            <w:gridSpan w:val="2"/>
            <w:tcBorders>
              <w:top w:val="nil"/>
              <w:left w:val="nil"/>
              <w:bottom w:val="single" w:sz="12" w:space="0" w:color="auto"/>
              <w:right w:val="nil"/>
            </w:tcBorders>
            <w:shd w:val="clear" w:color="auto" w:fill="FFFFFF"/>
            <w:noWrap/>
            <w:vAlign w:val="bottom"/>
            <w:hideMark/>
          </w:tcPr>
          <w:p w14:paraId="5B13A83F"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2.0</w:t>
            </w:r>
          </w:p>
        </w:tc>
        <w:tc>
          <w:tcPr>
            <w:tcW w:w="157" w:type="pct"/>
            <w:tcBorders>
              <w:top w:val="nil"/>
              <w:left w:val="nil"/>
              <w:bottom w:val="single" w:sz="12" w:space="0" w:color="auto"/>
              <w:right w:val="nil"/>
            </w:tcBorders>
            <w:shd w:val="clear" w:color="auto" w:fill="FFFFFF"/>
            <w:noWrap/>
            <w:vAlign w:val="bottom"/>
            <w:hideMark/>
          </w:tcPr>
          <w:p w14:paraId="1C2A57D3" w14:textId="77777777" w:rsidR="000D5855" w:rsidRPr="000D5855" w:rsidRDefault="000D5855" w:rsidP="000D5855">
            <w:pPr>
              <w:spacing w:after="0" w:line="360" w:lineRule="auto"/>
              <w:jc w:val="both"/>
              <w:rPr>
                <w:rFonts w:ascii="Calibri" w:eastAsia="Times New Roman" w:hAnsi="Calibri" w:cs="Calibri"/>
                <w:b/>
                <w:bCs/>
                <w:sz w:val="16"/>
                <w:lang w:eastAsia="de-DE"/>
              </w:rPr>
            </w:pPr>
            <w:r w:rsidRPr="000D5855">
              <w:rPr>
                <w:rFonts w:ascii="Calibri" w:eastAsia="Times New Roman" w:hAnsi="Calibri" w:cs="Calibri"/>
                <w:b/>
                <w:bCs/>
                <w:sz w:val="16"/>
                <w:lang w:eastAsia="de-DE"/>
              </w:rPr>
              <w:t>10.9</w:t>
            </w:r>
          </w:p>
        </w:tc>
        <w:tc>
          <w:tcPr>
            <w:tcW w:w="68" w:type="pct"/>
            <w:tcBorders>
              <w:top w:val="nil"/>
              <w:left w:val="nil"/>
              <w:bottom w:val="single" w:sz="12" w:space="0" w:color="auto"/>
              <w:right w:val="nil"/>
            </w:tcBorders>
            <w:shd w:val="clear" w:color="auto" w:fill="FFFFFF"/>
            <w:noWrap/>
            <w:vAlign w:val="bottom"/>
            <w:hideMark/>
          </w:tcPr>
          <w:p w14:paraId="1F77F273"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tcBorders>
              <w:top w:val="nil"/>
              <w:left w:val="nil"/>
              <w:bottom w:val="single" w:sz="12" w:space="0" w:color="auto"/>
              <w:right w:val="nil"/>
            </w:tcBorders>
            <w:shd w:val="clear" w:color="auto" w:fill="FFFFFF"/>
            <w:noWrap/>
            <w:vAlign w:val="bottom"/>
            <w:hideMark/>
          </w:tcPr>
          <w:p w14:paraId="579CF37A"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10.5</w:t>
            </w:r>
          </w:p>
        </w:tc>
        <w:tc>
          <w:tcPr>
            <w:tcW w:w="68" w:type="pct"/>
            <w:tcBorders>
              <w:top w:val="nil"/>
              <w:left w:val="nil"/>
              <w:bottom w:val="single" w:sz="12" w:space="0" w:color="auto"/>
              <w:right w:val="nil"/>
            </w:tcBorders>
            <w:shd w:val="clear" w:color="auto" w:fill="FFFFFF"/>
            <w:noWrap/>
            <w:vAlign w:val="bottom"/>
            <w:hideMark/>
          </w:tcPr>
          <w:p w14:paraId="3B357706"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c>
          <w:tcPr>
            <w:tcW w:w="152" w:type="pct"/>
            <w:gridSpan w:val="2"/>
            <w:tcBorders>
              <w:top w:val="nil"/>
              <w:left w:val="nil"/>
              <w:bottom w:val="single" w:sz="12" w:space="0" w:color="auto"/>
              <w:right w:val="nil"/>
            </w:tcBorders>
            <w:shd w:val="clear" w:color="auto" w:fill="FFFFFF"/>
            <w:noWrap/>
            <w:vAlign w:val="bottom"/>
            <w:hideMark/>
          </w:tcPr>
          <w:p w14:paraId="0D23E3A5"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11.3</w:t>
            </w:r>
          </w:p>
        </w:tc>
        <w:tc>
          <w:tcPr>
            <w:tcW w:w="59" w:type="pct"/>
            <w:gridSpan w:val="2"/>
            <w:tcBorders>
              <w:top w:val="nil"/>
              <w:left w:val="nil"/>
              <w:bottom w:val="single" w:sz="12" w:space="0" w:color="auto"/>
              <w:right w:val="nil"/>
            </w:tcBorders>
            <w:shd w:val="clear" w:color="auto" w:fill="FFFFFF"/>
            <w:noWrap/>
            <w:vAlign w:val="bottom"/>
            <w:hideMark/>
          </w:tcPr>
          <w:p w14:paraId="34E0E8D7" w14:textId="77777777" w:rsidR="000D5855" w:rsidRPr="000D5855" w:rsidRDefault="000D5855" w:rsidP="000D5855">
            <w:pPr>
              <w:spacing w:after="0" w:line="360" w:lineRule="auto"/>
              <w:jc w:val="both"/>
              <w:rPr>
                <w:rFonts w:ascii="Calibri" w:eastAsia="Times New Roman" w:hAnsi="Calibri" w:cs="Calibri"/>
                <w:sz w:val="16"/>
                <w:lang w:eastAsia="de-DE"/>
              </w:rPr>
            </w:pPr>
            <w:r w:rsidRPr="000D5855">
              <w:rPr>
                <w:rFonts w:ascii="Calibri" w:eastAsia="Times New Roman" w:hAnsi="Calibri" w:cs="Calibri"/>
                <w:sz w:val="16"/>
                <w:lang w:eastAsia="de-DE"/>
              </w:rPr>
              <w:t>)</w:t>
            </w:r>
          </w:p>
        </w:tc>
      </w:tr>
    </w:tbl>
    <w:p w14:paraId="4C9900F2" w14:textId="22227568" w:rsidR="00212F97" w:rsidRPr="000D5855" w:rsidRDefault="000D5855" w:rsidP="000D5855">
      <w:pPr>
        <w:spacing w:after="100" w:afterAutospacing="1" w:line="360" w:lineRule="auto"/>
        <w:jc w:val="both"/>
        <w:rPr>
          <w:rFonts w:cstheme="minorHAnsi"/>
          <w:b/>
          <w:bCs/>
          <w:lang w:val="en-US"/>
        </w:rPr>
      </w:pPr>
      <w:r w:rsidRPr="000D5855">
        <w:rPr>
          <w:rFonts w:ascii="Calibri" w:eastAsia="Times New Roman" w:hAnsi="Calibri" w:cs="Calibri"/>
          <w:i/>
          <w:iCs/>
          <w:sz w:val="18"/>
          <w:szCs w:val="18"/>
          <w:lang w:val="en-US" w:eastAsia="de-DE"/>
        </w:rPr>
        <w:t xml:space="preserve">Sources: </w:t>
      </w:r>
      <w:r w:rsidRPr="000D5855">
        <w:rPr>
          <w:rFonts w:ascii="Calibri" w:eastAsia="Times New Roman" w:hAnsi="Calibri" w:cs="Calibri"/>
          <w:sz w:val="18"/>
          <w:szCs w:val="18"/>
          <w:lang w:val="en-US" w:eastAsia="de-DE"/>
        </w:rPr>
        <w:t xml:space="preserve">Ecuador ENSANUT 2012. </w:t>
      </w:r>
      <w:r w:rsidRPr="000D5855">
        <w:rPr>
          <w:rStyle w:val="tlid-translation"/>
          <w:lang w:val="en"/>
        </w:rPr>
        <w:t>* percentual point</w:t>
      </w:r>
    </w:p>
    <w:p w14:paraId="617E4F1E" w14:textId="77777777" w:rsidR="00212F97" w:rsidRPr="000D5855" w:rsidRDefault="00212F97" w:rsidP="000D5855">
      <w:pPr>
        <w:spacing w:line="360" w:lineRule="auto"/>
        <w:jc w:val="both"/>
        <w:rPr>
          <w:rFonts w:cstheme="minorHAnsi"/>
          <w:b/>
          <w:bCs/>
          <w:lang w:val="en-US"/>
        </w:rPr>
      </w:pPr>
    </w:p>
    <w:p w14:paraId="47D2A0A5" w14:textId="77777777" w:rsidR="000D5855" w:rsidRPr="000D5855" w:rsidRDefault="000D5855" w:rsidP="000D5855">
      <w:pPr>
        <w:spacing w:line="360" w:lineRule="auto"/>
        <w:jc w:val="both"/>
        <w:rPr>
          <w:rFonts w:cstheme="minorHAnsi"/>
          <w:b/>
          <w:bCs/>
          <w:lang w:val="en-US"/>
        </w:rPr>
        <w:sectPr w:rsidR="000D5855" w:rsidRPr="000D5855" w:rsidSect="000D5855">
          <w:pgSz w:w="16838" w:h="11906" w:orient="landscape"/>
          <w:pgMar w:top="1417" w:right="1417" w:bottom="1417" w:left="1134" w:header="708" w:footer="708" w:gutter="0"/>
          <w:cols w:space="708"/>
          <w:docGrid w:linePitch="360"/>
        </w:sectPr>
      </w:pPr>
    </w:p>
    <w:p w14:paraId="58CA57C0" w14:textId="77E28343" w:rsidR="00F37910" w:rsidRPr="000D5855" w:rsidRDefault="00F37910" w:rsidP="000D5855">
      <w:pPr>
        <w:spacing w:line="360" w:lineRule="auto"/>
        <w:jc w:val="both"/>
        <w:rPr>
          <w:rFonts w:cstheme="minorHAnsi"/>
          <w:b/>
          <w:bCs/>
          <w:lang w:val="en-US"/>
        </w:rPr>
      </w:pPr>
      <w:r w:rsidRPr="000D5855">
        <w:rPr>
          <w:rFonts w:cstheme="minorHAnsi"/>
          <w:b/>
          <w:bCs/>
          <w:lang w:val="en-US"/>
        </w:rPr>
        <w:lastRenderedPageBreak/>
        <w:t xml:space="preserve">Supplementary annex </w:t>
      </w:r>
      <w:r w:rsidR="00212F97" w:rsidRPr="000D5855">
        <w:rPr>
          <w:rFonts w:cstheme="minorHAnsi"/>
          <w:b/>
          <w:bCs/>
          <w:lang w:val="en-US"/>
        </w:rPr>
        <w:t>3</w:t>
      </w:r>
      <w:r w:rsidRPr="000D5855">
        <w:rPr>
          <w:rFonts w:cstheme="minorHAnsi"/>
          <w:b/>
          <w:bCs/>
          <w:lang w:val="en-US"/>
        </w:rPr>
        <w:t>:</w:t>
      </w:r>
    </w:p>
    <w:p w14:paraId="65953D49" w14:textId="01EB7CD0" w:rsidR="00F37910" w:rsidRPr="000D5855" w:rsidRDefault="00F37910" w:rsidP="000D5855">
      <w:pPr>
        <w:spacing w:line="360" w:lineRule="auto"/>
        <w:jc w:val="both"/>
        <w:rPr>
          <w:rFonts w:ascii="Calibri" w:eastAsia="Times New Roman" w:hAnsi="Calibri" w:cs="Calibri"/>
          <w:sz w:val="18"/>
          <w:szCs w:val="18"/>
          <w:lang w:val="en-US" w:eastAsia="de-DE"/>
        </w:rPr>
      </w:pPr>
      <w:r w:rsidRPr="000D5855">
        <w:rPr>
          <w:rFonts w:ascii="Calibri" w:eastAsia="Times New Roman" w:hAnsi="Calibri" w:cs="Calibri"/>
          <w:b/>
          <w:bCs/>
          <w:sz w:val="18"/>
          <w:szCs w:val="18"/>
          <w:lang w:val="en-US" w:eastAsia="de-DE"/>
        </w:rPr>
        <w:t xml:space="preserve">Figure 1. </w:t>
      </w:r>
      <w:r w:rsidRPr="000D5855">
        <w:rPr>
          <w:rFonts w:ascii="Calibri" w:eastAsia="Times New Roman" w:hAnsi="Calibri" w:cs="Calibri"/>
          <w:sz w:val="18"/>
          <w:szCs w:val="18"/>
          <w:lang w:val="en-US" w:eastAsia="de-DE"/>
        </w:rPr>
        <w:t>Trend of four intervention coverage by province (A-</w:t>
      </w:r>
      <w:r w:rsidR="009D21F3" w:rsidRPr="000D5855">
        <w:rPr>
          <w:rFonts w:ascii="Calibri" w:eastAsia="Times New Roman" w:hAnsi="Calibri" w:cs="Calibri"/>
          <w:sz w:val="18"/>
          <w:szCs w:val="18"/>
          <w:lang w:val="en-US" w:eastAsia="de-DE"/>
        </w:rPr>
        <w:t>E</w:t>
      </w:r>
      <w:r w:rsidRPr="000D5855">
        <w:rPr>
          <w:rFonts w:ascii="Calibri" w:eastAsia="Times New Roman" w:hAnsi="Calibri" w:cs="Calibri"/>
          <w:sz w:val="18"/>
          <w:szCs w:val="18"/>
          <w:lang w:val="en-US" w:eastAsia="de-DE"/>
        </w:rPr>
        <w:t xml:space="preserve">). Ecuador 1994 to 2012. </w:t>
      </w:r>
    </w:p>
    <w:p w14:paraId="09411D26" w14:textId="4977CDCC" w:rsidR="00A058B7" w:rsidRPr="000D5855" w:rsidRDefault="002F14AC" w:rsidP="000D5855">
      <w:pPr>
        <w:spacing w:line="360" w:lineRule="auto"/>
        <w:rPr>
          <w:lang w:val="en-US"/>
        </w:rPr>
      </w:pPr>
      <w:r w:rsidRPr="000D5855">
        <w:rPr>
          <w:lang w:val="en-US"/>
        </w:rPr>
        <w:t xml:space="preserve"> </w:t>
      </w:r>
      <w:r w:rsidR="00A058B7" w:rsidRPr="000D5855">
        <w:rPr>
          <w:noProof/>
          <w:lang w:val="en-US"/>
        </w:rPr>
        <w:drawing>
          <wp:anchor distT="0" distB="0" distL="114300" distR="114300" simplePos="0" relativeHeight="251660288" behindDoc="0" locked="0" layoutInCell="1" allowOverlap="1" wp14:anchorId="683AC77C" wp14:editId="63DAB42F">
            <wp:simplePos x="0" y="0"/>
            <wp:positionH relativeFrom="margin">
              <wp:align>right</wp:align>
            </wp:positionH>
            <wp:positionV relativeFrom="paragraph">
              <wp:posOffset>9987</wp:posOffset>
            </wp:positionV>
            <wp:extent cx="2856865" cy="1821815"/>
            <wp:effectExtent l="0" t="0" r="635"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13763"/>
                    <a:stretch/>
                  </pic:blipFill>
                  <pic:spPr bwMode="auto">
                    <a:xfrm>
                      <a:off x="0" y="0"/>
                      <a:ext cx="2857735" cy="182237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058B7" w:rsidRPr="000D5855">
        <w:rPr>
          <w:noProof/>
          <w:lang w:val="en-US"/>
        </w:rPr>
        <w:drawing>
          <wp:inline distT="0" distB="0" distL="0" distR="0" wp14:anchorId="233949C1" wp14:editId="25493504">
            <wp:extent cx="2859835" cy="1731818"/>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6953"/>
                    <a:stretch/>
                  </pic:blipFill>
                  <pic:spPr bwMode="auto">
                    <a:xfrm>
                      <a:off x="0" y="0"/>
                      <a:ext cx="2904799" cy="1759047"/>
                    </a:xfrm>
                    <a:prstGeom prst="rect">
                      <a:avLst/>
                    </a:prstGeom>
                    <a:noFill/>
                    <a:ln>
                      <a:noFill/>
                    </a:ln>
                    <a:extLst>
                      <a:ext uri="{53640926-AAD7-44D8-BBD7-CCE9431645EC}">
                        <a14:shadowObscured xmlns:a14="http://schemas.microsoft.com/office/drawing/2010/main"/>
                      </a:ext>
                    </a:extLst>
                  </pic:spPr>
                </pic:pic>
              </a:graphicData>
            </a:graphic>
          </wp:inline>
        </w:drawing>
      </w:r>
    </w:p>
    <w:p w14:paraId="3C9A8854" w14:textId="117FEC80" w:rsidR="00A058B7" w:rsidRPr="000D5855" w:rsidRDefault="00A058B7" w:rsidP="000D5855">
      <w:pPr>
        <w:tabs>
          <w:tab w:val="left" w:pos="6447"/>
        </w:tabs>
        <w:spacing w:line="360" w:lineRule="auto"/>
        <w:rPr>
          <w:lang w:val="en-US"/>
        </w:rPr>
      </w:pPr>
      <w:r w:rsidRPr="000D5855">
        <w:rPr>
          <w:noProof/>
          <w:lang w:val="en-US"/>
        </w:rPr>
        <w:drawing>
          <wp:anchor distT="0" distB="0" distL="114300" distR="114300" simplePos="0" relativeHeight="251659264" behindDoc="0" locked="0" layoutInCell="1" allowOverlap="1" wp14:anchorId="6751C6F9" wp14:editId="603282AB">
            <wp:simplePos x="0" y="0"/>
            <wp:positionH relativeFrom="margin">
              <wp:align>left</wp:align>
            </wp:positionH>
            <wp:positionV relativeFrom="paragraph">
              <wp:posOffset>1866265</wp:posOffset>
            </wp:positionV>
            <wp:extent cx="2863215" cy="1745615"/>
            <wp:effectExtent l="0" t="0" r="0" b="6985"/>
            <wp:wrapThrough wrapText="bothSides">
              <wp:wrapPolygon edited="0">
                <wp:start x="0" y="0"/>
                <wp:lineTo x="0" y="21451"/>
                <wp:lineTo x="21413" y="21451"/>
                <wp:lineTo x="21413"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7618"/>
                    <a:stretch/>
                  </pic:blipFill>
                  <pic:spPr bwMode="auto">
                    <a:xfrm>
                      <a:off x="0" y="0"/>
                      <a:ext cx="2863215" cy="17456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5855">
        <w:rPr>
          <w:noProof/>
          <w:lang w:val="en-US"/>
        </w:rPr>
        <w:drawing>
          <wp:anchor distT="0" distB="0" distL="114300" distR="114300" simplePos="0" relativeHeight="251661312" behindDoc="0" locked="0" layoutInCell="1" allowOverlap="1" wp14:anchorId="0212FAD6" wp14:editId="0808566D">
            <wp:simplePos x="0" y="0"/>
            <wp:positionH relativeFrom="margin">
              <wp:align>right</wp:align>
            </wp:positionH>
            <wp:positionV relativeFrom="paragraph">
              <wp:posOffset>10391</wp:posOffset>
            </wp:positionV>
            <wp:extent cx="2863850" cy="178002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6022"/>
                    <a:stretch/>
                  </pic:blipFill>
                  <pic:spPr bwMode="auto">
                    <a:xfrm>
                      <a:off x="0" y="0"/>
                      <a:ext cx="2863850" cy="1780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D5855">
        <w:rPr>
          <w:noProof/>
          <w:lang w:val="en-US"/>
        </w:rPr>
        <w:drawing>
          <wp:inline distT="0" distB="0" distL="0" distR="0" wp14:anchorId="3FC9A33C" wp14:editId="421514C6">
            <wp:extent cx="2863215" cy="179416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353"/>
                    <a:stretch/>
                  </pic:blipFill>
                  <pic:spPr bwMode="auto">
                    <a:xfrm>
                      <a:off x="0" y="0"/>
                      <a:ext cx="2936643" cy="1840176"/>
                    </a:xfrm>
                    <a:prstGeom prst="rect">
                      <a:avLst/>
                    </a:prstGeom>
                    <a:noFill/>
                    <a:ln>
                      <a:noFill/>
                    </a:ln>
                    <a:extLst>
                      <a:ext uri="{53640926-AAD7-44D8-BBD7-CCE9431645EC}">
                        <a14:shadowObscured xmlns:a14="http://schemas.microsoft.com/office/drawing/2010/main"/>
                      </a:ext>
                    </a:extLst>
                  </pic:spPr>
                </pic:pic>
              </a:graphicData>
            </a:graphic>
          </wp:inline>
        </w:drawing>
      </w:r>
    </w:p>
    <w:p w14:paraId="73A0B008" w14:textId="768E1252" w:rsidR="009D21F3" w:rsidRPr="000D5855" w:rsidRDefault="009D21F3" w:rsidP="000D5855">
      <w:pPr>
        <w:spacing w:line="360" w:lineRule="auto"/>
        <w:rPr>
          <w:lang w:val="en-US"/>
        </w:rPr>
      </w:pPr>
    </w:p>
    <w:p w14:paraId="4361D7E3" w14:textId="1BA4024C" w:rsidR="009D21F3" w:rsidRPr="000D5855" w:rsidRDefault="009D21F3" w:rsidP="000D5855">
      <w:pPr>
        <w:spacing w:line="360" w:lineRule="auto"/>
        <w:rPr>
          <w:lang w:val="en-US"/>
        </w:rPr>
      </w:pPr>
    </w:p>
    <w:p w14:paraId="7DF8E77C" w14:textId="50D583FF" w:rsidR="009D21F3" w:rsidRPr="000D5855" w:rsidRDefault="009D21F3" w:rsidP="000D5855">
      <w:pPr>
        <w:spacing w:line="360" w:lineRule="auto"/>
        <w:rPr>
          <w:lang w:val="en-US"/>
        </w:rPr>
      </w:pPr>
    </w:p>
    <w:p w14:paraId="2A35A288" w14:textId="66A90D87" w:rsidR="009D21F3" w:rsidRPr="000D5855" w:rsidRDefault="009D21F3" w:rsidP="000D5855">
      <w:pPr>
        <w:spacing w:line="360" w:lineRule="auto"/>
        <w:rPr>
          <w:lang w:val="en-US"/>
        </w:rPr>
      </w:pPr>
    </w:p>
    <w:p w14:paraId="3EBBAC9E" w14:textId="40DA05EF" w:rsidR="009D21F3" w:rsidRPr="000D5855" w:rsidRDefault="009D21F3" w:rsidP="000D5855">
      <w:pPr>
        <w:spacing w:line="360" w:lineRule="auto"/>
        <w:rPr>
          <w:lang w:val="en-US"/>
        </w:rPr>
      </w:pPr>
    </w:p>
    <w:p w14:paraId="6AF93B17" w14:textId="6069292F" w:rsidR="009D21F3" w:rsidRPr="000D5855" w:rsidRDefault="009D21F3" w:rsidP="000D5855">
      <w:pPr>
        <w:spacing w:line="360" w:lineRule="auto"/>
        <w:jc w:val="both"/>
        <w:rPr>
          <w:rFonts w:ascii="Calibri" w:eastAsia="Times New Roman" w:hAnsi="Calibri" w:cs="Calibri"/>
          <w:sz w:val="18"/>
          <w:szCs w:val="18"/>
          <w:lang w:val="en-US" w:eastAsia="de-DE"/>
        </w:rPr>
      </w:pPr>
      <w:r w:rsidRPr="000D5855">
        <w:rPr>
          <w:rFonts w:ascii="Calibri" w:eastAsia="Times New Roman" w:hAnsi="Calibri" w:cs="Calibri"/>
          <w:sz w:val="18"/>
          <w:szCs w:val="18"/>
          <w:lang w:val="en-US" w:eastAsia="de-DE"/>
        </w:rPr>
        <w:t>Sources: National health survey 1994, 1999, 2004, 2012.</w:t>
      </w:r>
    </w:p>
    <w:p w14:paraId="4577490F" w14:textId="4A332474" w:rsidR="00BA05B2" w:rsidRPr="000D5855" w:rsidRDefault="00BA05B2" w:rsidP="000D5855">
      <w:pPr>
        <w:tabs>
          <w:tab w:val="left" w:pos="1462"/>
        </w:tabs>
        <w:spacing w:line="360" w:lineRule="auto"/>
        <w:rPr>
          <w:lang w:val="en-US"/>
        </w:rPr>
      </w:pPr>
    </w:p>
    <w:p w14:paraId="55F74014" w14:textId="62759A33" w:rsidR="00E9551B" w:rsidRPr="000D5855" w:rsidRDefault="00E9551B" w:rsidP="000D5855">
      <w:pPr>
        <w:spacing w:line="360" w:lineRule="auto"/>
        <w:jc w:val="both"/>
        <w:rPr>
          <w:rFonts w:cstheme="minorHAnsi"/>
          <w:b/>
          <w:bCs/>
          <w:lang w:val="en-US"/>
        </w:rPr>
      </w:pPr>
      <w:r w:rsidRPr="000D5855">
        <w:rPr>
          <w:rFonts w:cstheme="minorHAnsi"/>
          <w:b/>
          <w:bCs/>
          <w:lang w:val="en-US"/>
        </w:rPr>
        <w:t xml:space="preserve">Supplementary annex </w:t>
      </w:r>
      <w:r w:rsidR="00212F97" w:rsidRPr="000D5855">
        <w:rPr>
          <w:rFonts w:cstheme="minorHAnsi"/>
          <w:b/>
          <w:bCs/>
          <w:lang w:val="en-US"/>
        </w:rPr>
        <w:t>4</w:t>
      </w:r>
      <w:r w:rsidRPr="000D5855">
        <w:rPr>
          <w:rFonts w:cstheme="minorHAnsi"/>
          <w:b/>
          <w:bCs/>
          <w:lang w:val="en-US"/>
        </w:rPr>
        <w:t>:</w:t>
      </w:r>
    </w:p>
    <w:p w14:paraId="38794731" w14:textId="61014C55" w:rsidR="00E9551B" w:rsidRPr="000D5855" w:rsidRDefault="00E9551B" w:rsidP="000D5855">
      <w:pPr>
        <w:spacing w:after="100" w:afterAutospacing="1" w:line="360" w:lineRule="auto"/>
        <w:jc w:val="both"/>
        <w:rPr>
          <w:rStyle w:val="tlid-translation"/>
          <w:rFonts w:ascii="Calibri" w:hAnsi="Calibri" w:cs="Calibri"/>
          <w:lang w:val="en"/>
        </w:rPr>
      </w:pPr>
      <w:r w:rsidRPr="000D5855">
        <w:rPr>
          <w:rStyle w:val="tlid-translation"/>
          <w:rFonts w:ascii="Calibri" w:hAnsi="Calibri" w:cs="Calibri"/>
          <w:b/>
          <w:bCs/>
          <w:lang w:val="en-US"/>
        </w:rPr>
        <w:t xml:space="preserve">Figure 2. </w:t>
      </w:r>
      <w:r w:rsidRPr="000D5855">
        <w:rPr>
          <w:rStyle w:val="tlid-translation"/>
          <w:rFonts w:ascii="Calibri" w:hAnsi="Calibri" w:cs="Calibri"/>
          <w:lang w:val="en-US"/>
        </w:rPr>
        <w:t xml:space="preserve">Average annual absolute change </w:t>
      </w:r>
      <w:r w:rsidRPr="000D5855">
        <w:rPr>
          <w:rStyle w:val="tlid-translation"/>
          <w:rFonts w:ascii="Calibri" w:hAnsi="Calibri" w:cs="Calibri"/>
          <w:lang w:val="en"/>
        </w:rPr>
        <w:t>in percentage points by province and intervention (A-E). Ecuador 1994- 2012.</w:t>
      </w:r>
    </w:p>
    <w:p w14:paraId="1FACFF1D" w14:textId="77777777" w:rsidR="00E9551B" w:rsidRPr="000D5855" w:rsidRDefault="00E9551B" w:rsidP="000D5855">
      <w:pPr>
        <w:spacing w:after="100" w:afterAutospacing="1" w:line="360" w:lineRule="auto"/>
        <w:jc w:val="center"/>
        <w:rPr>
          <w:rStyle w:val="tlid-translation"/>
          <w:lang w:val="en"/>
        </w:rPr>
      </w:pPr>
      <w:r w:rsidRPr="000D5855">
        <w:rPr>
          <w:noProof/>
        </w:rPr>
        <w:lastRenderedPageBreak/>
        <w:drawing>
          <wp:inline distT="0" distB="0" distL="0" distR="0" wp14:anchorId="549BA408" wp14:editId="71F0A17E">
            <wp:extent cx="4114800" cy="6339840"/>
            <wp:effectExtent l="0" t="0" r="0" b="3810"/>
            <wp:docPr id="5" name="Imagen 5"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5" name="Imagen 5" descr="Imagen que contiene texto, mapa&#10;&#10;Descripción generada automáticamente"/>
                    <pic:cNvPicPr/>
                  </pic:nvPicPr>
                  <pic:blipFill rotWithShape="1">
                    <a:blip r:embed="rId9">
                      <a:extLst>
                        <a:ext uri="{28A0092B-C50C-407E-A947-70E740481C1C}">
                          <a14:useLocalDpi xmlns:a14="http://schemas.microsoft.com/office/drawing/2010/main" val="0"/>
                        </a:ext>
                      </a:extLst>
                    </a:blip>
                    <a:srcRect b="4642"/>
                    <a:stretch/>
                  </pic:blipFill>
                  <pic:spPr bwMode="auto">
                    <a:xfrm>
                      <a:off x="0" y="0"/>
                      <a:ext cx="4114800" cy="6339840"/>
                    </a:xfrm>
                    <a:prstGeom prst="rect">
                      <a:avLst/>
                    </a:prstGeom>
                    <a:ln>
                      <a:noFill/>
                    </a:ln>
                    <a:extLst>
                      <a:ext uri="{53640926-AAD7-44D8-BBD7-CCE9431645EC}">
                        <a14:shadowObscured xmlns:a14="http://schemas.microsoft.com/office/drawing/2010/main"/>
                      </a:ext>
                    </a:extLst>
                  </pic:spPr>
                </pic:pic>
              </a:graphicData>
            </a:graphic>
          </wp:inline>
        </w:drawing>
      </w:r>
    </w:p>
    <w:p w14:paraId="4AC3CCFB" w14:textId="58C026DC" w:rsidR="00E9551B" w:rsidRDefault="00E9551B" w:rsidP="000D5855">
      <w:pPr>
        <w:spacing w:after="100" w:afterAutospacing="1" w:line="360" w:lineRule="auto"/>
        <w:jc w:val="both"/>
        <w:rPr>
          <w:rFonts w:ascii="Calibri" w:eastAsia="Times New Roman" w:hAnsi="Calibri" w:cs="Calibri"/>
          <w:sz w:val="18"/>
          <w:szCs w:val="18"/>
          <w:lang w:val="en-US" w:eastAsia="de-DE"/>
        </w:rPr>
      </w:pPr>
      <w:r w:rsidRPr="000D5855">
        <w:rPr>
          <w:rFonts w:ascii="Calibri" w:eastAsia="Times New Roman" w:hAnsi="Calibri" w:cs="Calibri"/>
          <w:i/>
          <w:iCs/>
          <w:sz w:val="18"/>
          <w:szCs w:val="18"/>
          <w:lang w:val="en-US" w:eastAsia="de-DE"/>
        </w:rPr>
        <w:t xml:space="preserve">Sources: </w:t>
      </w:r>
      <w:r w:rsidRPr="000D5855">
        <w:rPr>
          <w:rFonts w:ascii="Calibri" w:eastAsia="Times New Roman" w:hAnsi="Calibri" w:cs="Calibri"/>
          <w:sz w:val="18"/>
          <w:szCs w:val="18"/>
          <w:lang w:val="en-US" w:eastAsia="de-DE"/>
        </w:rPr>
        <w:t>Ecuador RHS 1994, RHS 1999, RHS 2004, ENSANUT 2012</w:t>
      </w:r>
    </w:p>
    <w:p w14:paraId="5E9FB4E4" w14:textId="1D74C13A" w:rsidR="00EA4D88" w:rsidRPr="00EA4D88" w:rsidRDefault="00EA4D88" w:rsidP="000D5855">
      <w:pPr>
        <w:spacing w:after="100" w:afterAutospacing="1" w:line="360" w:lineRule="auto"/>
        <w:jc w:val="both"/>
        <w:rPr>
          <w:rFonts w:ascii="Calibri" w:eastAsia="Times New Roman" w:hAnsi="Calibri" w:cs="Calibri"/>
          <w:b/>
          <w:bCs/>
          <w:sz w:val="18"/>
          <w:szCs w:val="18"/>
          <w:lang w:val="en-US" w:eastAsia="de-DE"/>
        </w:rPr>
      </w:pPr>
      <w:r w:rsidRPr="00EA4D88">
        <w:rPr>
          <w:rFonts w:ascii="Calibri" w:eastAsia="Times New Roman" w:hAnsi="Calibri" w:cs="Calibri"/>
          <w:b/>
          <w:bCs/>
          <w:sz w:val="18"/>
          <w:szCs w:val="18"/>
          <w:lang w:val="en-US" w:eastAsia="de-DE"/>
        </w:rPr>
        <w:t>Bibliography:</w:t>
      </w:r>
    </w:p>
    <w:p w14:paraId="625169CB" w14:textId="77777777" w:rsidR="00A94A51" w:rsidRPr="00A94A51" w:rsidRDefault="00A94A51" w:rsidP="00A94A51">
      <w:pPr>
        <w:pStyle w:val="Bibliografa"/>
        <w:rPr>
          <w:rFonts w:ascii="Calibri" w:hAnsi="Calibri" w:cs="Calibri"/>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Pr="00A94A51">
        <w:rPr>
          <w:rFonts w:ascii="Calibri" w:hAnsi="Calibri" w:cs="Calibri"/>
          <w:lang w:val="en-US"/>
        </w:rPr>
        <w:t xml:space="preserve">1. </w:t>
      </w:r>
      <w:r w:rsidRPr="00A94A51">
        <w:rPr>
          <w:rFonts w:ascii="Calibri" w:hAnsi="Calibri" w:cs="Calibri"/>
          <w:lang w:val="en-US"/>
        </w:rPr>
        <w:tab/>
        <w:t xml:space="preserve">Barros AJD, Victora CG. Measuring Coverage in MNCH: Determining and Interpreting Inequalities in Coverage of Maternal, Newborn, and Child Health Interventions. PLOS Med. 7 de mayo de 2013;10(5):e1001390. </w:t>
      </w:r>
    </w:p>
    <w:p w14:paraId="6854881B" w14:textId="77777777" w:rsidR="00A94A51" w:rsidRPr="00A94A51" w:rsidRDefault="00A94A51" w:rsidP="00A94A51">
      <w:pPr>
        <w:pStyle w:val="Bibliografa"/>
        <w:rPr>
          <w:rFonts w:ascii="Calibri" w:hAnsi="Calibri" w:cs="Calibri"/>
          <w:lang w:val="es-EC"/>
        </w:rPr>
      </w:pPr>
      <w:r w:rsidRPr="00A94A51">
        <w:rPr>
          <w:rFonts w:ascii="Calibri" w:hAnsi="Calibri" w:cs="Calibri"/>
          <w:lang w:val="en-US"/>
        </w:rPr>
        <w:t xml:space="preserve">2. </w:t>
      </w:r>
      <w:r w:rsidRPr="00A94A51">
        <w:rPr>
          <w:rFonts w:ascii="Calibri" w:hAnsi="Calibri" w:cs="Calibri"/>
          <w:lang w:val="en-US"/>
        </w:rPr>
        <w:tab/>
        <w:t xml:space="preserve">O’Donnell O, van Doorslaer E, Wagstaff A, Lindelow M. Analyzing health equity using household survey data : a guide to techniques and their implementation [Internet]. </w:t>
      </w:r>
      <w:r w:rsidRPr="00A94A51">
        <w:rPr>
          <w:rFonts w:ascii="Calibri" w:hAnsi="Calibri" w:cs="Calibri"/>
          <w:lang w:val="es-EC"/>
        </w:rPr>
        <w:t>The World Bank; 2007 nov [citado 14 de mayo de 2019] p. 1-234. Report No.: 42480. Disponible en: http://documents.worldbank.org/curated/en/633931468139502235/Analyzing-health-equity-using-household-survey-data-a-guide-to-techniques-and-their-implementation</w:t>
      </w:r>
    </w:p>
    <w:p w14:paraId="0DF65B37" w14:textId="77777777" w:rsidR="00A94A51" w:rsidRPr="00A94A51" w:rsidRDefault="00A94A51" w:rsidP="00A94A51">
      <w:pPr>
        <w:pStyle w:val="Bibliografa"/>
        <w:rPr>
          <w:rFonts w:ascii="Calibri" w:hAnsi="Calibri" w:cs="Calibri"/>
          <w:lang w:val="es-EC"/>
        </w:rPr>
      </w:pPr>
      <w:r w:rsidRPr="00A94A51">
        <w:rPr>
          <w:rFonts w:ascii="Calibri" w:hAnsi="Calibri" w:cs="Calibri"/>
          <w:lang w:val="es-EC"/>
        </w:rPr>
        <w:lastRenderedPageBreak/>
        <w:t xml:space="preserve">3. </w:t>
      </w:r>
      <w:r w:rsidRPr="00A94A51">
        <w:rPr>
          <w:rFonts w:ascii="Calibri" w:hAnsi="Calibri" w:cs="Calibri"/>
          <w:lang w:val="es-EC"/>
        </w:rPr>
        <w:tab/>
        <w:t>PAHO/WHO. Manual para el Monitoreo de las Desigualdades en Salud, con especial énfasis en países de ingresos medianos y bajos [Internet]. Biblioteca sede de la OPS. Washington D.C.; 2016 [citado 14 de noviembre de 2016]. Disponible en: http://www.paho.org/hq/index.php?option=com_content&amp;view=article&amp;id=12571%3Amanual-monitoreo-desigualdadessalud-paises-ingresos-medianos-bajos&amp;catid=8896%3Apublications&amp;Itemid=42134&amp;lang=es</w:t>
      </w:r>
    </w:p>
    <w:p w14:paraId="270A420B" w14:textId="256D248C" w:rsidR="00E9551B" w:rsidRPr="009D21F3" w:rsidRDefault="00A94A51" w:rsidP="000D5855">
      <w:pPr>
        <w:tabs>
          <w:tab w:val="left" w:pos="1462"/>
        </w:tabs>
        <w:spacing w:line="360" w:lineRule="auto"/>
        <w:rPr>
          <w:lang w:val="en-US"/>
        </w:rPr>
      </w:pPr>
      <w:r>
        <w:rPr>
          <w:lang w:val="en-US"/>
        </w:rPr>
        <w:fldChar w:fldCharType="end"/>
      </w:r>
    </w:p>
    <w:sectPr w:rsidR="00E9551B" w:rsidRPr="009D21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10"/>
    <w:rsid w:val="000751F0"/>
    <w:rsid w:val="000D0E43"/>
    <w:rsid w:val="000D5855"/>
    <w:rsid w:val="00186690"/>
    <w:rsid w:val="001A777B"/>
    <w:rsid w:val="00212F97"/>
    <w:rsid w:val="002F14AC"/>
    <w:rsid w:val="00376F4D"/>
    <w:rsid w:val="003E61BB"/>
    <w:rsid w:val="00540173"/>
    <w:rsid w:val="005458C9"/>
    <w:rsid w:val="005A1EBB"/>
    <w:rsid w:val="006C6476"/>
    <w:rsid w:val="00774D13"/>
    <w:rsid w:val="007D2205"/>
    <w:rsid w:val="009D21F3"/>
    <w:rsid w:val="00A058B7"/>
    <w:rsid w:val="00A94A51"/>
    <w:rsid w:val="00AC5C58"/>
    <w:rsid w:val="00AD3E9B"/>
    <w:rsid w:val="00BA05B2"/>
    <w:rsid w:val="00BC0481"/>
    <w:rsid w:val="00D730E1"/>
    <w:rsid w:val="00E9551B"/>
    <w:rsid w:val="00EA4D88"/>
    <w:rsid w:val="00F37910"/>
    <w:rsid w:val="00F91C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0EC6"/>
  <w15:chartTrackingRefBased/>
  <w15:docId w15:val="{7BB030E7-7200-4640-9B9F-DC9C631E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9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lid-translation">
    <w:name w:val="tlid-translation"/>
    <w:basedOn w:val="Fuentedeprrafopredeter"/>
    <w:rsid w:val="00F37910"/>
  </w:style>
  <w:style w:type="table" w:styleId="Tablaconcuadrcula">
    <w:name w:val="Table Grid"/>
    <w:basedOn w:val="Tablanormal"/>
    <w:uiPriority w:val="39"/>
    <w:rsid w:val="00F37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E61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61BB"/>
    <w:rPr>
      <w:rFonts w:ascii="Segoe UI" w:hAnsi="Segoe UI" w:cs="Segoe UI"/>
      <w:sz w:val="18"/>
      <w:szCs w:val="18"/>
    </w:rPr>
  </w:style>
  <w:style w:type="paragraph" w:styleId="Textocomentario">
    <w:name w:val="annotation text"/>
    <w:basedOn w:val="Normal"/>
    <w:link w:val="TextocomentarioCar"/>
    <w:uiPriority w:val="99"/>
    <w:semiHidden/>
    <w:unhideWhenUsed/>
    <w:rsid w:val="000D58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D5855"/>
    <w:rPr>
      <w:sz w:val="20"/>
      <w:szCs w:val="20"/>
    </w:rPr>
  </w:style>
  <w:style w:type="character" w:styleId="Refdecomentario">
    <w:name w:val="annotation reference"/>
    <w:basedOn w:val="Fuentedeprrafopredeter"/>
    <w:uiPriority w:val="99"/>
    <w:semiHidden/>
    <w:unhideWhenUsed/>
    <w:rsid w:val="000D5855"/>
    <w:rPr>
      <w:sz w:val="16"/>
      <w:szCs w:val="16"/>
    </w:rPr>
  </w:style>
  <w:style w:type="character" w:customStyle="1" w:styleId="jlqj4b">
    <w:name w:val="jlqj4b"/>
    <w:basedOn w:val="Fuentedeprrafopredeter"/>
    <w:rsid w:val="000D5855"/>
  </w:style>
  <w:style w:type="character" w:customStyle="1" w:styleId="viiyi">
    <w:name w:val="viiyi"/>
    <w:basedOn w:val="Fuentedeprrafopredeter"/>
    <w:rsid w:val="000D5855"/>
  </w:style>
  <w:style w:type="paragraph" w:styleId="Bibliografa">
    <w:name w:val="Bibliography"/>
    <w:basedOn w:val="Normal"/>
    <w:next w:val="Normal"/>
    <w:uiPriority w:val="37"/>
    <w:unhideWhenUsed/>
    <w:rsid w:val="00A94A51"/>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998181">
      <w:bodyDiv w:val="1"/>
      <w:marLeft w:val="0"/>
      <w:marRight w:val="0"/>
      <w:marTop w:val="0"/>
      <w:marBottom w:val="0"/>
      <w:divBdr>
        <w:top w:val="none" w:sz="0" w:space="0" w:color="auto"/>
        <w:left w:val="none" w:sz="0" w:space="0" w:color="auto"/>
        <w:bottom w:val="none" w:sz="0" w:space="0" w:color="auto"/>
        <w:right w:val="none" w:sz="0" w:space="0" w:color="auto"/>
      </w:divBdr>
    </w:div>
    <w:div w:id="1052269336">
      <w:bodyDiv w:val="1"/>
      <w:marLeft w:val="0"/>
      <w:marRight w:val="0"/>
      <w:marTop w:val="0"/>
      <w:marBottom w:val="0"/>
      <w:divBdr>
        <w:top w:val="none" w:sz="0" w:space="0" w:color="auto"/>
        <w:left w:val="none" w:sz="0" w:space="0" w:color="auto"/>
        <w:bottom w:val="none" w:sz="0" w:space="0" w:color="auto"/>
        <w:right w:val="none" w:sz="0" w:space="0" w:color="auto"/>
      </w:divBdr>
    </w:div>
    <w:div w:id="21214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2103</Words>
  <Characters>13255</Characters>
  <Application>Microsoft Office Word</Application>
  <DocSecurity>0</DocSecurity>
  <Lines>110</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Pauly Ríos Q</dc:creator>
  <cp:keywords/>
  <dc:description/>
  <cp:lastModifiedBy>Pauly Ríos Q</cp:lastModifiedBy>
  <cp:revision>9</cp:revision>
  <dcterms:created xsi:type="dcterms:W3CDTF">2020-11-18T20:43:00Z</dcterms:created>
  <dcterms:modified xsi:type="dcterms:W3CDTF">2020-12-03T16:27:00Z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zotero-version="5.0.68"&gt;&lt;session id="hbhWe1g2"/&gt;&lt;style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