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9F772" w14:textId="77777777" w:rsidR="00114562" w:rsidRPr="00FD545F" w:rsidRDefault="00114562" w:rsidP="00114562">
      <w:pPr>
        <w:widowControl/>
        <w:jc w:val="left"/>
        <w:rPr>
          <w:rFonts w:ascii="Times New Roman" w:eastAsia="游ゴシック" w:hAnsi="Times New Roman" w:cs="Times New Roman"/>
          <w:b/>
          <w:bCs/>
          <w:color w:val="000000"/>
          <w:kern w:val="0"/>
          <w:sz w:val="28"/>
          <w:szCs w:val="28"/>
          <w:lang w:val="en-US"/>
        </w:rPr>
      </w:pPr>
      <w:r w:rsidRPr="00FD545F">
        <w:rPr>
          <w:rFonts w:ascii="Times New Roman" w:eastAsia="游ゴシック" w:hAnsi="Times New Roman" w:cs="Times New Roman"/>
          <w:b/>
          <w:bCs/>
          <w:color w:val="000000"/>
          <w:kern w:val="0"/>
          <w:sz w:val="28"/>
          <w:szCs w:val="28"/>
          <w:lang w:val="en-US"/>
        </w:rPr>
        <w:t>Supplementary appendix</w:t>
      </w:r>
    </w:p>
    <w:p w14:paraId="3626BA4A" w14:textId="77777777" w:rsidR="00114562" w:rsidRPr="00FD545F" w:rsidRDefault="00114562" w:rsidP="00114562">
      <w:pPr>
        <w:widowControl/>
        <w:jc w:val="left"/>
        <w:rPr>
          <w:rFonts w:ascii="Times New Roman" w:eastAsia="游ゴシック" w:hAnsi="Times New Roman" w:cs="Times New Roman"/>
          <w:b/>
          <w:bCs/>
          <w:color w:val="000000"/>
          <w:kern w:val="0"/>
          <w:sz w:val="24"/>
          <w:szCs w:val="24"/>
          <w:lang w:val="en-US"/>
        </w:rPr>
      </w:pPr>
    </w:p>
    <w:p w14:paraId="5D416573" w14:textId="77777777" w:rsidR="00F164F2" w:rsidRDefault="00F164F2" w:rsidP="00F164F2">
      <w:pPr>
        <w:jc w:val="lef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Equity and determinants in universal health coverage indicators in Iraq, 2000-2030: a national and subnational study</w:t>
      </w:r>
    </w:p>
    <w:p w14:paraId="603DBB82" w14:textId="77777777" w:rsidR="00114562" w:rsidRPr="00F164F2" w:rsidRDefault="00114562" w:rsidP="00114562">
      <w:pPr>
        <w:pStyle w:val="a3"/>
        <w:rPr>
          <w:rFonts w:ascii="Times New Roman" w:eastAsia="游ゴシック" w:hAnsi="Times New Roman" w:cs="Times New Roman"/>
          <w:color w:val="000000"/>
          <w:kern w:val="0"/>
          <w:sz w:val="24"/>
          <w:szCs w:val="24"/>
        </w:rPr>
      </w:pPr>
    </w:p>
    <w:p w14:paraId="3B4F6243" w14:textId="620A1F2B" w:rsidR="00114562" w:rsidRPr="006E6F60" w:rsidRDefault="00114562" w:rsidP="00114562">
      <w:pPr>
        <w:pStyle w:val="a3"/>
        <w:rPr>
          <w:rFonts w:ascii="Times New Roman" w:eastAsia="游ゴシック" w:hAnsi="Times New Roman" w:cs="Times New Roman"/>
          <w:color w:val="000000"/>
          <w:kern w:val="0"/>
          <w:sz w:val="24"/>
          <w:szCs w:val="24"/>
          <w:lang w:val="en-US"/>
        </w:rPr>
      </w:pPr>
      <w:bookmarkStart w:id="0" w:name="_Hlk68183996"/>
      <w:r w:rsidRPr="00FD545F">
        <w:rPr>
          <w:rFonts w:ascii="Times New Roman" w:eastAsia="游ゴシック" w:hAnsi="Times New Roman" w:cs="Times New Roman" w:hint="eastAsia"/>
          <w:color w:val="000000"/>
          <w:kern w:val="0"/>
          <w:sz w:val="24"/>
          <w:szCs w:val="24"/>
          <w:lang w:val="en-US"/>
        </w:rPr>
        <w:t>A</w:t>
      </w:r>
      <w:r w:rsidRPr="00FD545F">
        <w:rPr>
          <w:rFonts w:ascii="Times New Roman" w:eastAsia="游ゴシック" w:hAnsi="Times New Roman" w:cs="Times New Roman"/>
          <w:color w:val="000000"/>
          <w:kern w:val="0"/>
          <w:sz w:val="24"/>
          <w:szCs w:val="24"/>
          <w:lang w:val="en-US"/>
        </w:rPr>
        <w:t xml:space="preserve">ppendix section </w:t>
      </w:r>
      <w:r w:rsidRPr="006E6F60">
        <w:rPr>
          <w:rFonts w:ascii="Times New Roman" w:eastAsia="游ゴシック" w:hAnsi="Times New Roman" w:cs="Times New Roman"/>
          <w:color w:val="000000"/>
          <w:kern w:val="0"/>
          <w:sz w:val="24"/>
          <w:szCs w:val="24"/>
          <w:lang w:val="en-US"/>
        </w:rPr>
        <w:t>1. Survey characteristics</w:t>
      </w:r>
    </w:p>
    <w:p w14:paraId="64A1B94F" w14:textId="077457FB" w:rsidR="00D924A1" w:rsidRPr="006E6F60" w:rsidRDefault="00D924A1" w:rsidP="00D924A1">
      <w:pPr>
        <w:pStyle w:val="a3"/>
        <w:rPr>
          <w:rFonts w:ascii="Times New Roman" w:eastAsia="游ゴシック" w:hAnsi="Times New Roman" w:cs="Times New Roman"/>
          <w:color w:val="000000"/>
          <w:kern w:val="0"/>
          <w:sz w:val="24"/>
          <w:szCs w:val="24"/>
          <w:lang w:val="en-US"/>
        </w:rPr>
      </w:pPr>
      <w:r w:rsidRPr="006E6F60">
        <w:rPr>
          <w:rFonts w:ascii="Times New Roman" w:eastAsia="游ゴシック" w:hAnsi="Times New Roman" w:cs="Times New Roman" w:hint="eastAsia"/>
          <w:color w:val="000000"/>
          <w:kern w:val="0"/>
          <w:sz w:val="24"/>
          <w:szCs w:val="24"/>
          <w:lang w:val="en-US"/>
        </w:rPr>
        <w:t>A</w:t>
      </w:r>
      <w:r w:rsidRPr="006E6F60">
        <w:rPr>
          <w:rFonts w:ascii="Times New Roman" w:eastAsia="游ゴシック" w:hAnsi="Times New Roman" w:cs="Times New Roman"/>
          <w:color w:val="000000"/>
          <w:kern w:val="0"/>
          <w:sz w:val="24"/>
          <w:szCs w:val="24"/>
          <w:lang w:val="en-US"/>
        </w:rPr>
        <w:t>ppendix section 2. Health service indicators</w:t>
      </w:r>
    </w:p>
    <w:p w14:paraId="6F797DBA" w14:textId="4E5353E3" w:rsidR="00114562" w:rsidRPr="006E6F60" w:rsidRDefault="00114562" w:rsidP="00114562">
      <w:pPr>
        <w:pStyle w:val="a3"/>
        <w:rPr>
          <w:rFonts w:ascii="Times New Roman" w:hAnsi="Times New Roman" w:cs="Times New Roman"/>
          <w:sz w:val="24"/>
          <w:szCs w:val="24"/>
        </w:rPr>
      </w:pPr>
      <w:r w:rsidRPr="006E6F60">
        <w:rPr>
          <w:rFonts w:ascii="Times New Roman" w:eastAsia="游ゴシック" w:hAnsi="Times New Roman" w:cs="Times New Roman" w:hint="eastAsia"/>
          <w:color w:val="000000"/>
          <w:kern w:val="0"/>
          <w:sz w:val="24"/>
          <w:szCs w:val="24"/>
          <w:lang w:val="en-US"/>
        </w:rPr>
        <w:t>A</w:t>
      </w:r>
      <w:r w:rsidRPr="006E6F60">
        <w:rPr>
          <w:rFonts w:ascii="Times New Roman" w:eastAsia="游ゴシック" w:hAnsi="Times New Roman" w:cs="Times New Roman"/>
          <w:color w:val="000000"/>
          <w:kern w:val="0"/>
          <w:sz w:val="24"/>
          <w:szCs w:val="24"/>
          <w:lang w:val="en-US"/>
        </w:rPr>
        <w:t xml:space="preserve">ppendix section </w:t>
      </w:r>
      <w:r w:rsidR="00D924A1" w:rsidRPr="006E6F60">
        <w:rPr>
          <w:rFonts w:ascii="Times New Roman" w:eastAsia="游ゴシック" w:hAnsi="Times New Roman" w:cs="Times New Roman"/>
          <w:color w:val="000000"/>
          <w:kern w:val="0"/>
          <w:sz w:val="24"/>
          <w:szCs w:val="24"/>
          <w:lang w:val="en-US"/>
        </w:rPr>
        <w:t>3</w:t>
      </w:r>
      <w:r w:rsidRPr="006E6F60">
        <w:rPr>
          <w:rFonts w:ascii="Times New Roman" w:eastAsia="游ゴシック" w:hAnsi="Times New Roman" w:cs="Times New Roman"/>
          <w:color w:val="000000"/>
          <w:kern w:val="0"/>
          <w:sz w:val="24"/>
          <w:szCs w:val="24"/>
          <w:lang w:val="en-US"/>
        </w:rPr>
        <w:t xml:space="preserve">. </w:t>
      </w:r>
      <w:r w:rsidRPr="006E6F60">
        <w:rPr>
          <w:rFonts w:ascii="Times New Roman" w:hAnsi="Times New Roman" w:cs="Times New Roman"/>
          <w:sz w:val="24"/>
          <w:szCs w:val="24"/>
        </w:rPr>
        <w:t xml:space="preserve">The definitions of household consumption expenditure and out-of-pocket health payment, estimation of financial burden and </w:t>
      </w:r>
      <w:r w:rsidRPr="006E6F60">
        <w:rPr>
          <w:rFonts w:ascii="Times New Roman" w:hAnsi="Times New Roman" w:cs="Times New Roman"/>
          <w:kern w:val="0"/>
          <w:sz w:val="24"/>
          <w:szCs w:val="24"/>
          <w:lang w:val="en-US"/>
        </w:rPr>
        <w:t>incid</w:t>
      </w:r>
      <w:r w:rsidRPr="006E6F60">
        <w:rPr>
          <w:rFonts w:ascii="Times New Roman" w:hAnsi="Times New Roman" w:cs="Times New Roman"/>
          <w:color w:val="000000"/>
          <w:kern w:val="0"/>
          <w:sz w:val="24"/>
          <w:szCs w:val="24"/>
          <w:lang w:val="en-US"/>
        </w:rPr>
        <w:t>ence of catastrophic health expenditure at different threshold</w:t>
      </w:r>
    </w:p>
    <w:p w14:paraId="46993FD1" w14:textId="61828429" w:rsidR="007408B3" w:rsidRPr="006E6F60" w:rsidRDefault="007408B3" w:rsidP="007408B3">
      <w:pPr>
        <w:pStyle w:val="a3"/>
        <w:rPr>
          <w:rFonts w:ascii="Times New Roman" w:eastAsia="游ゴシック" w:hAnsi="Times New Roman" w:cs="Times New Roman"/>
          <w:color w:val="000000"/>
          <w:kern w:val="0"/>
          <w:sz w:val="24"/>
          <w:szCs w:val="24"/>
          <w:lang w:val="en-US"/>
        </w:rPr>
      </w:pPr>
      <w:r w:rsidRPr="006E6F60">
        <w:rPr>
          <w:rFonts w:ascii="Times New Roman" w:eastAsia="游ゴシック" w:hAnsi="Times New Roman" w:cs="Times New Roman"/>
          <w:color w:val="000000"/>
          <w:kern w:val="0"/>
          <w:sz w:val="24"/>
          <w:szCs w:val="24"/>
          <w:lang w:val="en-US"/>
        </w:rPr>
        <w:t xml:space="preserve">Appendix section 4: </w:t>
      </w:r>
      <w:bookmarkStart w:id="1" w:name="_Hlk75127454"/>
      <w:r w:rsidR="00344565" w:rsidRPr="006E6F60">
        <w:rPr>
          <w:rFonts w:ascii="Times New Roman" w:eastAsia="游ゴシック" w:hAnsi="Times New Roman" w:cs="Times New Roman"/>
          <w:color w:val="000000"/>
          <w:kern w:val="0"/>
          <w:sz w:val="24"/>
          <w:szCs w:val="24"/>
          <w:lang w:val="en-US"/>
        </w:rPr>
        <w:t>Predictor variables for trend and projection analysis and d</w:t>
      </w:r>
      <w:bookmarkEnd w:id="1"/>
      <w:r w:rsidRPr="006E6F60">
        <w:rPr>
          <w:rFonts w:ascii="Times New Roman" w:eastAsia="游ゴシック" w:hAnsi="Times New Roman" w:cs="Times New Roman"/>
          <w:color w:val="000000"/>
          <w:kern w:val="0"/>
          <w:sz w:val="24"/>
          <w:szCs w:val="24"/>
          <w:lang w:val="en-US"/>
        </w:rPr>
        <w:t>ata of internally displaced people and definition of population density</w:t>
      </w:r>
    </w:p>
    <w:p w14:paraId="00320DDF" w14:textId="77777777" w:rsidR="007408B3" w:rsidRPr="006E6F60" w:rsidRDefault="007408B3" w:rsidP="007408B3">
      <w:pPr>
        <w:pStyle w:val="a3"/>
        <w:rPr>
          <w:rFonts w:ascii="Times New Roman" w:eastAsia="游ゴシック" w:hAnsi="Times New Roman" w:cs="Times New Roman"/>
          <w:color w:val="000000"/>
          <w:kern w:val="0"/>
          <w:sz w:val="24"/>
          <w:szCs w:val="24"/>
          <w:lang w:val="en-US"/>
        </w:rPr>
      </w:pPr>
      <w:r w:rsidRPr="006E6F60">
        <w:rPr>
          <w:rFonts w:ascii="Times New Roman" w:eastAsia="游ゴシック" w:hAnsi="Times New Roman" w:cs="Times New Roman"/>
          <w:color w:val="000000"/>
          <w:kern w:val="0"/>
          <w:sz w:val="24"/>
          <w:szCs w:val="24"/>
          <w:lang w:val="en-US"/>
        </w:rPr>
        <w:t>Appendix section 5. Predictor variables used in the determinant analyses</w:t>
      </w:r>
    </w:p>
    <w:p w14:paraId="1B4AC86E" w14:textId="77777777" w:rsidR="007408B3" w:rsidRPr="006E6F60" w:rsidRDefault="007408B3" w:rsidP="007408B3">
      <w:pPr>
        <w:pStyle w:val="a3"/>
        <w:rPr>
          <w:rFonts w:ascii="Times New Roman" w:eastAsia="游ゴシック" w:hAnsi="Times New Roman" w:cs="Times New Roman"/>
          <w:color w:val="000000"/>
          <w:kern w:val="0"/>
          <w:sz w:val="24"/>
          <w:szCs w:val="24"/>
          <w:lang w:val="en-US"/>
        </w:rPr>
      </w:pPr>
      <w:r w:rsidRPr="006E6F60">
        <w:rPr>
          <w:rFonts w:ascii="Times New Roman" w:eastAsia="游ゴシック" w:hAnsi="Times New Roman" w:cs="Times New Roman"/>
          <w:color w:val="000000"/>
          <w:kern w:val="0"/>
          <w:sz w:val="24"/>
          <w:szCs w:val="24"/>
          <w:lang w:val="en-US"/>
        </w:rPr>
        <w:t>Appendix section 6. Statistical analysis</w:t>
      </w:r>
    </w:p>
    <w:p w14:paraId="46870EA0" w14:textId="4490D902" w:rsidR="007408B3" w:rsidRPr="00FD545F" w:rsidRDefault="007408B3" w:rsidP="007408B3">
      <w:pPr>
        <w:pStyle w:val="a3"/>
        <w:rPr>
          <w:rFonts w:ascii="Times New Roman" w:eastAsia="游ゴシック" w:hAnsi="Times New Roman" w:cs="Times New Roman"/>
          <w:color w:val="000000"/>
          <w:kern w:val="0"/>
          <w:sz w:val="24"/>
          <w:szCs w:val="24"/>
          <w:lang w:val="en-US"/>
        </w:rPr>
      </w:pPr>
      <w:r w:rsidRPr="006E6F60">
        <w:rPr>
          <w:rFonts w:ascii="Times New Roman" w:eastAsia="游ゴシック" w:hAnsi="Times New Roman" w:cs="Times New Roman"/>
          <w:color w:val="000000"/>
          <w:kern w:val="0"/>
          <w:sz w:val="24"/>
          <w:szCs w:val="24"/>
          <w:lang w:val="en-US"/>
        </w:rPr>
        <w:t>Appendix section 7.</w:t>
      </w:r>
      <w:r w:rsidRPr="00FD545F">
        <w:rPr>
          <w:rFonts w:ascii="Times New Roman" w:eastAsia="游ゴシック" w:hAnsi="Times New Roman" w:cs="Times New Roman"/>
          <w:color w:val="000000"/>
          <w:kern w:val="0"/>
          <w:sz w:val="24"/>
          <w:szCs w:val="24"/>
          <w:lang w:val="en-US"/>
        </w:rPr>
        <w:t xml:space="preserve"> National-level health service coverage</w:t>
      </w:r>
      <w:r w:rsidR="0000446B">
        <w:rPr>
          <w:rFonts w:ascii="Times New Roman" w:eastAsia="游ゴシック" w:hAnsi="Times New Roman" w:cs="Times New Roman"/>
          <w:color w:val="000000"/>
          <w:kern w:val="0"/>
          <w:sz w:val="24"/>
          <w:szCs w:val="24"/>
          <w:lang w:val="en-US"/>
        </w:rPr>
        <w:t>:</w:t>
      </w:r>
      <w:r w:rsidRPr="00FD545F">
        <w:rPr>
          <w:rFonts w:ascii="Times New Roman" w:eastAsia="游ゴシック" w:hAnsi="Times New Roman" w:cs="Times New Roman"/>
          <w:color w:val="000000"/>
          <w:kern w:val="0"/>
          <w:sz w:val="24"/>
          <w:szCs w:val="24"/>
          <w:lang w:val="en-US"/>
        </w:rPr>
        <w:t xml:space="preserve"> slope index of inequality</w:t>
      </w:r>
    </w:p>
    <w:p w14:paraId="68D757D8" w14:textId="24129489" w:rsidR="00D367A3" w:rsidRPr="00FD545F" w:rsidRDefault="00114562" w:rsidP="00F074DE">
      <w:pPr>
        <w:ind w:rightChars="-405" w:right="-850"/>
        <w:rPr>
          <w:rFonts w:ascii="Times New Roman" w:eastAsia="游ゴシック" w:hAnsi="Times New Roman" w:cs="Times New Roman"/>
          <w:color w:val="000000"/>
          <w:kern w:val="0"/>
          <w:sz w:val="24"/>
          <w:szCs w:val="24"/>
          <w:lang w:val="en-US"/>
        </w:rPr>
      </w:pPr>
      <w:r w:rsidRPr="00FD545F">
        <w:rPr>
          <w:rFonts w:ascii="Times New Roman" w:eastAsia="游ゴシック" w:hAnsi="Times New Roman" w:cs="Times New Roman" w:hint="eastAsia"/>
          <w:color w:val="000000"/>
          <w:kern w:val="0"/>
          <w:sz w:val="24"/>
          <w:szCs w:val="24"/>
          <w:lang w:val="en-US"/>
        </w:rPr>
        <w:t>A</w:t>
      </w:r>
      <w:r w:rsidRPr="00FD545F">
        <w:rPr>
          <w:rFonts w:ascii="Times New Roman" w:eastAsia="游ゴシック" w:hAnsi="Times New Roman" w:cs="Times New Roman"/>
          <w:color w:val="000000"/>
          <w:kern w:val="0"/>
          <w:sz w:val="24"/>
          <w:szCs w:val="24"/>
          <w:lang w:val="en-US"/>
        </w:rPr>
        <w:t xml:space="preserve">ppendix section </w:t>
      </w:r>
      <w:r w:rsidR="00A94D17" w:rsidRPr="00FD545F">
        <w:rPr>
          <w:rFonts w:ascii="Times New Roman" w:eastAsia="游ゴシック" w:hAnsi="Times New Roman" w:cs="Times New Roman"/>
          <w:color w:val="000000"/>
          <w:kern w:val="0"/>
          <w:sz w:val="24"/>
          <w:szCs w:val="24"/>
          <w:lang w:val="en-US"/>
        </w:rPr>
        <w:t>8</w:t>
      </w:r>
      <w:r w:rsidRPr="00FD545F">
        <w:rPr>
          <w:rFonts w:ascii="Times New Roman" w:eastAsia="游ゴシック" w:hAnsi="Times New Roman" w:cs="Times New Roman"/>
          <w:color w:val="000000"/>
          <w:kern w:val="0"/>
          <w:sz w:val="24"/>
          <w:szCs w:val="24"/>
          <w:lang w:val="en-US"/>
        </w:rPr>
        <w:t xml:space="preserve">. </w:t>
      </w:r>
      <w:r w:rsidR="00170263" w:rsidRPr="00FD545F">
        <w:rPr>
          <w:rFonts w:ascii="Times New Roman" w:eastAsia="游ゴシック" w:hAnsi="Times New Roman" w:cs="Times New Roman"/>
          <w:color w:val="000000"/>
          <w:kern w:val="0"/>
          <w:sz w:val="24"/>
          <w:szCs w:val="24"/>
          <w:lang w:val="en-US"/>
        </w:rPr>
        <w:t>Sub</w:t>
      </w:r>
      <w:r w:rsidR="00170263" w:rsidRPr="00FD545F">
        <w:rPr>
          <w:rFonts w:ascii="Times New Roman" w:hAnsi="Times New Roman" w:cs="Times New Roman"/>
          <w:sz w:val="24"/>
          <w:szCs w:val="24"/>
        </w:rPr>
        <w:t>national-level</w:t>
      </w:r>
      <w:r w:rsidR="00170263" w:rsidRPr="00FD545F">
        <w:rPr>
          <w:rFonts w:ascii="Times New Roman" w:hAnsi="Times New Roman" w:cs="Times New Roman"/>
          <w:sz w:val="24"/>
          <w:szCs w:val="24"/>
          <w:lang w:val="en-US"/>
        </w:rPr>
        <w:t xml:space="preserve"> catastrophic health expenditure by place of residence</w:t>
      </w:r>
    </w:p>
    <w:p w14:paraId="01E14B22" w14:textId="12FD6BC8" w:rsidR="00D367A3" w:rsidRPr="00FD545F" w:rsidRDefault="00D367A3" w:rsidP="00ED5A56">
      <w:pPr>
        <w:pStyle w:val="a3"/>
        <w:rPr>
          <w:rFonts w:ascii="Times New Roman" w:hAnsi="Times New Roman" w:cs="Times New Roman"/>
          <w:sz w:val="24"/>
          <w:szCs w:val="24"/>
          <w:lang w:val="en-US"/>
        </w:rPr>
      </w:pPr>
      <w:r w:rsidRPr="00FD545F">
        <w:rPr>
          <w:rFonts w:ascii="Times New Roman" w:eastAsia="游ゴシック" w:hAnsi="Times New Roman" w:cs="Times New Roman" w:hint="eastAsia"/>
          <w:color w:val="000000"/>
          <w:kern w:val="0"/>
          <w:sz w:val="24"/>
          <w:szCs w:val="24"/>
          <w:lang w:val="en-US"/>
        </w:rPr>
        <w:t>A</w:t>
      </w:r>
      <w:r w:rsidRPr="00FD545F">
        <w:rPr>
          <w:rFonts w:ascii="Times New Roman" w:eastAsia="游ゴシック" w:hAnsi="Times New Roman" w:cs="Times New Roman"/>
          <w:color w:val="000000"/>
          <w:kern w:val="0"/>
          <w:sz w:val="24"/>
          <w:szCs w:val="24"/>
          <w:lang w:val="en-US"/>
        </w:rPr>
        <w:t xml:space="preserve">ppendix section </w:t>
      </w:r>
      <w:r w:rsidR="00A94D17" w:rsidRPr="00FD545F">
        <w:rPr>
          <w:rFonts w:ascii="Times New Roman" w:eastAsia="游ゴシック" w:hAnsi="Times New Roman" w:cs="Times New Roman"/>
          <w:color w:val="000000"/>
          <w:kern w:val="0"/>
          <w:sz w:val="24"/>
          <w:szCs w:val="24"/>
          <w:lang w:val="en-US"/>
        </w:rPr>
        <w:t>9</w:t>
      </w:r>
      <w:r w:rsidRPr="00FD545F">
        <w:rPr>
          <w:rFonts w:ascii="Times New Roman" w:eastAsia="游ゴシック" w:hAnsi="Times New Roman" w:cs="Times New Roman"/>
          <w:color w:val="000000"/>
          <w:kern w:val="0"/>
          <w:sz w:val="24"/>
          <w:szCs w:val="24"/>
          <w:lang w:val="en-US"/>
        </w:rPr>
        <w:t>. Sub</w:t>
      </w:r>
      <w:r w:rsidRPr="00FD545F">
        <w:rPr>
          <w:rFonts w:ascii="Times New Roman" w:hAnsi="Times New Roman" w:cs="Times New Roman"/>
          <w:sz w:val="24"/>
          <w:szCs w:val="24"/>
        </w:rPr>
        <w:t>national-level</w:t>
      </w:r>
      <w:r w:rsidRPr="00FD545F">
        <w:rPr>
          <w:rFonts w:ascii="Times New Roman" w:hAnsi="Times New Roman" w:cs="Times New Roman"/>
          <w:sz w:val="24"/>
          <w:szCs w:val="24"/>
          <w:lang w:val="en-US"/>
        </w:rPr>
        <w:t xml:space="preserve"> catastrophic health expenditure</w:t>
      </w:r>
      <w:r w:rsidR="00ED5A56" w:rsidRPr="00FD545F">
        <w:rPr>
          <w:rFonts w:ascii="Times New Roman" w:hAnsi="Times New Roman" w:cs="Times New Roman"/>
          <w:sz w:val="24"/>
          <w:szCs w:val="24"/>
          <w:lang w:val="en-US"/>
        </w:rPr>
        <w:t xml:space="preserve">: </w:t>
      </w:r>
      <w:r w:rsidR="00ED5A56" w:rsidRPr="00FD545F">
        <w:rPr>
          <w:rFonts w:ascii="Times New Roman" w:hAnsi="Times New Roman" w:cs="Times New Roman"/>
          <w:sz w:val="24"/>
          <w:szCs w:val="24"/>
        </w:rPr>
        <w:t>s</w:t>
      </w:r>
      <w:r w:rsidR="00ED5A56" w:rsidRPr="00FD545F">
        <w:rPr>
          <w:rFonts w:ascii="Times New Roman" w:hAnsi="Times New Roman" w:cs="Times New Roman"/>
          <w:sz w:val="24"/>
          <w:szCs w:val="24"/>
          <w:lang w:val="en-US"/>
        </w:rPr>
        <w:t>lope index of inequality and wealth quintile-specific incidence</w:t>
      </w:r>
    </w:p>
    <w:p w14:paraId="7CEE5C66" w14:textId="5885C6B0" w:rsidR="00114562" w:rsidRPr="00FD545F" w:rsidRDefault="00114562" w:rsidP="00436817">
      <w:pPr>
        <w:ind w:rightChars="-405" w:right="-850"/>
        <w:rPr>
          <w:rFonts w:ascii="Times New Roman" w:eastAsia="游ゴシック" w:hAnsi="Times New Roman" w:cs="Times New Roman"/>
          <w:color w:val="000000"/>
          <w:kern w:val="0"/>
          <w:sz w:val="24"/>
          <w:szCs w:val="24"/>
          <w:lang w:val="en-US"/>
        </w:rPr>
      </w:pPr>
      <w:r w:rsidRPr="00FD545F">
        <w:rPr>
          <w:rFonts w:ascii="Times New Roman" w:eastAsia="游ゴシック" w:hAnsi="Times New Roman" w:cs="Times New Roman" w:hint="eastAsia"/>
          <w:color w:val="000000"/>
          <w:kern w:val="0"/>
          <w:sz w:val="24"/>
          <w:szCs w:val="24"/>
          <w:lang w:val="en-US"/>
        </w:rPr>
        <w:t>R</w:t>
      </w:r>
      <w:r w:rsidRPr="00FD545F">
        <w:rPr>
          <w:rFonts w:ascii="Times New Roman" w:eastAsia="游ゴシック" w:hAnsi="Times New Roman" w:cs="Times New Roman"/>
          <w:color w:val="000000"/>
          <w:kern w:val="0"/>
          <w:sz w:val="24"/>
          <w:szCs w:val="24"/>
          <w:lang w:val="en-US"/>
        </w:rPr>
        <w:t>eferences</w:t>
      </w:r>
    </w:p>
    <w:bookmarkEnd w:id="0"/>
    <w:p w14:paraId="1F242A7A" w14:textId="3726034D" w:rsidR="00530035" w:rsidRDefault="00530035" w:rsidP="00436817">
      <w:pPr>
        <w:ind w:rightChars="-405" w:right="-850"/>
        <w:rPr>
          <w:rFonts w:ascii="Times New Roman" w:eastAsia="游ゴシック" w:hAnsi="Times New Roman" w:cs="Times New Roman"/>
          <w:color w:val="000000"/>
          <w:kern w:val="0"/>
          <w:sz w:val="24"/>
          <w:szCs w:val="24"/>
          <w:lang w:val="en-US"/>
        </w:rPr>
      </w:pPr>
    </w:p>
    <w:p w14:paraId="2A8FE456" w14:textId="77777777" w:rsidR="00FA30D7" w:rsidRDefault="00FA30D7">
      <w:pPr>
        <w:widowControl/>
        <w:jc w:val="left"/>
        <w:rPr>
          <w:rFonts w:ascii="Times New Roman" w:eastAsia="游ゴシック" w:hAnsi="Times New Roman" w:cs="Times New Roman"/>
          <w:color w:val="000000"/>
          <w:kern w:val="0"/>
          <w:sz w:val="24"/>
          <w:szCs w:val="24"/>
          <w:lang w:val="en-US"/>
        </w:rPr>
      </w:pPr>
    </w:p>
    <w:p w14:paraId="349D3CBB" w14:textId="5DA553E2" w:rsidR="00B649D9" w:rsidRDefault="00B649D9">
      <w:pPr>
        <w:widowControl/>
        <w:jc w:val="left"/>
        <w:rPr>
          <w:rFonts w:ascii="Times New Roman" w:eastAsia="游ゴシック" w:hAnsi="Times New Roman" w:cs="Times New Roman"/>
          <w:b/>
          <w:bCs/>
          <w:color w:val="000000"/>
          <w:kern w:val="0"/>
          <w:sz w:val="24"/>
          <w:szCs w:val="24"/>
          <w:lang w:val="en-US"/>
        </w:rPr>
      </w:pPr>
      <w:r>
        <w:rPr>
          <w:rFonts w:ascii="Times New Roman" w:eastAsia="游ゴシック" w:hAnsi="Times New Roman" w:cs="Times New Roman"/>
          <w:b/>
          <w:bCs/>
          <w:color w:val="000000"/>
          <w:kern w:val="0"/>
          <w:sz w:val="24"/>
          <w:szCs w:val="24"/>
          <w:lang w:val="en-US"/>
        </w:rPr>
        <w:br w:type="page"/>
      </w:r>
    </w:p>
    <w:p w14:paraId="5D4DEAD3" w14:textId="288C9783" w:rsidR="00114562" w:rsidRPr="00FD545F" w:rsidRDefault="00114562" w:rsidP="00114562">
      <w:pPr>
        <w:pStyle w:val="a3"/>
        <w:rPr>
          <w:rFonts w:ascii="Times New Roman" w:eastAsia="游ゴシック" w:hAnsi="Times New Roman" w:cs="Times New Roman"/>
          <w:b/>
          <w:bCs/>
          <w:color w:val="000000"/>
          <w:kern w:val="0"/>
          <w:sz w:val="24"/>
          <w:szCs w:val="24"/>
          <w:lang w:val="en-US"/>
        </w:rPr>
      </w:pPr>
      <w:r w:rsidRPr="00FD545F">
        <w:rPr>
          <w:rFonts w:ascii="Times New Roman" w:eastAsia="游ゴシック" w:hAnsi="Times New Roman" w:cs="Times New Roman"/>
          <w:b/>
          <w:bCs/>
          <w:color w:val="000000"/>
          <w:kern w:val="0"/>
          <w:sz w:val="24"/>
          <w:szCs w:val="24"/>
          <w:lang w:val="en-US"/>
        </w:rPr>
        <w:lastRenderedPageBreak/>
        <w:t>Appendix section 1. Survey characteristics</w:t>
      </w:r>
    </w:p>
    <w:p w14:paraId="709A8B5E" w14:textId="797FE7F2" w:rsidR="00EA57D9" w:rsidRPr="00FD545F" w:rsidRDefault="00EA57D9">
      <w:pPr>
        <w:widowControl/>
        <w:jc w:val="left"/>
        <w:rPr>
          <w:rFonts w:ascii="Times New Roman" w:hAnsi="Times New Roman" w:cs="Times New Roman"/>
          <w:b/>
          <w:bCs/>
          <w:sz w:val="20"/>
          <w:szCs w:val="20"/>
          <w:lang w:val="en-US"/>
        </w:rPr>
      </w:pPr>
    </w:p>
    <w:p w14:paraId="3C01E02E" w14:textId="3DD6871A" w:rsidR="009F3445" w:rsidRPr="00FD545F" w:rsidRDefault="00B649D9" w:rsidP="009F3445">
      <w:pPr>
        <w:pStyle w:val="a3"/>
        <w:rPr>
          <w:b/>
          <w:bCs/>
          <w:sz w:val="24"/>
          <w:szCs w:val="24"/>
          <w:lang w:val="en-US"/>
        </w:rPr>
      </w:pPr>
      <w:r>
        <w:rPr>
          <w:rFonts w:ascii="Times New Roman" w:eastAsia="游ゴシック" w:hAnsi="Times New Roman" w:cs="Times New Roman"/>
          <w:b/>
          <w:bCs/>
          <w:color w:val="000000"/>
          <w:kern w:val="0"/>
          <w:sz w:val="24"/>
          <w:szCs w:val="24"/>
          <w:lang w:val="en-US"/>
        </w:rPr>
        <w:t>Table</w:t>
      </w:r>
      <w:r w:rsidR="009F3445" w:rsidRPr="00FD545F">
        <w:rPr>
          <w:rFonts w:ascii="Times New Roman" w:eastAsia="游ゴシック" w:hAnsi="Times New Roman" w:cs="Times New Roman"/>
          <w:b/>
          <w:bCs/>
          <w:color w:val="000000"/>
          <w:kern w:val="0"/>
          <w:sz w:val="24"/>
          <w:szCs w:val="24"/>
          <w:lang w:val="en-US"/>
        </w:rPr>
        <w:t xml:space="preserve"> A1: Survey characteristics </w:t>
      </w:r>
      <w:r w:rsidR="009F3445" w:rsidRPr="00FD545F">
        <w:rPr>
          <w:rFonts w:ascii="Times New Roman" w:eastAsia="游ゴシック" w:hAnsi="Times New Roman" w:cs="Times New Roman"/>
          <w:b/>
          <w:bCs/>
          <w:color w:val="000000"/>
          <w:kern w:val="0"/>
          <w:sz w:val="24"/>
          <w:szCs w:val="24"/>
          <w:vertAlign w:val="superscript"/>
          <w:lang w:val="en-US"/>
        </w:rPr>
        <w:t>a</w:t>
      </w:r>
    </w:p>
    <w:tbl>
      <w:tblPr>
        <w:tblW w:w="9126" w:type="dxa"/>
        <w:tblCellMar>
          <w:left w:w="99" w:type="dxa"/>
          <w:right w:w="99" w:type="dxa"/>
        </w:tblCellMar>
        <w:tblLook w:val="04A0" w:firstRow="1" w:lastRow="0" w:firstColumn="1" w:lastColumn="0" w:noHBand="0" w:noVBand="1"/>
      </w:tblPr>
      <w:tblGrid>
        <w:gridCol w:w="1497"/>
        <w:gridCol w:w="1049"/>
        <w:gridCol w:w="4034"/>
        <w:gridCol w:w="1207"/>
        <w:gridCol w:w="1339"/>
      </w:tblGrid>
      <w:tr w:rsidR="009F3445" w:rsidRPr="00FD545F" w14:paraId="6ADE155B" w14:textId="77777777" w:rsidTr="00F42F71">
        <w:trPr>
          <w:trHeight w:val="640"/>
        </w:trPr>
        <w:tc>
          <w:tcPr>
            <w:tcW w:w="1497" w:type="dxa"/>
            <w:tcBorders>
              <w:top w:val="single" w:sz="4" w:space="0" w:color="auto"/>
              <w:left w:val="nil"/>
              <w:bottom w:val="single" w:sz="4" w:space="0" w:color="auto"/>
              <w:right w:val="nil"/>
            </w:tcBorders>
            <w:shd w:val="clear" w:color="auto" w:fill="auto"/>
            <w:vAlign w:val="center"/>
            <w:hideMark/>
          </w:tcPr>
          <w:p w14:paraId="2F0215C9" w14:textId="77777777" w:rsidR="009F3445" w:rsidRPr="00FD545F" w:rsidRDefault="009F3445" w:rsidP="00F42F71">
            <w:pPr>
              <w:widowControl/>
              <w:jc w:val="center"/>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b/>
                <w:bCs/>
                <w:color w:val="000000"/>
                <w:kern w:val="0"/>
                <w:sz w:val="20"/>
                <w:szCs w:val="20"/>
                <w:lang w:val="en-US"/>
              </w:rPr>
              <w:t>Survey</w:t>
            </w:r>
          </w:p>
        </w:tc>
        <w:tc>
          <w:tcPr>
            <w:tcW w:w="1049" w:type="dxa"/>
            <w:tcBorders>
              <w:top w:val="single" w:sz="4" w:space="0" w:color="auto"/>
              <w:left w:val="nil"/>
              <w:bottom w:val="single" w:sz="4" w:space="0" w:color="auto"/>
              <w:right w:val="nil"/>
            </w:tcBorders>
            <w:shd w:val="clear" w:color="auto" w:fill="auto"/>
            <w:vAlign w:val="center"/>
            <w:hideMark/>
          </w:tcPr>
          <w:p w14:paraId="7E0A8806" w14:textId="77777777" w:rsidR="009F3445" w:rsidRPr="00FD545F" w:rsidRDefault="009F3445" w:rsidP="00F42F71">
            <w:pPr>
              <w:widowControl/>
              <w:jc w:val="center"/>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b/>
                <w:bCs/>
                <w:color w:val="000000"/>
                <w:kern w:val="0"/>
                <w:sz w:val="20"/>
                <w:szCs w:val="20"/>
                <w:lang w:val="en-US"/>
              </w:rPr>
              <w:t>Year</w:t>
            </w:r>
          </w:p>
        </w:tc>
        <w:tc>
          <w:tcPr>
            <w:tcW w:w="4034" w:type="dxa"/>
            <w:tcBorders>
              <w:top w:val="single" w:sz="4" w:space="0" w:color="auto"/>
              <w:left w:val="nil"/>
              <w:bottom w:val="single" w:sz="4" w:space="0" w:color="auto"/>
              <w:right w:val="nil"/>
            </w:tcBorders>
            <w:shd w:val="clear" w:color="auto" w:fill="auto"/>
            <w:vAlign w:val="center"/>
            <w:hideMark/>
          </w:tcPr>
          <w:p w14:paraId="75113D5F" w14:textId="77777777" w:rsidR="009F3445" w:rsidRPr="00FD545F" w:rsidRDefault="009F3445" w:rsidP="00F42F71">
            <w:pPr>
              <w:widowControl/>
              <w:jc w:val="center"/>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b/>
                <w:bCs/>
                <w:color w:val="000000"/>
                <w:kern w:val="0"/>
                <w:sz w:val="20"/>
                <w:szCs w:val="20"/>
                <w:lang w:val="en-US"/>
              </w:rPr>
              <w:t>Sample design</w:t>
            </w:r>
          </w:p>
        </w:tc>
        <w:tc>
          <w:tcPr>
            <w:tcW w:w="1207" w:type="dxa"/>
            <w:tcBorders>
              <w:top w:val="single" w:sz="4" w:space="0" w:color="auto"/>
              <w:left w:val="nil"/>
              <w:bottom w:val="single" w:sz="4" w:space="0" w:color="auto"/>
              <w:right w:val="nil"/>
            </w:tcBorders>
            <w:shd w:val="clear" w:color="auto" w:fill="auto"/>
            <w:vAlign w:val="center"/>
            <w:hideMark/>
          </w:tcPr>
          <w:p w14:paraId="316C54A2" w14:textId="77777777" w:rsidR="009F3445" w:rsidRPr="00FD545F" w:rsidRDefault="009F3445" w:rsidP="00F42F71">
            <w:pPr>
              <w:widowControl/>
              <w:jc w:val="center"/>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b/>
                <w:bCs/>
                <w:color w:val="000000"/>
                <w:kern w:val="0"/>
                <w:sz w:val="20"/>
                <w:szCs w:val="20"/>
                <w:lang w:val="en-US"/>
              </w:rPr>
              <w:t>Number of households</w:t>
            </w:r>
          </w:p>
        </w:tc>
        <w:tc>
          <w:tcPr>
            <w:tcW w:w="1339" w:type="dxa"/>
            <w:tcBorders>
              <w:top w:val="single" w:sz="4" w:space="0" w:color="auto"/>
              <w:left w:val="nil"/>
              <w:bottom w:val="single" w:sz="4" w:space="0" w:color="auto"/>
              <w:right w:val="nil"/>
            </w:tcBorders>
            <w:shd w:val="clear" w:color="auto" w:fill="auto"/>
            <w:vAlign w:val="center"/>
            <w:hideMark/>
          </w:tcPr>
          <w:p w14:paraId="23F78CB7" w14:textId="77777777" w:rsidR="009F3445" w:rsidRPr="00FD545F" w:rsidRDefault="009F3445" w:rsidP="00F42F71">
            <w:pPr>
              <w:widowControl/>
              <w:jc w:val="center"/>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b/>
                <w:bCs/>
                <w:color w:val="000000"/>
                <w:kern w:val="0"/>
                <w:sz w:val="20"/>
                <w:szCs w:val="20"/>
                <w:lang w:val="en-US"/>
              </w:rPr>
              <w:t>Response rate</w:t>
            </w:r>
          </w:p>
        </w:tc>
      </w:tr>
      <w:tr w:rsidR="009F3445" w:rsidRPr="00FD545F" w14:paraId="1D9BFEE7" w14:textId="77777777" w:rsidTr="00F42F71">
        <w:trPr>
          <w:trHeight w:val="577"/>
        </w:trPr>
        <w:tc>
          <w:tcPr>
            <w:tcW w:w="1497" w:type="dxa"/>
            <w:vMerge w:val="restart"/>
            <w:tcBorders>
              <w:top w:val="single" w:sz="4" w:space="0" w:color="auto"/>
              <w:left w:val="nil"/>
              <w:right w:val="nil"/>
            </w:tcBorders>
            <w:shd w:val="clear" w:color="auto" w:fill="auto"/>
            <w:hideMark/>
          </w:tcPr>
          <w:p w14:paraId="64E62BD5" w14:textId="77777777" w:rsidR="009F3445" w:rsidRPr="00FD545F" w:rsidRDefault="009F3445" w:rsidP="00F42F71">
            <w:pPr>
              <w:widowControl/>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MICS</w:t>
            </w:r>
          </w:p>
        </w:tc>
        <w:tc>
          <w:tcPr>
            <w:tcW w:w="1049" w:type="dxa"/>
            <w:tcBorders>
              <w:top w:val="single" w:sz="4" w:space="0" w:color="auto"/>
              <w:left w:val="nil"/>
              <w:bottom w:val="nil"/>
              <w:right w:val="nil"/>
            </w:tcBorders>
            <w:shd w:val="clear" w:color="auto" w:fill="auto"/>
            <w:vAlign w:val="center"/>
            <w:hideMark/>
          </w:tcPr>
          <w:p w14:paraId="6D2C7A3F"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2000</w:t>
            </w:r>
            <w:r w:rsidRPr="00FD545F">
              <w:rPr>
                <w:rFonts w:ascii="Times New Roman" w:eastAsia="游ゴシック" w:hAnsi="Times New Roman" w:cs="Times New Roman"/>
                <w:color w:val="000000"/>
                <w:kern w:val="0"/>
                <w:sz w:val="20"/>
                <w:szCs w:val="20"/>
                <w:vertAlign w:val="superscript"/>
                <w:lang w:val="en-US"/>
              </w:rPr>
              <w:t xml:space="preserve"> b</w:t>
            </w:r>
          </w:p>
        </w:tc>
        <w:tc>
          <w:tcPr>
            <w:tcW w:w="4034" w:type="dxa"/>
            <w:tcBorders>
              <w:top w:val="single" w:sz="4" w:space="0" w:color="auto"/>
              <w:left w:val="nil"/>
              <w:bottom w:val="nil"/>
              <w:right w:val="nil"/>
            </w:tcBorders>
            <w:shd w:val="clear" w:color="auto" w:fill="auto"/>
            <w:vAlign w:val="center"/>
            <w:hideMark/>
          </w:tcPr>
          <w:p w14:paraId="5E5AA3FE"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Three-stage, stratified random sampling</w:t>
            </w:r>
          </w:p>
        </w:tc>
        <w:tc>
          <w:tcPr>
            <w:tcW w:w="1207" w:type="dxa"/>
            <w:tcBorders>
              <w:top w:val="single" w:sz="4" w:space="0" w:color="auto"/>
              <w:left w:val="nil"/>
              <w:bottom w:val="nil"/>
              <w:right w:val="nil"/>
            </w:tcBorders>
            <w:shd w:val="clear" w:color="auto" w:fill="auto"/>
            <w:vAlign w:val="center"/>
            <w:hideMark/>
          </w:tcPr>
          <w:p w14:paraId="565230B2"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13,011</w:t>
            </w:r>
          </w:p>
        </w:tc>
        <w:tc>
          <w:tcPr>
            <w:tcW w:w="1339" w:type="dxa"/>
            <w:tcBorders>
              <w:top w:val="single" w:sz="4" w:space="0" w:color="auto"/>
              <w:left w:val="nil"/>
              <w:bottom w:val="nil"/>
              <w:right w:val="nil"/>
            </w:tcBorders>
            <w:shd w:val="clear" w:color="auto" w:fill="auto"/>
            <w:vAlign w:val="center"/>
            <w:hideMark/>
          </w:tcPr>
          <w:p w14:paraId="2A230C4F"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99</w:t>
            </w:r>
            <w:r w:rsidRPr="00FD545F">
              <w:rPr>
                <w:rFonts w:ascii="Times New Roman" w:eastAsia="游ゴシック" w:hAnsi="Times New Roman" w:cs="Times New Roman" w:hint="eastAsia"/>
                <w:color w:val="000000"/>
                <w:kern w:val="0"/>
                <w:sz w:val="20"/>
                <w:szCs w:val="20"/>
                <w:lang w:val="en-US"/>
              </w:rPr>
              <w:t>.</w:t>
            </w:r>
            <w:r w:rsidRPr="00FD545F">
              <w:rPr>
                <w:rFonts w:ascii="Times New Roman" w:eastAsia="游ゴシック" w:hAnsi="Times New Roman" w:cs="Times New Roman"/>
                <w:color w:val="000000"/>
                <w:kern w:val="0"/>
                <w:sz w:val="20"/>
                <w:szCs w:val="20"/>
                <w:lang w:val="en-US"/>
              </w:rPr>
              <w:t>2%</w:t>
            </w:r>
          </w:p>
        </w:tc>
      </w:tr>
      <w:tr w:rsidR="009F3445" w:rsidRPr="00FD545F" w14:paraId="31BE9965" w14:textId="77777777" w:rsidTr="00F42F71">
        <w:trPr>
          <w:trHeight w:val="577"/>
        </w:trPr>
        <w:tc>
          <w:tcPr>
            <w:tcW w:w="1497" w:type="dxa"/>
            <w:vMerge/>
            <w:tcBorders>
              <w:left w:val="nil"/>
              <w:right w:val="nil"/>
            </w:tcBorders>
            <w:shd w:val="clear" w:color="auto" w:fill="auto"/>
            <w:vAlign w:val="center"/>
            <w:hideMark/>
          </w:tcPr>
          <w:p w14:paraId="048EB359" w14:textId="77777777" w:rsidR="009F3445" w:rsidRPr="00FD545F" w:rsidRDefault="009F3445" w:rsidP="00F42F71">
            <w:pPr>
              <w:widowControl/>
              <w:rPr>
                <w:rFonts w:ascii="Times New Roman" w:eastAsia="游ゴシック" w:hAnsi="Times New Roman" w:cs="Times New Roman"/>
                <w:color w:val="000000"/>
                <w:kern w:val="0"/>
                <w:sz w:val="20"/>
                <w:szCs w:val="20"/>
                <w:lang w:val="en-US"/>
              </w:rPr>
            </w:pPr>
          </w:p>
        </w:tc>
        <w:tc>
          <w:tcPr>
            <w:tcW w:w="1049" w:type="dxa"/>
            <w:tcBorders>
              <w:top w:val="nil"/>
              <w:left w:val="nil"/>
              <w:bottom w:val="nil"/>
              <w:right w:val="nil"/>
            </w:tcBorders>
            <w:shd w:val="clear" w:color="auto" w:fill="auto"/>
            <w:vAlign w:val="center"/>
            <w:hideMark/>
          </w:tcPr>
          <w:p w14:paraId="7182FF1F"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2006</w:t>
            </w:r>
            <w:r w:rsidRPr="00FD545F">
              <w:rPr>
                <w:rFonts w:ascii="Times New Roman" w:eastAsia="游ゴシック" w:hAnsi="Times New Roman" w:cs="Times New Roman"/>
                <w:color w:val="000000"/>
                <w:kern w:val="0"/>
                <w:sz w:val="20"/>
                <w:szCs w:val="20"/>
                <w:vertAlign w:val="superscript"/>
                <w:lang w:val="en-US"/>
              </w:rPr>
              <w:t xml:space="preserve"> b</w:t>
            </w:r>
          </w:p>
        </w:tc>
        <w:tc>
          <w:tcPr>
            <w:tcW w:w="4034" w:type="dxa"/>
            <w:tcBorders>
              <w:top w:val="nil"/>
              <w:left w:val="nil"/>
              <w:bottom w:val="nil"/>
              <w:right w:val="nil"/>
            </w:tcBorders>
            <w:shd w:val="clear" w:color="auto" w:fill="auto"/>
            <w:vAlign w:val="center"/>
            <w:hideMark/>
          </w:tcPr>
          <w:p w14:paraId="49824564"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Multi-stage, stratified cluster sampling</w:t>
            </w:r>
          </w:p>
        </w:tc>
        <w:tc>
          <w:tcPr>
            <w:tcW w:w="1207" w:type="dxa"/>
            <w:tcBorders>
              <w:top w:val="nil"/>
              <w:left w:val="nil"/>
              <w:bottom w:val="nil"/>
              <w:right w:val="nil"/>
            </w:tcBorders>
            <w:shd w:val="clear" w:color="auto" w:fill="auto"/>
            <w:vAlign w:val="center"/>
            <w:hideMark/>
          </w:tcPr>
          <w:p w14:paraId="25ACF45B"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17,873</w:t>
            </w:r>
          </w:p>
        </w:tc>
        <w:tc>
          <w:tcPr>
            <w:tcW w:w="1339" w:type="dxa"/>
            <w:tcBorders>
              <w:top w:val="nil"/>
              <w:left w:val="nil"/>
              <w:bottom w:val="nil"/>
              <w:right w:val="nil"/>
            </w:tcBorders>
            <w:shd w:val="clear" w:color="auto" w:fill="auto"/>
            <w:vAlign w:val="center"/>
            <w:hideMark/>
          </w:tcPr>
          <w:p w14:paraId="77271787"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99</w:t>
            </w:r>
            <w:r w:rsidRPr="00FD545F">
              <w:rPr>
                <w:rFonts w:ascii="Times New Roman" w:eastAsia="游ゴシック" w:hAnsi="Times New Roman" w:cs="Times New Roman" w:hint="eastAsia"/>
                <w:color w:val="000000"/>
                <w:kern w:val="0"/>
                <w:sz w:val="20"/>
                <w:szCs w:val="20"/>
                <w:lang w:val="en-US"/>
              </w:rPr>
              <w:t>.</w:t>
            </w:r>
            <w:r w:rsidRPr="00FD545F">
              <w:rPr>
                <w:rFonts w:ascii="Times New Roman" w:eastAsia="游ゴシック" w:hAnsi="Times New Roman" w:cs="Times New Roman"/>
                <w:color w:val="000000"/>
                <w:kern w:val="0"/>
                <w:sz w:val="20"/>
                <w:szCs w:val="20"/>
                <w:lang w:val="en-US"/>
              </w:rPr>
              <w:t>4%</w:t>
            </w:r>
          </w:p>
        </w:tc>
      </w:tr>
      <w:tr w:rsidR="009F3445" w:rsidRPr="00FD545F" w14:paraId="1E116D89" w14:textId="77777777" w:rsidTr="00F42F71">
        <w:trPr>
          <w:trHeight w:val="577"/>
        </w:trPr>
        <w:tc>
          <w:tcPr>
            <w:tcW w:w="1497" w:type="dxa"/>
            <w:vMerge/>
            <w:tcBorders>
              <w:left w:val="nil"/>
              <w:right w:val="nil"/>
            </w:tcBorders>
            <w:shd w:val="clear" w:color="auto" w:fill="auto"/>
            <w:vAlign w:val="center"/>
            <w:hideMark/>
          </w:tcPr>
          <w:p w14:paraId="780F7B33" w14:textId="77777777" w:rsidR="009F3445" w:rsidRPr="00FD545F" w:rsidRDefault="009F3445" w:rsidP="00F42F71">
            <w:pPr>
              <w:widowControl/>
              <w:rPr>
                <w:rFonts w:ascii="Times New Roman" w:eastAsia="游ゴシック" w:hAnsi="Times New Roman" w:cs="Times New Roman"/>
                <w:color w:val="000000"/>
                <w:kern w:val="0"/>
                <w:sz w:val="20"/>
                <w:szCs w:val="20"/>
                <w:lang w:val="en-US"/>
              </w:rPr>
            </w:pPr>
          </w:p>
        </w:tc>
        <w:tc>
          <w:tcPr>
            <w:tcW w:w="1049" w:type="dxa"/>
            <w:tcBorders>
              <w:top w:val="nil"/>
              <w:left w:val="nil"/>
              <w:right w:val="nil"/>
            </w:tcBorders>
            <w:shd w:val="clear" w:color="auto" w:fill="auto"/>
            <w:vAlign w:val="center"/>
            <w:hideMark/>
          </w:tcPr>
          <w:p w14:paraId="04F6469F"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2011</w:t>
            </w:r>
            <w:r w:rsidRPr="00FD545F">
              <w:rPr>
                <w:rFonts w:ascii="Times New Roman" w:eastAsia="游ゴシック" w:hAnsi="Times New Roman" w:cs="Times New Roman"/>
                <w:color w:val="000000"/>
                <w:kern w:val="0"/>
                <w:sz w:val="20"/>
                <w:szCs w:val="20"/>
                <w:vertAlign w:val="superscript"/>
                <w:lang w:val="en-US"/>
              </w:rPr>
              <w:t xml:space="preserve"> b</w:t>
            </w:r>
          </w:p>
        </w:tc>
        <w:tc>
          <w:tcPr>
            <w:tcW w:w="4034" w:type="dxa"/>
            <w:tcBorders>
              <w:top w:val="nil"/>
              <w:left w:val="nil"/>
              <w:right w:val="nil"/>
            </w:tcBorders>
            <w:shd w:val="clear" w:color="auto" w:fill="auto"/>
            <w:vAlign w:val="center"/>
            <w:hideMark/>
          </w:tcPr>
          <w:p w14:paraId="76FFF53C"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Multi-stage, stratified cluster sampling</w:t>
            </w:r>
          </w:p>
        </w:tc>
        <w:tc>
          <w:tcPr>
            <w:tcW w:w="1207" w:type="dxa"/>
            <w:tcBorders>
              <w:top w:val="nil"/>
              <w:left w:val="nil"/>
              <w:right w:val="nil"/>
            </w:tcBorders>
            <w:shd w:val="clear" w:color="auto" w:fill="auto"/>
            <w:vAlign w:val="center"/>
            <w:hideMark/>
          </w:tcPr>
          <w:p w14:paraId="546FF6D5"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35,701</w:t>
            </w:r>
          </w:p>
        </w:tc>
        <w:tc>
          <w:tcPr>
            <w:tcW w:w="1339" w:type="dxa"/>
            <w:tcBorders>
              <w:top w:val="nil"/>
              <w:left w:val="nil"/>
              <w:right w:val="nil"/>
            </w:tcBorders>
            <w:shd w:val="clear" w:color="auto" w:fill="auto"/>
            <w:vAlign w:val="center"/>
            <w:hideMark/>
          </w:tcPr>
          <w:p w14:paraId="665D22EB"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99</w:t>
            </w:r>
            <w:r w:rsidRPr="00FD545F">
              <w:rPr>
                <w:rFonts w:ascii="Times New Roman" w:eastAsia="游ゴシック" w:hAnsi="Times New Roman" w:cs="Times New Roman" w:hint="eastAsia"/>
                <w:color w:val="000000"/>
                <w:kern w:val="0"/>
                <w:sz w:val="20"/>
                <w:szCs w:val="20"/>
                <w:lang w:val="en-US"/>
              </w:rPr>
              <w:t>.</w:t>
            </w:r>
            <w:r w:rsidRPr="00FD545F">
              <w:rPr>
                <w:rFonts w:ascii="Times New Roman" w:eastAsia="游ゴシック" w:hAnsi="Times New Roman" w:cs="Times New Roman"/>
                <w:color w:val="000000"/>
                <w:kern w:val="0"/>
                <w:sz w:val="20"/>
                <w:szCs w:val="20"/>
                <w:lang w:val="en-US"/>
              </w:rPr>
              <w:t>6%</w:t>
            </w:r>
          </w:p>
        </w:tc>
      </w:tr>
      <w:tr w:rsidR="009F3445" w:rsidRPr="00FD545F" w14:paraId="6533A54E" w14:textId="77777777" w:rsidTr="00F42F71">
        <w:trPr>
          <w:trHeight w:val="577"/>
        </w:trPr>
        <w:tc>
          <w:tcPr>
            <w:tcW w:w="1497" w:type="dxa"/>
            <w:vMerge/>
            <w:tcBorders>
              <w:left w:val="nil"/>
              <w:right w:val="nil"/>
            </w:tcBorders>
            <w:shd w:val="clear" w:color="auto" w:fill="auto"/>
            <w:vAlign w:val="center"/>
            <w:hideMark/>
          </w:tcPr>
          <w:p w14:paraId="1DA3E448" w14:textId="77777777" w:rsidR="009F3445" w:rsidRPr="00FD545F" w:rsidRDefault="009F3445" w:rsidP="00F42F71">
            <w:pPr>
              <w:widowControl/>
              <w:jc w:val="left"/>
              <w:rPr>
                <w:rFonts w:ascii="Times New Roman" w:eastAsia="游ゴシック" w:hAnsi="Times New Roman" w:cs="Times New Roman"/>
                <w:color w:val="000000"/>
                <w:kern w:val="0"/>
                <w:sz w:val="20"/>
                <w:szCs w:val="20"/>
                <w:lang w:val="en-US"/>
              </w:rPr>
            </w:pPr>
          </w:p>
        </w:tc>
        <w:tc>
          <w:tcPr>
            <w:tcW w:w="1049" w:type="dxa"/>
            <w:tcBorders>
              <w:top w:val="nil"/>
              <w:left w:val="nil"/>
              <w:right w:val="nil"/>
            </w:tcBorders>
            <w:shd w:val="clear" w:color="auto" w:fill="auto"/>
            <w:vAlign w:val="center"/>
            <w:hideMark/>
          </w:tcPr>
          <w:p w14:paraId="33796AE2"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 xml:space="preserve">2018 </w:t>
            </w:r>
            <w:r w:rsidRPr="00FD545F">
              <w:rPr>
                <w:rFonts w:ascii="Times New Roman" w:eastAsia="游ゴシック" w:hAnsi="Times New Roman" w:cs="Times New Roman"/>
                <w:color w:val="000000"/>
                <w:kern w:val="0"/>
                <w:sz w:val="20"/>
                <w:szCs w:val="20"/>
                <w:vertAlign w:val="superscript"/>
                <w:lang w:val="en-US"/>
              </w:rPr>
              <w:t>b</w:t>
            </w:r>
          </w:p>
        </w:tc>
        <w:tc>
          <w:tcPr>
            <w:tcW w:w="4034" w:type="dxa"/>
            <w:tcBorders>
              <w:top w:val="nil"/>
              <w:left w:val="nil"/>
              <w:right w:val="nil"/>
            </w:tcBorders>
            <w:shd w:val="clear" w:color="auto" w:fill="auto"/>
            <w:vAlign w:val="center"/>
            <w:hideMark/>
          </w:tcPr>
          <w:p w14:paraId="540639F1"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Multi-stage, stratified cluster sampling</w:t>
            </w:r>
          </w:p>
        </w:tc>
        <w:tc>
          <w:tcPr>
            <w:tcW w:w="1207" w:type="dxa"/>
            <w:tcBorders>
              <w:top w:val="nil"/>
              <w:left w:val="nil"/>
              <w:right w:val="nil"/>
            </w:tcBorders>
            <w:shd w:val="clear" w:color="auto" w:fill="auto"/>
            <w:vAlign w:val="center"/>
            <w:hideMark/>
          </w:tcPr>
          <w:p w14:paraId="0DE9A43A"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20,214</w:t>
            </w:r>
          </w:p>
        </w:tc>
        <w:tc>
          <w:tcPr>
            <w:tcW w:w="1339" w:type="dxa"/>
            <w:tcBorders>
              <w:top w:val="nil"/>
              <w:left w:val="nil"/>
              <w:right w:val="nil"/>
            </w:tcBorders>
            <w:shd w:val="clear" w:color="auto" w:fill="auto"/>
            <w:vAlign w:val="center"/>
            <w:hideMark/>
          </w:tcPr>
          <w:p w14:paraId="574DF818"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99</w:t>
            </w:r>
            <w:r w:rsidRPr="00FD545F">
              <w:rPr>
                <w:rFonts w:ascii="Times New Roman" w:eastAsia="游ゴシック" w:hAnsi="Times New Roman" w:cs="Times New Roman" w:hint="eastAsia"/>
                <w:color w:val="000000"/>
                <w:kern w:val="0"/>
                <w:sz w:val="20"/>
                <w:szCs w:val="20"/>
                <w:lang w:val="en-US"/>
              </w:rPr>
              <w:t>.</w:t>
            </w:r>
            <w:r w:rsidRPr="00FD545F">
              <w:rPr>
                <w:rFonts w:ascii="Times New Roman" w:eastAsia="游ゴシック" w:hAnsi="Times New Roman" w:cs="Times New Roman"/>
                <w:color w:val="000000"/>
                <w:kern w:val="0"/>
                <w:sz w:val="20"/>
                <w:szCs w:val="20"/>
                <w:lang w:val="en-US"/>
              </w:rPr>
              <w:t>5%</w:t>
            </w:r>
          </w:p>
        </w:tc>
      </w:tr>
      <w:tr w:rsidR="009F3445" w:rsidRPr="00FD545F" w14:paraId="02AAB75B" w14:textId="77777777" w:rsidTr="00F42F71">
        <w:trPr>
          <w:trHeight w:val="577"/>
        </w:trPr>
        <w:tc>
          <w:tcPr>
            <w:tcW w:w="1497" w:type="dxa"/>
            <w:vMerge w:val="restart"/>
            <w:tcBorders>
              <w:top w:val="nil"/>
              <w:left w:val="nil"/>
              <w:right w:val="nil"/>
            </w:tcBorders>
            <w:shd w:val="clear" w:color="auto" w:fill="auto"/>
            <w:hideMark/>
          </w:tcPr>
          <w:p w14:paraId="09599375" w14:textId="77777777" w:rsidR="009F3445" w:rsidRPr="00FD545F" w:rsidRDefault="009F3445" w:rsidP="00F42F71">
            <w:pPr>
              <w:widowControl/>
              <w:rPr>
                <w:rFonts w:ascii="Times New Roman" w:hAnsi="Times New Roman" w:cs="Times New Roman"/>
                <w:sz w:val="20"/>
                <w:szCs w:val="20"/>
              </w:rPr>
            </w:pPr>
            <w:r w:rsidRPr="00FD545F">
              <w:rPr>
                <w:rFonts w:ascii="Times New Roman" w:hAnsi="Times New Roman" w:cs="Times New Roman"/>
                <w:sz w:val="20"/>
                <w:szCs w:val="20"/>
              </w:rPr>
              <w:t>HSES</w:t>
            </w:r>
          </w:p>
        </w:tc>
        <w:tc>
          <w:tcPr>
            <w:tcW w:w="1049" w:type="dxa"/>
            <w:tcBorders>
              <w:top w:val="nil"/>
              <w:left w:val="nil"/>
              <w:bottom w:val="nil"/>
              <w:right w:val="nil"/>
            </w:tcBorders>
            <w:shd w:val="clear" w:color="auto" w:fill="auto"/>
            <w:vAlign w:val="center"/>
            <w:hideMark/>
          </w:tcPr>
          <w:p w14:paraId="4C7A951E"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2007</w:t>
            </w:r>
          </w:p>
        </w:tc>
        <w:tc>
          <w:tcPr>
            <w:tcW w:w="4034" w:type="dxa"/>
            <w:tcBorders>
              <w:top w:val="nil"/>
              <w:left w:val="nil"/>
              <w:bottom w:val="nil"/>
              <w:right w:val="nil"/>
            </w:tcBorders>
            <w:shd w:val="clear" w:color="auto" w:fill="auto"/>
            <w:vAlign w:val="center"/>
            <w:hideMark/>
          </w:tcPr>
          <w:p w14:paraId="15B780C9"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Two-stage, stratified cluster sampling</w:t>
            </w:r>
          </w:p>
        </w:tc>
        <w:tc>
          <w:tcPr>
            <w:tcW w:w="1207" w:type="dxa"/>
            <w:tcBorders>
              <w:top w:val="nil"/>
              <w:left w:val="nil"/>
              <w:bottom w:val="nil"/>
              <w:right w:val="nil"/>
            </w:tcBorders>
            <w:shd w:val="clear" w:color="auto" w:fill="auto"/>
            <w:vAlign w:val="center"/>
            <w:hideMark/>
          </w:tcPr>
          <w:p w14:paraId="3BD44D2D"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17,513</w:t>
            </w:r>
          </w:p>
        </w:tc>
        <w:tc>
          <w:tcPr>
            <w:tcW w:w="1339" w:type="dxa"/>
            <w:tcBorders>
              <w:top w:val="nil"/>
              <w:left w:val="nil"/>
              <w:bottom w:val="nil"/>
              <w:right w:val="nil"/>
            </w:tcBorders>
            <w:shd w:val="clear" w:color="auto" w:fill="auto"/>
            <w:vAlign w:val="center"/>
            <w:hideMark/>
          </w:tcPr>
          <w:p w14:paraId="5AA18CFD"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97</w:t>
            </w:r>
            <w:r w:rsidRPr="00FD545F">
              <w:rPr>
                <w:rFonts w:ascii="Times New Roman" w:eastAsia="游ゴシック" w:hAnsi="Times New Roman" w:cs="Times New Roman" w:hint="eastAsia"/>
                <w:color w:val="000000"/>
                <w:kern w:val="0"/>
                <w:sz w:val="20"/>
                <w:szCs w:val="20"/>
                <w:lang w:val="en-US"/>
              </w:rPr>
              <w:t>.</w:t>
            </w:r>
            <w:r w:rsidRPr="00FD545F">
              <w:rPr>
                <w:rFonts w:ascii="Times New Roman" w:eastAsia="游ゴシック" w:hAnsi="Times New Roman" w:cs="Times New Roman"/>
                <w:color w:val="000000"/>
                <w:kern w:val="0"/>
                <w:sz w:val="20"/>
                <w:szCs w:val="20"/>
                <w:lang w:val="en-US"/>
              </w:rPr>
              <w:t>6%</w:t>
            </w:r>
          </w:p>
        </w:tc>
      </w:tr>
      <w:tr w:rsidR="009F3445" w:rsidRPr="00FD545F" w14:paraId="761540E5" w14:textId="77777777" w:rsidTr="00F42F71">
        <w:trPr>
          <w:trHeight w:val="577"/>
        </w:trPr>
        <w:tc>
          <w:tcPr>
            <w:tcW w:w="1497" w:type="dxa"/>
            <w:vMerge/>
            <w:tcBorders>
              <w:left w:val="nil"/>
              <w:bottom w:val="single" w:sz="8" w:space="0" w:color="auto"/>
              <w:right w:val="nil"/>
            </w:tcBorders>
            <w:shd w:val="clear" w:color="auto" w:fill="auto"/>
            <w:vAlign w:val="center"/>
            <w:hideMark/>
          </w:tcPr>
          <w:p w14:paraId="6A48D1AF" w14:textId="77777777" w:rsidR="009F3445" w:rsidRPr="00FD545F" w:rsidRDefault="009F3445" w:rsidP="00F42F71">
            <w:pPr>
              <w:widowControl/>
              <w:jc w:val="left"/>
              <w:rPr>
                <w:rFonts w:ascii="Times New Roman" w:eastAsia="游ゴシック" w:hAnsi="Times New Roman" w:cs="Times New Roman"/>
                <w:color w:val="000000"/>
                <w:kern w:val="0"/>
                <w:sz w:val="20"/>
                <w:szCs w:val="20"/>
                <w:lang w:val="en-US"/>
              </w:rPr>
            </w:pPr>
          </w:p>
        </w:tc>
        <w:tc>
          <w:tcPr>
            <w:tcW w:w="1049" w:type="dxa"/>
            <w:tcBorders>
              <w:top w:val="nil"/>
              <w:left w:val="nil"/>
              <w:bottom w:val="single" w:sz="8" w:space="0" w:color="auto"/>
              <w:right w:val="nil"/>
            </w:tcBorders>
            <w:shd w:val="clear" w:color="auto" w:fill="auto"/>
            <w:vAlign w:val="center"/>
            <w:hideMark/>
          </w:tcPr>
          <w:p w14:paraId="06A10630"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2012</w:t>
            </w:r>
          </w:p>
        </w:tc>
        <w:tc>
          <w:tcPr>
            <w:tcW w:w="4034" w:type="dxa"/>
            <w:tcBorders>
              <w:top w:val="nil"/>
              <w:left w:val="nil"/>
              <w:bottom w:val="single" w:sz="8" w:space="0" w:color="auto"/>
              <w:right w:val="nil"/>
            </w:tcBorders>
            <w:shd w:val="clear" w:color="auto" w:fill="auto"/>
            <w:vAlign w:val="center"/>
            <w:hideMark/>
          </w:tcPr>
          <w:p w14:paraId="6A772139"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Two-stage stratified cluster sampling</w:t>
            </w:r>
          </w:p>
        </w:tc>
        <w:tc>
          <w:tcPr>
            <w:tcW w:w="1207" w:type="dxa"/>
            <w:tcBorders>
              <w:top w:val="nil"/>
              <w:left w:val="nil"/>
              <w:bottom w:val="single" w:sz="8" w:space="0" w:color="auto"/>
              <w:right w:val="nil"/>
            </w:tcBorders>
            <w:shd w:val="clear" w:color="auto" w:fill="auto"/>
            <w:vAlign w:val="center"/>
            <w:hideMark/>
          </w:tcPr>
          <w:p w14:paraId="774273FA"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24,944</w:t>
            </w:r>
          </w:p>
        </w:tc>
        <w:tc>
          <w:tcPr>
            <w:tcW w:w="1339" w:type="dxa"/>
            <w:tcBorders>
              <w:top w:val="nil"/>
              <w:left w:val="nil"/>
              <w:bottom w:val="single" w:sz="8" w:space="0" w:color="auto"/>
              <w:right w:val="nil"/>
            </w:tcBorders>
            <w:shd w:val="clear" w:color="auto" w:fill="auto"/>
            <w:vAlign w:val="center"/>
            <w:hideMark/>
          </w:tcPr>
          <w:p w14:paraId="4B6829B7" w14:textId="77777777" w:rsidR="009F3445" w:rsidRPr="00FD545F" w:rsidRDefault="009F3445" w:rsidP="00F42F71">
            <w:pPr>
              <w:widowControl/>
              <w:jc w:val="center"/>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97.9%</w:t>
            </w:r>
          </w:p>
        </w:tc>
      </w:tr>
    </w:tbl>
    <w:p w14:paraId="28679538" w14:textId="2845E376" w:rsidR="009F3445" w:rsidRPr="00FD545F" w:rsidRDefault="009F3445" w:rsidP="009F3445">
      <w:pPr>
        <w:jc w:val="left"/>
        <w:rPr>
          <w:rFonts w:ascii="Times New Roman" w:eastAsia="游ゴシック" w:hAnsi="Times New Roman" w:cs="Times New Roman"/>
          <w:color w:val="000000"/>
          <w:kern w:val="0"/>
          <w:sz w:val="20"/>
          <w:szCs w:val="20"/>
          <w:lang w:val="en-US"/>
        </w:rPr>
      </w:pPr>
      <w:r w:rsidRPr="00FD545F">
        <w:rPr>
          <w:rFonts w:ascii="Times New Roman" w:eastAsia="游ゴシック" w:hAnsi="Times New Roman" w:cs="Times New Roman"/>
          <w:color w:val="000000"/>
          <w:kern w:val="0"/>
          <w:sz w:val="20"/>
          <w:szCs w:val="20"/>
          <w:lang w:val="en-US"/>
        </w:rPr>
        <w:t>Note:</w:t>
      </w:r>
      <w:r w:rsidRPr="00FD545F">
        <w:rPr>
          <w:rFonts w:ascii="Times New Roman" w:eastAsia="游ゴシック" w:hAnsi="Times New Roman" w:cs="Times New Roman"/>
          <w:color w:val="000000" w:themeColor="text1"/>
          <w:kern w:val="0"/>
          <w:sz w:val="20"/>
          <w:szCs w:val="20"/>
          <w:vertAlign w:val="superscript"/>
          <w:lang w:val="en-US"/>
        </w:rPr>
        <w:t xml:space="preserve"> </w:t>
      </w:r>
      <w:proofErr w:type="spellStart"/>
      <w:proofErr w:type="gramStart"/>
      <w:r w:rsidRPr="00FD545F">
        <w:rPr>
          <w:rFonts w:ascii="Times New Roman" w:eastAsia="游ゴシック" w:hAnsi="Times New Roman" w:cs="Times New Roman"/>
          <w:color w:val="000000" w:themeColor="text1"/>
          <w:kern w:val="0"/>
          <w:sz w:val="20"/>
          <w:szCs w:val="20"/>
          <w:vertAlign w:val="superscript"/>
          <w:lang w:val="en-US"/>
        </w:rPr>
        <w:t>a</w:t>
      </w:r>
      <w:proofErr w:type="spellEnd"/>
      <w:proofErr w:type="gramEnd"/>
      <w:r w:rsidRPr="00FD545F">
        <w:rPr>
          <w:rFonts w:ascii="Times New Roman" w:eastAsia="游ゴシック" w:hAnsi="Times New Roman" w:cs="Times New Roman"/>
          <w:color w:val="000000" w:themeColor="text1"/>
          <w:kern w:val="0"/>
          <w:sz w:val="20"/>
          <w:szCs w:val="20"/>
          <w:vertAlign w:val="superscript"/>
          <w:lang w:val="en-US"/>
        </w:rPr>
        <w:t xml:space="preserve"> </w:t>
      </w:r>
      <w:r w:rsidRPr="00FD545F">
        <w:rPr>
          <w:rFonts w:ascii="Times New Roman" w:eastAsia="游ゴシック" w:hAnsi="Times New Roman" w:cs="Times New Roman"/>
          <w:color w:val="000000"/>
          <w:kern w:val="0"/>
          <w:sz w:val="20"/>
          <w:szCs w:val="20"/>
          <w:lang w:val="en-US"/>
        </w:rPr>
        <w:t xml:space="preserve">All information taken from survey reports. </w:t>
      </w:r>
      <w:r w:rsidRPr="00FD545F">
        <w:rPr>
          <w:rFonts w:ascii="Times New Roman" w:eastAsia="游ゴシック" w:hAnsi="Times New Roman" w:cs="Times New Roman"/>
          <w:color w:val="000000"/>
          <w:kern w:val="0"/>
          <w:sz w:val="20"/>
          <w:szCs w:val="20"/>
          <w:vertAlign w:val="superscript"/>
          <w:lang w:val="en-US"/>
        </w:rPr>
        <w:t>b</w:t>
      </w:r>
      <w:r w:rsidRPr="00FD545F">
        <w:rPr>
          <w:rFonts w:ascii="Times New Roman" w:eastAsia="游ゴシック" w:hAnsi="Times New Roman" w:cs="Times New Roman"/>
          <w:color w:val="000000"/>
          <w:kern w:val="0"/>
          <w:sz w:val="20"/>
          <w:szCs w:val="20"/>
          <w:lang w:val="en-US"/>
        </w:rPr>
        <w:t xml:space="preserve"> For the purposes of MICS, internally displaced pe</w:t>
      </w:r>
      <w:r w:rsidR="008F4C22" w:rsidRPr="00FD545F">
        <w:rPr>
          <w:rFonts w:ascii="Times New Roman" w:eastAsia="游ゴシック" w:hAnsi="Times New Roman" w:cs="Times New Roman"/>
          <w:color w:val="000000"/>
          <w:kern w:val="0"/>
          <w:sz w:val="20"/>
          <w:szCs w:val="20"/>
          <w:lang w:val="en-US"/>
        </w:rPr>
        <w:t>rsons</w:t>
      </w:r>
      <w:r w:rsidRPr="00FD545F">
        <w:rPr>
          <w:rFonts w:ascii="Times New Roman" w:eastAsia="游ゴシック" w:hAnsi="Times New Roman" w:cs="Times New Roman"/>
          <w:color w:val="000000"/>
          <w:kern w:val="0"/>
          <w:sz w:val="20"/>
          <w:szCs w:val="20"/>
          <w:lang w:val="en-US"/>
        </w:rPr>
        <w:t xml:space="preserve"> living in United Nations/government notified camps, military installations, and non-residential units such as business establishments were not considered in the scope of the survey</w:t>
      </w:r>
      <w:r w:rsidR="00483EF6">
        <w:rPr>
          <w:rFonts w:ascii="Times New Roman" w:eastAsia="游ゴシック" w:hAnsi="Times New Roman" w:cs="Times New Roman"/>
          <w:color w:val="000000"/>
          <w:kern w:val="0"/>
          <w:sz w:val="20"/>
          <w:szCs w:val="20"/>
          <w:lang w:val="en-US"/>
        </w:rPr>
        <w:t xml:space="preserve"> </w:t>
      </w:r>
      <w:r w:rsidRPr="00FD545F">
        <w:rPr>
          <w:rFonts w:ascii="Times New Roman" w:eastAsia="游ゴシック" w:hAnsi="Times New Roman" w:cs="Times New Roman"/>
          <w:color w:val="000000"/>
          <w:kern w:val="0"/>
          <w:sz w:val="20"/>
          <w:szCs w:val="20"/>
          <w:lang w:val="en-US"/>
        </w:rPr>
        <w:fldChar w:fldCharType="begin"/>
      </w:r>
      <w:r w:rsidR="00EB7016">
        <w:rPr>
          <w:rFonts w:ascii="Times New Roman" w:eastAsia="游ゴシック" w:hAnsi="Times New Roman" w:cs="Times New Roman"/>
          <w:color w:val="000000"/>
          <w:kern w:val="0"/>
          <w:sz w:val="20"/>
          <w:szCs w:val="20"/>
          <w:lang w:val="en-US"/>
        </w:rPr>
        <w:instrText xml:space="preserve"> ADDIN EN.CITE &lt;EndNote&gt;&lt;Cite&gt;&lt;Author&gt;Central Organization for Statistics &amp;amp; Information Technology and Kurdistan Regional Statistics Office&lt;/Author&gt;&lt;Year&gt;2019&lt;/Year&gt;&lt;RecNum&gt;820&lt;/RecNum&gt;&lt;DisplayText&gt;[1]&lt;/DisplayText&gt;&lt;record&gt;&lt;rec-number&gt;820&lt;/rec-number&gt;&lt;foreign-keys&gt;&lt;key app="EN" db-id="p9dr0xwv2rpa2de05dd5fx2oxpxeedxtwa95" timestamp="1577804520" guid="b233b95a-60d8-456a-8ef7-9d32b8edef4e"&gt;820&lt;/key&gt;&lt;/foreign-keys&gt;&lt;ref-type name="Report"&gt;27&lt;/ref-type&gt;&lt;contributors&gt;&lt;authors&gt;&lt;author&gt;Central Organization for Statistics &amp;amp; Information Technology and Kurdistan Regional Statistics Office,&lt;/author&gt;&lt;/authors&gt;&lt;/contributors&gt;&lt;titles&gt;&lt;title&gt;Multiple Indicator Cluster Survey Iraq 2018&lt;/title&gt;&lt;/titles&gt;&lt;dates&gt;&lt;year&gt;2019&lt;/year&gt;&lt;pub-dates&gt;&lt;date&gt;February&lt;/date&gt;&lt;/pub-dates&gt;&lt;/dates&gt;&lt;urls&gt;&lt;related-urls&gt;&lt;url&gt;https://mics.unicef.org/files?job=W1siZiIsIjIwMTkvMDMvMDEvMTkvMjMvMTgvNTg5L0VuZ2xpc2gucGRmIl1d&amp;amp;sha=aea1de7cc6f6ec09&lt;/url&gt;&lt;/related-urls&gt;&lt;/urls&gt;&lt;/record&gt;&lt;/Cite&gt;&lt;/EndNote&gt;</w:instrText>
      </w:r>
      <w:r w:rsidRPr="00FD545F">
        <w:rPr>
          <w:rFonts w:ascii="Times New Roman" w:eastAsia="游ゴシック" w:hAnsi="Times New Roman" w:cs="Times New Roman"/>
          <w:color w:val="000000"/>
          <w:kern w:val="0"/>
          <w:sz w:val="20"/>
          <w:szCs w:val="20"/>
          <w:lang w:val="en-US"/>
        </w:rPr>
        <w:fldChar w:fldCharType="separate"/>
      </w:r>
      <w:r w:rsidR="00EB7016">
        <w:rPr>
          <w:rFonts w:ascii="Times New Roman" w:eastAsia="游ゴシック" w:hAnsi="Times New Roman" w:cs="Times New Roman"/>
          <w:noProof/>
          <w:color w:val="000000"/>
          <w:kern w:val="0"/>
          <w:sz w:val="20"/>
          <w:szCs w:val="20"/>
          <w:lang w:val="en-US"/>
        </w:rPr>
        <w:t>[1]</w:t>
      </w:r>
      <w:r w:rsidRPr="00FD545F">
        <w:rPr>
          <w:rFonts w:ascii="Times New Roman" w:eastAsia="游ゴシック" w:hAnsi="Times New Roman" w:cs="Times New Roman"/>
          <w:color w:val="000000"/>
          <w:kern w:val="0"/>
          <w:sz w:val="20"/>
          <w:szCs w:val="20"/>
          <w:lang w:val="en-US"/>
        </w:rPr>
        <w:fldChar w:fldCharType="end"/>
      </w:r>
      <w:r w:rsidR="00483EF6">
        <w:rPr>
          <w:rFonts w:ascii="Times New Roman" w:eastAsia="游ゴシック" w:hAnsi="Times New Roman" w:cs="Times New Roman"/>
          <w:color w:val="000000"/>
          <w:kern w:val="0"/>
          <w:sz w:val="20"/>
          <w:szCs w:val="20"/>
          <w:lang w:val="en-US"/>
        </w:rPr>
        <w:t>.</w:t>
      </w:r>
    </w:p>
    <w:p w14:paraId="28D43AEB" w14:textId="77777777" w:rsidR="009F3445" w:rsidRPr="00FD545F" w:rsidRDefault="009F3445" w:rsidP="009F3445">
      <w:pPr>
        <w:pStyle w:val="a3"/>
        <w:jc w:val="left"/>
        <w:rPr>
          <w:rFonts w:ascii="Times New Roman" w:hAnsi="Times New Roman" w:cs="Times New Roman"/>
          <w:sz w:val="20"/>
          <w:szCs w:val="20"/>
        </w:rPr>
      </w:pPr>
      <w:r w:rsidRPr="00FD545F">
        <w:rPr>
          <w:rFonts w:ascii="Times New Roman" w:eastAsia="游ゴシック" w:hAnsi="Times New Roman" w:cs="Times New Roman"/>
          <w:color w:val="000000"/>
          <w:kern w:val="0"/>
          <w:sz w:val="20"/>
          <w:szCs w:val="20"/>
          <w:lang w:val="en-US"/>
        </w:rPr>
        <w:t xml:space="preserve">MICS, Multiple Indicator Cluster Survey; HSES, </w:t>
      </w:r>
      <w:r w:rsidRPr="00FD545F">
        <w:rPr>
          <w:rFonts w:ascii="Times New Roman" w:hAnsi="Times New Roman" w:cs="Times New Roman"/>
          <w:sz w:val="20"/>
          <w:szCs w:val="20"/>
        </w:rPr>
        <w:t xml:space="preserve">Household Socio-Economic Survey   </w:t>
      </w:r>
    </w:p>
    <w:p w14:paraId="46DF4C27" w14:textId="304E3E4B" w:rsidR="00BD7D3C" w:rsidRPr="00FD545F" w:rsidRDefault="00BD7D3C">
      <w:pPr>
        <w:widowControl/>
        <w:jc w:val="left"/>
        <w:rPr>
          <w:rFonts w:ascii="Times New Roman" w:hAnsi="Times New Roman" w:cs="Times New Roman"/>
          <w:b/>
          <w:bCs/>
          <w:sz w:val="20"/>
          <w:szCs w:val="20"/>
        </w:rPr>
      </w:pPr>
      <w:r w:rsidRPr="00FD545F">
        <w:rPr>
          <w:rFonts w:ascii="Times New Roman" w:hAnsi="Times New Roman" w:cs="Times New Roman"/>
          <w:b/>
          <w:bCs/>
          <w:sz w:val="20"/>
          <w:szCs w:val="20"/>
        </w:rPr>
        <w:br w:type="page"/>
      </w:r>
    </w:p>
    <w:p w14:paraId="481529D5" w14:textId="16E00D4B" w:rsidR="004F43E0" w:rsidRPr="00FD545F" w:rsidRDefault="004F43E0" w:rsidP="00DB3A88">
      <w:pPr>
        <w:widowControl/>
        <w:rPr>
          <w:rFonts w:ascii="Times New Roman" w:eastAsia="游ゴシック" w:hAnsi="Times New Roman" w:cs="Times New Roman"/>
          <w:b/>
          <w:bCs/>
          <w:color w:val="000000"/>
          <w:kern w:val="0"/>
          <w:sz w:val="24"/>
          <w:szCs w:val="24"/>
          <w:lang w:val="en-US"/>
        </w:rPr>
      </w:pPr>
      <w:r w:rsidRPr="00FD545F">
        <w:rPr>
          <w:rFonts w:ascii="Times New Roman" w:eastAsia="游ゴシック" w:hAnsi="Times New Roman" w:cs="Times New Roman"/>
          <w:b/>
          <w:bCs/>
          <w:color w:val="000000"/>
          <w:kern w:val="0"/>
          <w:sz w:val="24"/>
          <w:szCs w:val="24"/>
          <w:lang w:val="en-US"/>
        </w:rPr>
        <w:lastRenderedPageBreak/>
        <w:t xml:space="preserve">Appendix section 2. </w:t>
      </w:r>
      <w:r w:rsidRPr="00FD545F">
        <w:rPr>
          <w:rFonts w:ascii="Times New Roman" w:hAnsi="Times New Roman" w:cs="Times New Roman"/>
          <w:b/>
          <w:sz w:val="24"/>
          <w:szCs w:val="24"/>
        </w:rPr>
        <w:t>Health service indicators</w:t>
      </w:r>
    </w:p>
    <w:p w14:paraId="18A3BA0D" w14:textId="24A647A0" w:rsidR="00DB3A88" w:rsidRPr="00FD545F" w:rsidRDefault="00B649D9" w:rsidP="00DB3A88">
      <w:pPr>
        <w:widowControl/>
        <w:rPr>
          <w:rFonts w:ascii="Times New Roman" w:hAnsi="Times New Roman" w:cs="Times New Roman"/>
          <w:b/>
          <w:sz w:val="24"/>
          <w:szCs w:val="24"/>
        </w:rPr>
      </w:pPr>
      <w:r>
        <w:rPr>
          <w:rFonts w:ascii="Times New Roman" w:eastAsia="游ゴシック" w:hAnsi="Times New Roman" w:cs="Times New Roman"/>
          <w:b/>
          <w:bCs/>
          <w:color w:val="000000"/>
          <w:kern w:val="0"/>
          <w:sz w:val="24"/>
          <w:szCs w:val="24"/>
          <w:lang w:val="en-US"/>
        </w:rPr>
        <w:t>Table</w:t>
      </w:r>
      <w:r w:rsidR="004D7032" w:rsidRPr="00FD545F">
        <w:rPr>
          <w:rFonts w:ascii="Times New Roman" w:eastAsia="游ゴシック" w:hAnsi="Times New Roman" w:cs="Times New Roman"/>
          <w:b/>
          <w:bCs/>
          <w:color w:val="000000"/>
          <w:kern w:val="0"/>
          <w:sz w:val="24"/>
          <w:szCs w:val="24"/>
          <w:lang w:val="en-US"/>
        </w:rPr>
        <w:t xml:space="preserve"> A2</w:t>
      </w:r>
      <w:r w:rsidR="00DB3A88" w:rsidRPr="00FD545F">
        <w:rPr>
          <w:rFonts w:ascii="Times New Roman" w:hAnsi="Times New Roman" w:cs="Times New Roman"/>
          <w:b/>
          <w:sz w:val="24"/>
          <w:szCs w:val="24"/>
        </w:rPr>
        <w:t xml:space="preserve">: Health service indicators </w:t>
      </w:r>
    </w:p>
    <w:tbl>
      <w:tblPr>
        <w:tblW w:w="9106" w:type="dxa"/>
        <w:tblLayout w:type="fixed"/>
        <w:tblCellMar>
          <w:left w:w="99" w:type="dxa"/>
          <w:right w:w="99" w:type="dxa"/>
        </w:tblCellMar>
        <w:tblLook w:val="04A0" w:firstRow="1" w:lastRow="0" w:firstColumn="1" w:lastColumn="0" w:noHBand="0" w:noVBand="1"/>
      </w:tblPr>
      <w:tblGrid>
        <w:gridCol w:w="1670"/>
        <w:gridCol w:w="304"/>
        <w:gridCol w:w="7132"/>
      </w:tblGrid>
      <w:tr w:rsidR="00DB3A88" w:rsidRPr="00FD545F" w14:paraId="22B266FF" w14:textId="77777777" w:rsidTr="00ED40E7">
        <w:trPr>
          <w:trHeight w:val="397"/>
        </w:trPr>
        <w:tc>
          <w:tcPr>
            <w:tcW w:w="1670" w:type="dxa"/>
            <w:tcBorders>
              <w:top w:val="single" w:sz="4" w:space="0" w:color="auto"/>
              <w:left w:val="nil"/>
              <w:bottom w:val="single" w:sz="4" w:space="0" w:color="auto"/>
              <w:right w:val="nil"/>
            </w:tcBorders>
            <w:shd w:val="clear" w:color="auto" w:fill="D9D9D9" w:themeFill="background1" w:themeFillShade="D9"/>
            <w:vAlign w:val="center"/>
            <w:hideMark/>
          </w:tcPr>
          <w:p w14:paraId="5C254DC7" w14:textId="77777777" w:rsidR="00DB3A88" w:rsidRPr="00FD545F" w:rsidRDefault="00DB3A88" w:rsidP="00ED40E7">
            <w:pPr>
              <w:widowControl/>
              <w:spacing w:line="240" w:lineRule="exact"/>
              <w:jc w:val="left"/>
              <w:rPr>
                <w:rFonts w:ascii="Times New Roman" w:eastAsia="ＭＳ Ｐゴシック" w:hAnsi="Times New Roman" w:cs="Times New Roman"/>
                <w:b/>
                <w:bCs/>
                <w:color w:val="000000"/>
                <w:kern w:val="0"/>
                <w:sz w:val="18"/>
                <w:szCs w:val="18"/>
                <w:lang w:val="en-US"/>
              </w:rPr>
            </w:pPr>
            <w:r w:rsidRPr="00FD545F">
              <w:rPr>
                <w:rFonts w:ascii="Times New Roman" w:eastAsia="ＭＳ Ｐゴシック" w:hAnsi="Times New Roman" w:cs="Times New Roman"/>
                <w:b/>
                <w:bCs/>
                <w:color w:val="000000"/>
                <w:kern w:val="0"/>
                <w:sz w:val="18"/>
                <w:szCs w:val="18"/>
                <w:lang w:val="en-US"/>
              </w:rPr>
              <w:t>Indicators</w:t>
            </w:r>
          </w:p>
        </w:tc>
        <w:tc>
          <w:tcPr>
            <w:tcW w:w="304" w:type="dxa"/>
            <w:tcBorders>
              <w:top w:val="single" w:sz="4" w:space="0" w:color="auto"/>
              <w:left w:val="nil"/>
              <w:bottom w:val="single" w:sz="4" w:space="0" w:color="auto"/>
              <w:right w:val="nil"/>
            </w:tcBorders>
            <w:shd w:val="clear" w:color="auto" w:fill="D9D9D9" w:themeFill="background1" w:themeFillShade="D9"/>
            <w:noWrap/>
            <w:vAlign w:val="center"/>
            <w:hideMark/>
          </w:tcPr>
          <w:p w14:paraId="1E25A8F5"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hint="eastAsia"/>
                <w:color w:val="000000"/>
                <w:kern w:val="0"/>
                <w:sz w:val="18"/>
                <w:szCs w:val="18"/>
                <w:lang w:val="en-US"/>
              </w:rPr>
              <w:t xml:space="preserve">　</w:t>
            </w:r>
          </w:p>
        </w:tc>
        <w:tc>
          <w:tcPr>
            <w:tcW w:w="7132" w:type="dxa"/>
            <w:tcBorders>
              <w:top w:val="single" w:sz="4" w:space="0" w:color="auto"/>
              <w:left w:val="nil"/>
              <w:bottom w:val="single" w:sz="4" w:space="0" w:color="auto"/>
              <w:right w:val="nil"/>
            </w:tcBorders>
            <w:shd w:val="clear" w:color="auto" w:fill="D9D9D9" w:themeFill="background1" w:themeFillShade="D9"/>
            <w:vAlign w:val="center"/>
            <w:hideMark/>
          </w:tcPr>
          <w:p w14:paraId="25CF746E" w14:textId="77777777" w:rsidR="00DB3A88" w:rsidRPr="00FD545F" w:rsidRDefault="00DB3A88" w:rsidP="00ED40E7">
            <w:pPr>
              <w:widowControl/>
              <w:spacing w:line="240" w:lineRule="exact"/>
              <w:jc w:val="center"/>
              <w:rPr>
                <w:rFonts w:ascii="Times New Roman" w:eastAsia="ＭＳ Ｐゴシック" w:hAnsi="Times New Roman" w:cs="Times New Roman"/>
                <w:b/>
                <w:bCs/>
                <w:color w:val="000000"/>
                <w:kern w:val="0"/>
                <w:sz w:val="18"/>
                <w:szCs w:val="18"/>
                <w:lang w:val="en-US"/>
              </w:rPr>
            </w:pPr>
            <w:r w:rsidRPr="00FD545F">
              <w:rPr>
                <w:rFonts w:ascii="Times New Roman" w:eastAsia="ＭＳ Ｐゴシック" w:hAnsi="Times New Roman" w:cs="Times New Roman"/>
                <w:b/>
                <w:bCs/>
                <w:color w:val="000000"/>
                <w:kern w:val="0"/>
                <w:sz w:val="18"/>
                <w:szCs w:val="18"/>
                <w:lang w:val="en-US"/>
              </w:rPr>
              <w:t>Definition</w:t>
            </w:r>
          </w:p>
        </w:tc>
      </w:tr>
      <w:tr w:rsidR="00DB3A88" w:rsidRPr="00FD545F" w14:paraId="19CBB547" w14:textId="77777777" w:rsidTr="00ED40E7">
        <w:trPr>
          <w:trHeight w:val="397"/>
        </w:trPr>
        <w:tc>
          <w:tcPr>
            <w:tcW w:w="9106" w:type="dxa"/>
            <w:gridSpan w:val="3"/>
            <w:tcBorders>
              <w:top w:val="nil"/>
              <w:left w:val="nil"/>
              <w:bottom w:val="nil"/>
              <w:right w:val="nil"/>
            </w:tcBorders>
            <w:shd w:val="clear" w:color="auto" w:fill="D9D9D9" w:themeFill="background1" w:themeFillShade="D9"/>
            <w:vAlign w:val="center"/>
            <w:hideMark/>
          </w:tcPr>
          <w:p w14:paraId="3125FF9B" w14:textId="77777777" w:rsidR="00DB3A88" w:rsidRPr="00FD545F" w:rsidRDefault="00DB3A88" w:rsidP="00ED40E7">
            <w:pPr>
              <w:widowControl/>
              <w:spacing w:line="240" w:lineRule="exact"/>
              <w:jc w:val="left"/>
              <w:rPr>
                <w:rFonts w:ascii="Times New Roman" w:eastAsia="ＭＳ Ｐゴシック" w:hAnsi="Times New Roman" w:cs="Times New Roman"/>
                <w:b/>
                <w:bCs/>
                <w:color w:val="000000"/>
                <w:kern w:val="0"/>
                <w:sz w:val="18"/>
                <w:szCs w:val="18"/>
              </w:rPr>
            </w:pPr>
            <w:r w:rsidRPr="00FD545F">
              <w:rPr>
                <w:rFonts w:ascii="Times New Roman" w:eastAsia="ＭＳ Ｐゴシック" w:hAnsi="Times New Roman" w:cs="Times New Roman"/>
                <w:b/>
                <w:bCs/>
                <w:color w:val="000000"/>
                <w:kern w:val="0"/>
                <w:sz w:val="18"/>
                <w:szCs w:val="18"/>
                <w:lang w:val="en-US"/>
              </w:rPr>
              <w:t>Environment (2)</w:t>
            </w:r>
          </w:p>
        </w:tc>
      </w:tr>
      <w:tr w:rsidR="00DB3A88" w:rsidRPr="00FD545F" w14:paraId="08601680" w14:textId="77777777" w:rsidTr="00ED40E7">
        <w:trPr>
          <w:trHeight w:val="913"/>
        </w:trPr>
        <w:tc>
          <w:tcPr>
            <w:tcW w:w="1670" w:type="dxa"/>
            <w:tcBorders>
              <w:top w:val="nil"/>
              <w:left w:val="nil"/>
              <w:bottom w:val="nil"/>
              <w:right w:val="nil"/>
            </w:tcBorders>
            <w:shd w:val="clear" w:color="auto" w:fill="auto"/>
            <w:vAlign w:val="center"/>
            <w:hideMark/>
          </w:tcPr>
          <w:p w14:paraId="36F621B6"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Improved water sources </w:t>
            </w:r>
          </w:p>
        </w:tc>
        <w:tc>
          <w:tcPr>
            <w:tcW w:w="304" w:type="dxa"/>
            <w:tcBorders>
              <w:top w:val="nil"/>
              <w:left w:val="nil"/>
              <w:bottom w:val="nil"/>
              <w:right w:val="nil"/>
            </w:tcBorders>
            <w:shd w:val="clear" w:color="auto" w:fill="auto"/>
            <w:noWrap/>
            <w:vAlign w:val="center"/>
            <w:hideMark/>
          </w:tcPr>
          <w:p w14:paraId="1B781072"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681BAA45"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households whose main source of drinking water is an improved source, including piped water, tube well/tube-hole, protected well, protected spring, rain water collection, tanker truck, cart with small tank, water kiosk, bottled water and desalinised &amp; sterilised water</w:t>
            </w:r>
          </w:p>
        </w:tc>
      </w:tr>
      <w:tr w:rsidR="00DB3A88" w:rsidRPr="00FD545F" w14:paraId="6ED49260" w14:textId="77777777" w:rsidTr="00ED40E7">
        <w:trPr>
          <w:trHeight w:val="765"/>
        </w:trPr>
        <w:tc>
          <w:tcPr>
            <w:tcW w:w="1670" w:type="dxa"/>
            <w:tcBorders>
              <w:top w:val="nil"/>
              <w:left w:val="nil"/>
              <w:bottom w:val="nil"/>
              <w:right w:val="nil"/>
            </w:tcBorders>
            <w:shd w:val="clear" w:color="auto" w:fill="auto"/>
            <w:vAlign w:val="center"/>
            <w:hideMark/>
          </w:tcPr>
          <w:p w14:paraId="694BE285"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Adequate sanitation  </w:t>
            </w:r>
          </w:p>
        </w:tc>
        <w:tc>
          <w:tcPr>
            <w:tcW w:w="304" w:type="dxa"/>
            <w:tcBorders>
              <w:top w:val="nil"/>
              <w:left w:val="nil"/>
              <w:bottom w:val="nil"/>
              <w:right w:val="nil"/>
            </w:tcBorders>
            <w:shd w:val="clear" w:color="auto" w:fill="auto"/>
            <w:noWrap/>
            <w:vAlign w:val="center"/>
            <w:hideMark/>
          </w:tcPr>
          <w:p w14:paraId="1F3E0719"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29A30A72"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The proportion of households with improved toilet facilities, including flush toilets with piped to sewer system, septic tank, or </w:t>
            </w:r>
            <w:proofErr w:type="gramStart"/>
            <w:r w:rsidRPr="00FD545F">
              <w:rPr>
                <w:rFonts w:ascii="Times New Roman" w:eastAsia="ＭＳ Ｐゴシック" w:hAnsi="Times New Roman" w:cs="Times New Roman"/>
                <w:color w:val="000000"/>
                <w:kern w:val="0"/>
                <w:sz w:val="18"/>
                <w:szCs w:val="18"/>
                <w:lang w:val="en-US"/>
              </w:rPr>
              <w:t>Don't</w:t>
            </w:r>
            <w:proofErr w:type="gramEnd"/>
            <w:r w:rsidRPr="00FD545F">
              <w:rPr>
                <w:rFonts w:ascii="Times New Roman" w:eastAsia="ＭＳ Ｐゴシック" w:hAnsi="Times New Roman" w:cs="Times New Roman"/>
                <w:color w:val="000000"/>
                <w:kern w:val="0"/>
                <w:sz w:val="18"/>
                <w:szCs w:val="18"/>
                <w:lang w:val="en-US"/>
              </w:rPr>
              <w:t xml:space="preserve"> know where as well as pit latrines with slab, ventilated improved pit latrine, or composting toilet</w:t>
            </w:r>
          </w:p>
        </w:tc>
      </w:tr>
      <w:tr w:rsidR="00DB3A88" w:rsidRPr="00FD545F" w14:paraId="6496CA58" w14:textId="77777777" w:rsidTr="00ED40E7">
        <w:trPr>
          <w:trHeight w:val="397"/>
        </w:trPr>
        <w:tc>
          <w:tcPr>
            <w:tcW w:w="9106" w:type="dxa"/>
            <w:gridSpan w:val="3"/>
            <w:tcBorders>
              <w:top w:val="single" w:sz="4" w:space="0" w:color="auto"/>
              <w:left w:val="nil"/>
              <w:bottom w:val="nil"/>
              <w:right w:val="nil"/>
            </w:tcBorders>
            <w:shd w:val="clear" w:color="auto" w:fill="D9D9D9" w:themeFill="background1" w:themeFillShade="D9"/>
            <w:vAlign w:val="center"/>
            <w:hideMark/>
          </w:tcPr>
          <w:p w14:paraId="6C005A58" w14:textId="77777777" w:rsidR="00DB3A88" w:rsidRPr="00FD545F" w:rsidRDefault="00DB3A88" w:rsidP="00ED40E7">
            <w:pPr>
              <w:widowControl/>
              <w:spacing w:line="240" w:lineRule="exact"/>
              <w:jc w:val="left"/>
              <w:rPr>
                <w:rFonts w:ascii="Times New Roman" w:eastAsia="ＭＳ Ｐゴシック" w:hAnsi="Times New Roman" w:cs="Times New Roman"/>
                <w:b/>
                <w:bCs/>
                <w:color w:val="000000"/>
                <w:kern w:val="0"/>
                <w:sz w:val="18"/>
                <w:szCs w:val="18"/>
                <w:lang w:val="en-US"/>
              </w:rPr>
            </w:pPr>
            <w:bookmarkStart w:id="2" w:name="_Hlk27941364"/>
            <w:r w:rsidRPr="00FD545F">
              <w:rPr>
                <w:rFonts w:ascii="Times New Roman" w:eastAsia="ＭＳ Ｐゴシック" w:hAnsi="Times New Roman" w:cs="Times New Roman"/>
                <w:b/>
                <w:bCs/>
                <w:color w:val="000000"/>
                <w:kern w:val="0"/>
                <w:sz w:val="18"/>
                <w:szCs w:val="18"/>
                <w:lang w:val="en-US"/>
              </w:rPr>
              <w:t>Maternal health (5)</w:t>
            </w:r>
          </w:p>
        </w:tc>
      </w:tr>
      <w:bookmarkEnd w:id="2"/>
      <w:tr w:rsidR="00DB3A88" w:rsidRPr="00FD545F" w14:paraId="3783717C" w14:textId="77777777" w:rsidTr="00ED40E7">
        <w:trPr>
          <w:trHeight w:val="743"/>
        </w:trPr>
        <w:tc>
          <w:tcPr>
            <w:tcW w:w="1670" w:type="dxa"/>
            <w:tcBorders>
              <w:top w:val="nil"/>
              <w:left w:val="nil"/>
              <w:bottom w:val="nil"/>
              <w:right w:val="nil"/>
            </w:tcBorders>
            <w:shd w:val="clear" w:color="auto" w:fill="auto"/>
            <w:vAlign w:val="center"/>
            <w:hideMark/>
          </w:tcPr>
          <w:p w14:paraId="07DD6CDC"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Family planning needs satisfied</w:t>
            </w:r>
          </w:p>
        </w:tc>
        <w:tc>
          <w:tcPr>
            <w:tcW w:w="304" w:type="dxa"/>
            <w:tcBorders>
              <w:top w:val="nil"/>
              <w:left w:val="nil"/>
              <w:bottom w:val="nil"/>
              <w:right w:val="nil"/>
            </w:tcBorders>
            <w:shd w:val="clear" w:color="auto" w:fill="auto"/>
            <w:noWrap/>
            <w:vAlign w:val="center"/>
            <w:hideMark/>
          </w:tcPr>
          <w:p w14:paraId="54A5F40F"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7D90CFDE" w14:textId="7EF2650B"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The proportion of married women aged 15-49 who do not want any more children or want to wait 2 or more years before having another child and are using modern contraception </w:t>
            </w:r>
          </w:p>
        </w:tc>
      </w:tr>
      <w:tr w:rsidR="00DB3A88" w:rsidRPr="00FD545F" w14:paraId="0352FBB8" w14:textId="77777777" w:rsidTr="00ED40E7">
        <w:trPr>
          <w:trHeight w:val="743"/>
        </w:trPr>
        <w:tc>
          <w:tcPr>
            <w:tcW w:w="1670" w:type="dxa"/>
            <w:tcBorders>
              <w:top w:val="nil"/>
              <w:left w:val="nil"/>
              <w:bottom w:val="nil"/>
              <w:right w:val="nil"/>
            </w:tcBorders>
            <w:shd w:val="clear" w:color="auto" w:fill="auto"/>
            <w:vAlign w:val="center"/>
            <w:hideMark/>
          </w:tcPr>
          <w:p w14:paraId="48A56302"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ANC1</w:t>
            </w:r>
          </w:p>
        </w:tc>
        <w:tc>
          <w:tcPr>
            <w:tcW w:w="304" w:type="dxa"/>
            <w:tcBorders>
              <w:top w:val="nil"/>
              <w:left w:val="nil"/>
              <w:bottom w:val="nil"/>
              <w:right w:val="nil"/>
            </w:tcBorders>
            <w:shd w:val="clear" w:color="auto" w:fill="auto"/>
            <w:noWrap/>
            <w:vAlign w:val="center"/>
            <w:hideMark/>
          </w:tcPr>
          <w:p w14:paraId="0BD43014"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66451567"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women age 15-49 years with a live birth in the last 2 years who during the pregnancy of the most recent live birth were attended at least once by skilled health personnel</w:t>
            </w:r>
          </w:p>
        </w:tc>
      </w:tr>
      <w:tr w:rsidR="00DB3A88" w:rsidRPr="00FD545F" w14:paraId="585C99DA" w14:textId="77777777" w:rsidTr="00ED40E7">
        <w:trPr>
          <w:trHeight w:val="743"/>
        </w:trPr>
        <w:tc>
          <w:tcPr>
            <w:tcW w:w="1670" w:type="dxa"/>
            <w:tcBorders>
              <w:top w:val="nil"/>
              <w:left w:val="nil"/>
              <w:bottom w:val="nil"/>
              <w:right w:val="nil"/>
            </w:tcBorders>
            <w:shd w:val="clear" w:color="auto" w:fill="auto"/>
            <w:vAlign w:val="center"/>
            <w:hideMark/>
          </w:tcPr>
          <w:p w14:paraId="218F7985"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ANC4</w:t>
            </w:r>
          </w:p>
        </w:tc>
        <w:tc>
          <w:tcPr>
            <w:tcW w:w="304" w:type="dxa"/>
            <w:tcBorders>
              <w:top w:val="nil"/>
              <w:left w:val="nil"/>
              <w:bottom w:val="nil"/>
              <w:right w:val="nil"/>
            </w:tcBorders>
            <w:shd w:val="clear" w:color="auto" w:fill="auto"/>
            <w:noWrap/>
            <w:vAlign w:val="center"/>
            <w:hideMark/>
          </w:tcPr>
          <w:p w14:paraId="18359539"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5AAA7523"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women age 15-49 years with a live birth in the last 2 years who during the pregnancy of the most recent live birth were attended at least four times by skilled health personnel</w:t>
            </w:r>
          </w:p>
        </w:tc>
      </w:tr>
      <w:tr w:rsidR="00DB3A88" w:rsidRPr="00FD545F" w14:paraId="68FC0AF9" w14:textId="77777777" w:rsidTr="00ED40E7">
        <w:trPr>
          <w:trHeight w:val="743"/>
        </w:trPr>
        <w:tc>
          <w:tcPr>
            <w:tcW w:w="1670" w:type="dxa"/>
            <w:tcBorders>
              <w:top w:val="nil"/>
              <w:left w:val="nil"/>
              <w:bottom w:val="nil"/>
              <w:right w:val="nil"/>
            </w:tcBorders>
            <w:shd w:val="clear" w:color="auto" w:fill="auto"/>
            <w:vAlign w:val="center"/>
            <w:hideMark/>
          </w:tcPr>
          <w:p w14:paraId="73872DBD"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Institutional delivery</w:t>
            </w:r>
          </w:p>
        </w:tc>
        <w:tc>
          <w:tcPr>
            <w:tcW w:w="304" w:type="dxa"/>
            <w:tcBorders>
              <w:top w:val="nil"/>
              <w:left w:val="nil"/>
              <w:bottom w:val="nil"/>
              <w:right w:val="nil"/>
            </w:tcBorders>
            <w:shd w:val="clear" w:color="auto" w:fill="auto"/>
            <w:noWrap/>
            <w:vAlign w:val="center"/>
            <w:hideMark/>
          </w:tcPr>
          <w:p w14:paraId="23F29AEE"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2D2E6C43"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The proportion of women age 15-49 years with a live birth in the last 2 years whose most recent live birth was delivered in a health facility   </w:t>
            </w:r>
          </w:p>
        </w:tc>
      </w:tr>
      <w:tr w:rsidR="00DB3A88" w:rsidRPr="00FD545F" w14:paraId="600F00D3" w14:textId="77777777" w:rsidTr="00ED40E7">
        <w:trPr>
          <w:trHeight w:val="743"/>
        </w:trPr>
        <w:tc>
          <w:tcPr>
            <w:tcW w:w="1670" w:type="dxa"/>
            <w:tcBorders>
              <w:top w:val="nil"/>
              <w:left w:val="nil"/>
              <w:bottom w:val="single" w:sz="4" w:space="0" w:color="auto"/>
              <w:right w:val="nil"/>
            </w:tcBorders>
            <w:shd w:val="clear" w:color="auto" w:fill="auto"/>
            <w:vAlign w:val="center"/>
            <w:hideMark/>
          </w:tcPr>
          <w:p w14:paraId="283DDAFC"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Skilled birth attendance</w:t>
            </w:r>
          </w:p>
        </w:tc>
        <w:tc>
          <w:tcPr>
            <w:tcW w:w="304" w:type="dxa"/>
            <w:tcBorders>
              <w:top w:val="nil"/>
              <w:left w:val="nil"/>
              <w:bottom w:val="single" w:sz="4" w:space="0" w:color="auto"/>
              <w:right w:val="nil"/>
            </w:tcBorders>
            <w:shd w:val="clear" w:color="auto" w:fill="auto"/>
            <w:noWrap/>
            <w:vAlign w:val="center"/>
            <w:hideMark/>
          </w:tcPr>
          <w:p w14:paraId="6806B7EE"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p>
        </w:tc>
        <w:tc>
          <w:tcPr>
            <w:tcW w:w="7132" w:type="dxa"/>
            <w:tcBorders>
              <w:top w:val="nil"/>
              <w:left w:val="nil"/>
              <w:bottom w:val="single" w:sz="4" w:space="0" w:color="auto"/>
              <w:right w:val="nil"/>
            </w:tcBorders>
            <w:shd w:val="clear" w:color="auto" w:fill="auto"/>
            <w:vAlign w:val="center"/>
            <w:hideMark/>
          </w:tcPr>
          <w:p w14:paraId="64CB231D"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The proportion of women age 15-49 years with a live birth in the last 2 years whose most recent live birth was attended by skilled health personnel (doctor, nurse or midwife) </w:t>
            </w:r>
          </w:p>
        </w:tc>
      </w:tr>
      <w:tr w:rsidR="00DB3A88" w:rsidRPr="00FD545F" w14:paraId="168D2107" w14:textId="77777777" w:rsidTr="00ED40E7">
        <w:trPr>
          <w:trHeight w:val="397"/>
        </w:trPr>
        <w:tc>
          <w:tcPr>
            <w:tcW w:w="9106" w:type="dxa"/>
            <w:gridSpan w:val="3"/>
            <w:tcBorders>
              <w:top w:val="single" w:sz="4" w:space="0" w:color="auto"/>
              <w:left w:val="nil"/>
              <w:bottom w:val="nil"/>
              <w:right w:val="nil"/>
            </w:tcBorders>
            <w:shd w:val="clear" w:color="auto" w:fill="D9D9D9" w:themeFill="background1" w:themeFillShade="D9"/>
            <w:vAlign w:val="center"/>
            <w:hideMark/>
          </w:tcPr>
          <w:p w14:paraId="3A9F9112" w14:textId="77777777" w:rsidR="00DB3A88" w:rsidRPr="00FD545F" w:rsidRDefault="00DB3A88" w:rsidP="00ED40E7">
            <w:pPr>
              <w:widowControl/>
              <w:spacing w:line="240" w:lineRule="exact"/>
              <w:jc w:val="left"/>
              <w:rPr>
                <w:rFonts w:ascii="Times New Roman" w:eastAsia="ＭＳ Ｐゴシック" w:hAnsi="Times New Roman" w:cs="Times New Roman"/>
                <w:b/>
                <w:bCs/>
                <w:color w:val="000000"/>
                <w:kern w:val="0"/>
                <w:sz w:val="18"/>
                <w:szCs w:val="18"/>
                <w:lang w:val="en-US"/>
              </w:rPr>
            </w:pPr>
            <w:r w:rsidRPr="00FD545F">
              <w:rPr>
                <w:rFonts w:ascii="Times New Roman" w:eastAsia="ＭＳ Ｐゴシック" w:hAnsi="Times New Roman" w:cs="Times New Roman"/>
                <w:b/>
                <w:bCs/>
                <w:color w:val="000000"/>
                <w:kern w:val="0"/>
                <w:sz w:val="18"/>
                <w:szCs w:val="18"/>
                <w:lang w:val="en-US"/>
              </w:rPr>
              <w:t>Child heath (7)</w:t>
            </w:r>
          </w:p>
        </w:tc>
      </w:tr>
      <w:tr w:rsidR="00DB3A88" w:rsidRPr="00FD545F" w14:paraId="6624C2F7" w14:textId="77777777" w:rsidTr="00ED40E7">
        <w:trPr>
          <w:trHeight w:val="743"/>
        </w:trPr>
        <w:tc>
          <w:tcPr>
            <w:tcW w:w="1670" w:type="dxa"/>
            <w:tcBorders>
              <w:top w:val="nil"/>
              <w:left w:val="nil"/>
              <w:bottom w:val="nil"/>
              <w:right w:val="nil"/>
            </w:tcBorders>
            <w:shd w:val="clear" w:color="auto" w:fill="auto"/>
            <w:vAlign w:val="center"/>
            <w:hideMark/>
          </w:tcPr>
          <w:p w14:paraId="3F38D9F1"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BCG</w:t>
            </w:r>
          </w:p>
        </w:tc>
        <w:tc>
          <w:tcPr>
            <w:tcW w:w="304" w:type="dxa"/>
            <w:tcBorders>
              <w:top w:val="nil"/>
              <w:left w:val="nil"/>
              <w:bottom w:val="nil"/>
              <w:right w:val="nil"/>
            </w:tcBorders>
            <w:shd w:val="clear" w:color="auto" w:fill="auto"/>
            <w:noWrap/>
            <w:vAlign w:val="center"/>
            <w:hideMark/>
          </w:tcPr>
          <w:p w14:paraId="030DC893"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42D45099"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age 12-23 months who received BCG containing vaccine at any time before the survey</w:t>
            </w:r>
          </w:p>
        </w:tc>
      </w:tr>
      <w:tr w:rsidR="00DB3A88" w:rsidRPr="00FD545F" w14:paraId="7D932488" w14:textId="77777777" w:rsidTr="00ED40E7">
        <w:trPr>
          <w:trHeight w:val="743"/>
        </w:trPr>
        <w:tc>
          <w:tcPr>
            <w:tcW w:w="1670" w:type="dxa"/>
            <w:tcBorders>
              <w:top w:val="nil"/>
              <w:left w:val="nil"/>
              <w:bottom w:val="nil"/>
              <w:right w:val="nil"/>
            </w:tcBorders>
            <w:shd w:val="clear" w:color="auto" w:fill="auto"/>
            <w:vAlign w:val="center"/>
            <w:hideMark/>
          </w:tcPr>
          <w:p w14:paraId="2B587637"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DTP3</w:t>
            </w:r>
          </w:p>
        </w:tc>
        <w:tc>
          <w:tcPr>
            <w:tcW w:w="304" w:type="dxa"/>
            <w:tcBorders>
              <w:top w:val="nil"/>
              <w:left w:val="nil"/>
              <w:bottom w:val="nil"/>
              <w:right w:val="nil"/>
            </w:tcBorders>
            <w:shd w:val="clear" w:color="auto" w:fill="auto"/>
            <w:noWrap/>
            <w:vAlign w:val="center"/>
            <w:hideMark/>
          </w:tcPr>
          <w:p w14:paraId="7BBBF8D0"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754545C9"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age 12-23 months who received three doses of DPT vaccine (‎diphtheria, pertussis, tetanus) before the survey</w:t>
            </w:r>
          </w:p>
        </w:tc>
      </w:tr>
      <w:tr w:rsidR="00DB3A88" w:rsidRPr="00FD545F" w14:paraId="411518EA" w14:textId="77777777" w:rsidTr="00ED40E7">
        <w:trPr>
          <w:trHeight w:val="743"/>
        </w:trPr>
        <w:tc>
          <w:tcPr>
            <w:tcW w:w="1670" w:type="dxa"/>
            <w:tcBorders>
              <w:top w:val="nil"/>
              <w:left w:val="nil"/>
              <w:bottom w:val="nil"/>
              <w:right w:val="nil"/>
            </w:tcBorders>
            <w:shd w:val="clear" w:color="auto" w:fill="auto"/>
            <w:vAlign w:val="center"/>
            <w:hideMark/>
          </w:tcPr>
          <w:p w14:paraId="10ED60A2"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Polio3</w:t>
            </w:r>
          </w:p>
        </w:tc>
        <w:tc>
          <w:tcPr>
            <w:tcW w:w="304" w:type="dxa"/>
            <w:tcBorders>
              <w:top w:val="nil"/>
              <w:left w:val="nil"/>
              <w:bottom w:val="nil"/>
              <w:right w:val="nil"/>
            </w:tcBorders>
            <w:shd w:val="clear" w:color="auto" w:fill="auto"/>
            <w:noWrap/>
            <w:vAlign w:val="center"/>
            <w:hideMark/>
          </w:tcPr>
          <w:p w14:paraId="7DA0D7A0"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1E7D1ED8"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age 12-23 months who received three doses of polio vaccine</w:t>
            </w:r>
            <w:r w:rsidRPr="00FD545F">
              <w:rPr>
                <w:rFonts w:ascii="Times New Roman" w:eastAsia="ＭＳ Ｐゴシック" w:hAnsi="Times New Roman" w:cs="Times New Roman"/>
                <w:color w:val="A6A6A6"/>
                <w:kern w:val="0"/>
                <w:sz w:val="18"/>
                <w:szCs w:val="18"/>
                <w:lang w:val="en-US"/>
              </w:rPr>
              <w:t xml:space="preserve"> </w:t>
            </w:r>
            <w:r w:rsidRPr="00FD545F">
              <w:rPr>
                <w:rFonts w:ascii="Times New Roman" w:eastAsia="ＭＳ Ｐゴシック" w:hAnsi="Times New Roman" w:cs="Times New Roman"/>
                <w:color w:val="000000"/>
                <w:kern w:val="0"/>
                <w:sz w:val="18"/>
                <w:szCs w:val="18"/>
                <w:lang w:val="en-US"/>
              </w:rPr>
              <w:t>before the survey, regardless of whether IPV or OPV</w:t>
            </w:r>
          </w:p>
        </w:tc>
      </w:tr>
      <w:tr w:rsidR="00DB3A88" w:rsidRPr="00FD545F" w14:paraId="3DE743A0" w14:textId="77777777" w:rsidTr="00ED40E7">
        <w:trPr>
          <w:trHeight w:val="743"/>
        </w:trPr>
        <w:tc>
          <w:tcPr>
            <w:tcW w:w="1670" w:type="dxa"/>
            <w:tcBorders>
              <w:top w:val="nil"/>
              <w:left w:val="nil"/>
              <w:bottom w:val="nil"/>
              <w:right w:val="nil"/>
            </w:tcBorders>
            <w:shd w:val="clear" w:color="auto" w:fill="auto"/>
            <w:vAlign w:val="center"/>
            <w:hideMark/>
          </w:tcPr>
          <w:p w14:paraId="616997AE"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Measles</w:t>
            </w:r>
          </w:p>
        </w:tc>
        <w:tc>
          <w:tcPr>
            <w:tcW w:w="304" w:type="dxa"/>
            <w:tcBorders>
              <w:top w:val="nil"/>
              <w:left w:val="nil"/>
              <w:bottom w:val="nil"/>
              <w:right w:val="nil"/>
            </w:tcBorders>
            <w:shd w:val="clear" w:color="auto" w:fill="auto"/>
            <w:noWrap/>
            <w:vAlign w:val="center"/>
            <w:hideMark/>
          </w:tcPr>
          <w:p w14:paraId="2AECE3C6"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5CEAFC8B"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age 12-23 months vaccinated against measles at any time before the survey</w:t>
            </w:r>
          </w:p>
        </w:tc>
      </w:tr>
      <w:tr w:rsidR="00DB3A88" w:rsidRPr="00FD545F" w14:paraId="6E3EBA88" w14:textId="77777777" w:rsidTr="00ED40E7">
        <w:trPr>
          <w:trHeight w:val="743"/>
        </w:trPr>
        <w:tc>
          <w:tcPr>
            <w:tcW w:w="1670" w:type="dxa"/>
            <w:tcBorders>
              <w:top w:val="nil"/>
              <w:left w:val="nil"/>
              <w:bottom w:val="nil"/>
              <w:right w:val="nil"/>
            </w:tcBorders>
            <w:shd w:val="clear" w:color="auto" w:fill="auto"/>
            <w:vAlign w:val="center"/>
            <w:hideMark/>
          </w:tcPr>
          <w:p w14:paraId="6C1A36E0"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Full immunisation</w:t>
            </w:r>
          </w:p>
        </w:tc>
        <w:tc>
          <w:tcPr>
            <w:tcW w:w="304" w:type="dxa"/>
            <w:tcBorders>
              <w:top w:val="nil"/>
              <w:left w:val="nil"/>
              <w:bottom w:val="nil"/>
              <w:right w:val="nil"/>
            </w:tcBorders>
            <w:shd w:val="clear" w:color="auto" w:fill="auto"/>
            <w:noWrap/>
            <w:vAlign w:val="center"/>
            <w:hideMark/>
          </w:tcPr>
          <w:p w14:paraId="44B822D7"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nil"/>
              <w:right w:val="nil"/>
            </w:tcBorders>
            <w:shd w:val="clear" w:color="auto" w:fill="auto"/>
            <w:vAlign w:val="center"/>
            <w:hideMark/>
          </w:tcPr>
          <w:p w14:paraId="671D687F"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The proportion of children age 12-23 months who received three doses of DPT and Polio vaccines and one dose of BCG and measles vaccine before the survey </w:t>
            </w:r>
          </w:p>
        </w:tc>
      </w:tr>
      <w:tr w:rsidR="00DB3A88" w:rsidRPr="00FD545F" w14:paraId="2B43E01C" w14:textId="77777777" w:rsidTr="00ED40E7">
        <w:trPr>
          <w:trHeight w:val="743"/>
        </w:trPr>
        <w:tc>
          <w:tcPr>
            <w:tcW w:w="1670" w:type="dxa"/>
            <w:tcBorders>
              <w:top w:val="nil"/>
              <w:left w:val="nil"/>
              <w:right w:val="nil"/>
            </w:tcBorders>
            <w:shd w:val="clear" w:color="auto" w:fill="auto"/>
            <w:vAlign w:val="center"/>
            <w:hideMark/>
          </w:tcPr>
          <w:p w14:paraId="7786F0E8"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 xml:space="preserve">ARI treatment </w:t>
            </w:r>
          </w:p>
        </w:tc>
        <w:tc>
          <w:tcPr>
            <w:tcW w:w="304" w:type="dxa"/>
            <w:tcBorders>
              <w:top w:val="nil"/>
              <w:left w:val="nil"/>
              <w:right w:val="nil"/>
            </w:tcBorders>
            <w:shd w:val="clear" w:color="auto" w:fill="auto"/>
            <w:noWrap/>
            <w:vAlign w:val="center"/>
            <w:hideMark/>
          </w:tcPr>
          <w:p w14:paraId="0ED4FE14"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right w:val="nil"/>
            </w:tcBorders>
            <w:shd w:val="clear" w:color="auto" w:fill="auto"/>
            <w:vAlign w:val="center"/>
            <w:hideMark/>
          </w:tcPr>
          <w:p w14:paraId="1C23FA3E"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under age 5 with suspected pneumonia (cough and difficult breathing NOT due to a problem in the chest and a blocked nose) in the last 2 weeks who received antibiotics</w:t>
            </w:r>
          </w:p>
        </w:tc>
      </w:tr>
      <w:tr w:rsidR="00DB3A88" w:rsidRPr="00FD545F" w14:paraId="4C75FF08" w14:textId="77777777" w:rsidTr="00ED40E7">
        <w:trPr>
          <w:trHeight w:val="913"/>
        </w:trPr>
        <w:tc>
          <w:tcPr>
            <w:tcW w:w="1670" w:type="dxa"/>
            <w:tcBorders>
              <w:top w:val="nil"/>
              <w:left w:val="nil"/>
              <w:bottom w:val="single" w:sz="4" w:space="0" w:color="auto"/>
              <w:right w:val="nil"/>
            </w:tcBorders>
            <w:shd w:val="clear" w:color="auto" w:fill="auto"/>
            <w:vAlign w:val="center"/>
            <w:hideMark/>
          </w:tcPr>
          <w:p w14:paraId="65F965DD"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Oral rehydration therapy</w:t>
            </w:r>
          </w:p>
        </w:tc>
        <w:tc>
          <w:tcPr>
            <w:tcW w:w="304" w:type="dxa"/>
            <w:tcBorders>
              <w:top w:val="nil"/>
              <w:left w:val="nil"/>
              <w:bottom w:val="single" w:sz="4" w:space="0" w:color="auto"/>
              <w:right w:val="nil"/>
            </w:tcBorders>
            <w:shd w:val="clear" w:color="auto" w:fill="auto"/>
            <w:noWrap/>
            <w:vAlign w:val="center"/>
            <w:hideMark/>
          </w:tcPr>
          <w:p w14:paraId="2BC5CB5E" w14:textId="77777777" w:rsidR="00DB3A88" w:rsidRPr="00FD545F" w:rsidRDefault="00DB3A88" w:rsidP="00ED40E7">
            <w:pPr>
              <w:widowControl/>
              <w:spacing w:line="240" w:lineRule="exact"/>
              <w:jc w:val="left"/>
              <w:rPr>
                <w:rFonts w:ascii="Times New Roman" w:eastAsia="ＭＳ Ｐゴシック" w:hAnsi="Times New Roman" w:cs="Times New Roman"/>
                <w:color w:val="000000"/>
                <w:kern w:val="0"/>
                <w:sz w:val="18"/>
                <w:szCs w:val="18"/>
                <w:lang w:val="en-US"/>
              </w:rPr>
            </w:pPr>
          </w:p>
        </w:tc>
        <w:tc>
          <w:tcPr>
            <w:tcW w:w="7132" w:type="dxa"/>
            <w:tcBorders>
              <w:top w:val="nil"/>
              <w:left w:val="nil"/>
              <w:bottom w:val="single" w:sz="4" w:space="0" w:color="auto"/>
              <w:right w:val="nil"/>
            </w:tcBorders>
            <w:shd w:val="clear" w:color="auto" w:fill="auto"/>
            <w:vAlign w:val="center"/>
            <w:hideMark/>
          </w:tcPr>
          <w:p w14:paraId="5E17A732" w14:textId="77777777" w:rsidR="00DB3A88" w:rsidRPr="00FD545F" w:rsidRDefault="00DB3A88" w:rsidP="00ED40E7">
            <w:pPr>
              <w:widowControl/>
              <w:spacing w:line="240" w:lineRule="exact"/>
              <w:rPr>
                <w:rFonts w:ascii="Times New Roman" w:eastAsia="ＭＳ Ｐゴシック" w:hAnsi="Times New Roman" w:cs="Times New Roman"/>
                <w:color w:val="000000"/>
                <w:kern w:val="0"/>
                <w:sz w:val="18"/>
                <w:szCs w:val="18"/>
                <w:lang w:val="en-US"/>
              </w:rPr>
            </w:pPr>
            <w:r w:rsidRPr="00FD545F">
              <w:rPr>
                <w:rFonts w:ascii="Times New Roman" w:eastAsia="ＭＳ Ｐゴシック" w:hAnsi="Times New Roman" w:cs="Times New Roman"/>
                <w:color w:val="000000"/>
                <w:kern w:val="0"/>
                <w:sz w:val="18"/>
                <w:szCs w:val="18"/>
                <w:lang w:val="en-US"/>
              </w:rPr>
              <w:t>The proportion of children under age 5 with diarrhoea in the last 2 weeks who received oral rehydration therapy (oral rehydration solution, ORS packet, pre-packaged ORS fluid, home-made ORS, any ORS, recommended homemade fluid or increased fluids) and continued feeding during the episode of diarrhoea</w:t>
            </w:r>
          </w:p>
        </w:tc>
      </w:tr>
    </w:tbl>
    <w:p w14:paraId="65C5B5E3" w14:textId="07D6AA12" w:rsidR="00DB3A88" w:rsidRPr="00FD545F" w:rsidRDefault="00DB3A88" w:rsidP="00DB3A88">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ANC1, at least one antenatal care visit; ANC4, at least four antenatal care visits; IPV, inactivated polio vaccine; OPV, oral polio vaccine; ARI treatment, acute respiratory infection treatment for pneumonia  </w:t>
      </w:r>
    </w:p>
    <w:p w14:paraId="51471847" w14:textId="7B8A41C5" w:rsidR="00DB3A88" w:rsidRPr="00FD545F" w:rsidRDefault="00DB3A88">
      <w:pPr>
        <w:widowControl/>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br w:type="page"/>
      </w:r>
    </w:p>
    <w:p w14:paraId="054116A0" w14:textId="46BBACD0" w:rsidR="00BD7D3C" w:rsidRPr="00FD545F" w:rsidRDefault="00BD7D3C" w:rsidP="00BD7D3C">
      <w:pPr>
        <w:pStyle w:val="a3"/>
        <w:jc w:val="left"/>
        <w:rPr>
          <w:rFonts w:ascii="Times New Roman" w:hAnsi="Times New Roman" w:cs="Times New Roman"/>
          <w:b/>
          <w:bCs/>
          <w:sz w:val="24"/>
          <w:szCs w:val="24"/>
        </w:rPr>
      </w:pPr>
      <w:bookmarkStart w:id="3" w:name="_Hlk75047208"/>
      <w:r w:rsidRPr="00FD545F">
        <w:rPr>
          <w:rFonts w:ascii="Times New Roman" w:hAnsi="Times New Roman" w:cs="Times New Roman"/>
          <w:b/>
          <w:bCs/>
          <w:sz w:val="24"/>
          <w:szCs w:val="24"/>
        </w:rPr>
        <w:lastRenderedPageBreak/>
        <w:t xml:space="preserve">Appendix section </w:t>
      </w:r>
      <w:r w:rsidR="004D7032" w:rsidRPr="00FD545F">
        <w:rPr>
          <w:rFonts w:ascii="Times New Roman" w:hAnsi="Times New Roman" w:cs="Times New Roman"/>
          <w:b/>
          <w:bCs/>
          <w:sz w:val="24"/>
          <w:szCs w:val="24"/>
        </w:rPr>
        <w:t>3</w:t>
      </w:r>
      <w:bookmarkEnd w:id="3"/>
      <w:r w:rsidRPr="00FD545F">
        <w:rPr>
          <w:rFonts w:ascii="Times New Roman" w:hAnsi="Times New Roman" w:cs="Times New Roman"/>
          <w:b/>
          <w:bCs/>
          <w:sz w:val="24"/>
          <w:szCs w:val="24"/>
        </w:rPr>
        <w:t xml:space="preserve">: The definitions of household consumption expenditure and out-of-pocket health payment, estimation of financial burden and </w:t>
      </w:r>
      <w:r w:rsidRPr="00FD545F">
        <w:rPr>
          <w:rFonts w:ascii="Times New Roman" w:hAnsi="Times New Roman" w:cs="Times New Roman"/>
          <w:b/>
          <w:bCs/>
          <w:kern w:val="0"/>
          <w:sz w:val="24"/>
          <w:szCs w:val="24"/>
          <w:lang w:val="en-US"/>
        </w:rPr>
        <w:t>incid</w:t>
      </w:r>
      <w:r w:rsidRPr="00FD545F">
        <w:rPr>
          <w:rFonts w:ascii="Times New Roman" w:hAnsi="Times New Roman" w:cs="Times New Roman"/>
          <w:b/>
          <w:bCs/>
          <w:color w:val="000000"/>
          <w:kern w:val="0"/>
          <w:sz w:val="24"/>
          <w:szCs w:val="24"/>
          <w:lang w:val="en-US"/>
        </w:rPr>
        <w:t>ence of catastrophic health expenditure at different threshold</w:t>
      </w:r>
    </w:p>
    <w:p w14:paraId="2D0DB50B" w14:textId="77777777" w:rsidR="00BD7D3C" w:rsidRPr="00FD545F" w:rsidRDefault="00BD7D3C" w:rsidP="00BD7D3C">
      <w:pPr>
        <w:pStyle w:val="a3"/>
        <w:jc w:val="left"/>
        <w:rPr>
          <w:rFonts w:ascii="Times New Roman" w:hAnsi="Times New Roman" w:cs="Times New Roman"/>
          <w:b/>
          <w:bCs/>
          <w:sz w:val="20"/>
          <w:szCs w:val="20"/>
        </w:rPr>
      </w:pPr>
    </w:p>
    <w:p w14:paraId="01E73454" w14:textId="77777777" w:rsidR="00BD7D3C" w:rsidRPr="00FD545F" w:rsidRDefault="00BD7D3C" w:rsidP="00BD7D3C">
      <w:pPr>
        <w:pStyle w:val="a3"/>
        <w:jc w:val="left"/>
        <w:rPr>
          <w:rFonts w:ascii="Times New Roman" w:hAnsi="Times New Roman" w:cs="Times New Roman"/>
          <w:b/>
          <w:bCs/>
          <w:color w:val="000000" w:themeColor="text1"/>
          <w:sz w:val="22"/>
        </w:rPr>
      </w:pPr>
      <w:r w:rsidRPr="00FD545F">
        <w:rPr>
          <w:rFonts w:ascii="Times New Roman" w:hAnsi="Times New Roman" w:cs="Times New Roman"/>
          <w:b/>
          <w:bCs/>
          <w:color w:val="000000" w:themeColor="text1"/>
          <w:sz w:val="22"/>
        </w:rPr>
        <w:t>Household consumption expenditure</w:t>
      </w:r>
    </w:p>
    <w:p w14:paraId="1DCF1904" w14:textId="2DD34923" w:rsidR="00BD7D3C" w:rsidRPr="00FD545F" w:rsidRDefault="00BD7D3C" w:rsidP="00BD7D3C">
      <w:pPr>
        <w:pStyle w:val="a3"/>
        <w:jc w:val="left"/>
        <w:rPr>
          <w:rFonts w:ascii="Times New Roman" w:hAnsi="Times New Roman" w:cs="Times New Roman"/>
          <w:sz w:val="22"/>
        </w:rPr>
      </w:pPr>
      <w:r w:rsidRPr="00FD545F">
        <w:rPr>
          <w:rFonts w:ascii="Times New Roman" w:hAnsi="Times New Roman" w:cs="Times New Roman"/>
          <w:sz w:val="22"/>
        </w:rPr>
        <w:t>On the basis of The World Bank’s guidelines for constructing consumption aggregates</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r>
      <w:r w:rsidR="00EB7016">
        <w:rPr>
          <w:rFonts w:ascii="Times New Roman" w:hAnsi="Times New Roman" w:cs="Times New Roman"/>
          <w:sz w:val="22"/>
        </w:rPr>
        <w:instrText xml:space="preserve"> ADDIN EN.CITE &lt;EndNote&gt;&lt;Cite&gt;&lt;Author&gt;O&amp;apos;Donnell&lt;/Author&gt;&lt;Year&gt;2008&lt;/Year&gt;&lt;IDText&gt;Analyzing Health Equity Using Household Survey Data: A Guide to Techniques and Their Implementation&lt;/IDText&gt;&lt;DisplayText&gt;[2]&lt;/DisplayText&gt;&lt;record&gt;&lt;urls&gt;&lt;related-urls&gt;&lt;url&gt;https://openknowledge.worldbank.org/handle/10986/6896&lt;/url&gt;&lt;/related-urls&gt;&lt;/urls&gt;&lt;titles&gt;&lt;title&gt;Analyzing Health Equity Using Household Survey Data: A Guide to Techniques and Their Implementation&lt;/title&gt;&lt;/titles&gt;&lt;pages&gt;234&lt;/pages&gt;&lt;contributors&gt;&lt;authors&gt;&lt;author&gt;O&amp;apos;Donnell, Owen&lt;/author&gt;&lt;author&gt;van Doorslaer, Eddy&lt;/author&gt;&lt;author&gt;Wagstaff, Adam&lt;/author&gt;&lt;author&gt;Lindelow, Magnus&lt;/author&gt;&lt;/authors&gt;&lt;/contributors&gt;&lt;added-date format="utc"&gt;1575583492&lt;/added-date&gt;&lt;pub-location&gt;Washington, DC&lt;/pub-location&gt;&lt;ref-type name="Book"&gt;6&lt;/ref-type&gt;&lt;dates&gt;&lt;year&gt;2008&lt;/year&gt;&lt;/dates&gt;&lt;rec-number&gt;387&lt;/rec-number&gt;&lt;publisher&gt;The World Bank&lt;/publisher&gt;&lt;last-updated-date format="utc"&gt;1612349166&lt;/last-updated-date&gt;&lt;/record&gt;&lt;/Cite&gt;&lt;/EndNote&gt;</w:instrText>
      </w:r>
      <w:r w:rsidRPr="00FD545F">
        <w:rPr>
          <w:rFonts w:ascii="Times New Roman" w:hAnsi="Times New Roman" w:cs="Times New Roman"/>
          <w:sz w:val="22"/>
        </w:rPr>
        <w:fldChar w:fldCharType="separate"/>
      </w:r>
      <w:r w:rsidR="00EB7016">
        <w:rPr>
          <w:rFonts w:ascii="Times New Roman" w:hAnsi="Times New Roman" w:cs="Times New Roman"/>
          <w:noProof/>
          <w:sz w:val="22"/>
        </w:rPr>
        <w:t>[2]</w:t>
      </w:r>
      <w:r w:rsidRPr="00FD545F">
        <w:rPr>
          <w:rFonts w:ascii="Times New Roman" w:hAnsi="Times New Roman" w:cs="Times New Roman"/>
          <w:sz w:val="22"/>
        </w:rPr>
        <w:fldChar w:fldCharType="end"/>
      </w:r>
      <w:r w:rsidR="00483EF6">
        <w:rPr>
          <w:rFonts w:ascii="Times New Roman" w:hAnsi="Times New Roman" w:cs="Times New Roman"/>
          <w:sz w:val="22"/>
        </w:rPr>
        <w:t>,</w:t>
      </w:r>
      <w:r w:rsidRPr="00FD545F">
        <w:rPr>
          <w:rFonts w:ascii="Times New Roman" w:hAnsi="Times New Roman" w:cs="Times New Roman"/>
          <w:sz w:val="22"/>
        </w:rPr>
        <w:t xml:space="preserve"> a household’s total consumption expenditure was estimated as the aggregate of food consumption expenditure, non-food consumption expenditure, housing expenditure and user cost of durable goods. Non-food consumption expenditure included expenditures for utilities, household goods, clothing, education, transportation, and health. Aggregated expenditure was multiplied with the equivalent household size to estimate total household expenditure.</w:t>
      </w:r>
    </w:p>
    <w:p w14:paraId="2CFF5F29" w14:textId="77777777" w:rsidR="00BD7D3C" w:rsidRPr="00FD545F" w:rsidRDefault="00BD7D3C" w:rsidP="00BD7D3C">
      <w:pPr>
        <w:pStyle w:val="a3"/>
        <w:jc w:val="left"/>
        <w:rPr>
          <w:rFonts w:ascii="Times New Roman" w:hAnsi="Times New Roman" w:cs="Times New Roman"/>
          <w:sz w:val="22"/>
        </w:rPr>
      </w:pPr>
    </w:p>
    <w:p w14:paraId="5BF274EB" w14:textId="77777777" w:rsidR="00BD7D3C" w:rsidRPr="00FD545F" w:rsidRDefault="00BD7D3C" w:rsidP="00BD7D3C">
      <w:pPr>
        <w:pStyle w:val="a3"/>
        <w:jc w:val="left"/>
        <w:rPr>
          <w:rFonts w:ascii="Times New Roman" w:eastAsia="ＭＳ Ｐゴシック" w:hAnsi="Times New Roman" w:cs="Times New Roman"/>
          <w:b/>
          <w:bCs/>
          <w:color w:val="000000"/>
          <w:kern w:val="0"/>
          <w:sz w:val="22"/>
          <w:lang w:val="en-US"/>
        </w:rPr>
      </w:pPr>
      <w:r w:rsidRPr="00FD545F">
        <w:rPr>
          <w:rFonts w:ascii="Times New Roman" w:eastAsia="ＭＳ Ｐゴシック" w:hAnsi="Times New Roman" w:cs="Times New Roman"/>
          <w:b/>
          <w:bCs/>
          <w:color w:val="000000"/>
          <w:kern w:val="0"/>
          <w:sz w:val="22"/>
          <w:lang w:val="en-US"/>
        </w:rPr>
        <w:t>OOP health payment</w:t>
      </w:r>
    </w:p>
    <w:p w14:paraId="7F7C5114" w14:textId="78FF3919" w:rsidR="00BD7D3C" w:rsidRPr="00FD545F" w:rsidRDefault="00BD7D3C" w:rsidP="00BD7D3C">
      <w:pPr>
        <w:pStyle w:val="a3"/>
        <w:jc w:val="left"/>
        <w:rPr>
          <w:rFonts w:ascii="Times New Roman" w:hAnsi="Times New Roman" w:cs="Times New Roman"/>
          <w:sz w:val="22"/>
        </w:rPr>
      </w:pPr>
      <w:r w:rsidRPr="00FD545F">
        <w:rPr>
          <w:rFonts w:ascii="Times New Roman" w:hAnsi="Times New Roman" w:cs="Times New Roman"/>
          <w:color w:val="000000" w:themeColor="text1"/>
          <w:sz w:val="22"/>
        </w:rPr>
        <w:t>OOP health pa</w:t>
      </w:r>
      <w:r w:rsidRPr="00FD545F">
        <w:rPr>
          <w:rFonts w:ascii="Times New Roman" w:hAnsi="Times New Roman" w:cs="Times New Roman"/>
          <w:sz w:val="22"/>
        </w:rPr>
        <w:t>yment was set as health expenditure in Household Socio-Economic Survey (HSES) of Iraq in 2006-2007 and 2012. It was the total amount which a household paid when they receive health services. It includes fees for consultation, diagnostic, treatment as well as hospital bills and purchase of medicines including alternative and traditional medicines. In HSES, transportation fees and purchase of special nutritional supplements were not included as proposed by the WHO</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r>
      <w:r w:rsidR="00EB7016">
        <w:rPr>
          <w:rFonts w:ascii="Times New Roman" w:hAnsi="Times New Roman" w:cs="Times New Roman"/>
          <w:sz w:val="22"/>
        </w:rPr>
        <w:instrText xml:space="preserve"> ADDIN EN.CITE &lt;EndNote&gt;&lt;Cite&gt;&lt;Author&gt;World Health Organization&lt;/Author&gt;&lt;Year&gt;2005&lt;/Year&gt;&lt;IDText&gt;Distribution of health payments and catastrophic expenditures Methodology / by Ke Xu&lt;/IDText&gt;&lt;DisplayText&gt;[3]&lt;/DisplayText&gt;&lt;record&gt;&lt;dates&gt;&lt;pub-dates&gt;&lt;date&gt;2005&lt;/date&gt;&lt;/pub-dates&gt;&lt;year&gt;2005&lt;/year&gt;&lt;/dates&gt;&lt;keywords&gt;&lt;keyword&gt;Insurance, Major Medical&lt;/keyword&gt;&lt;keyword&gt;Socioeconomic Factors&lt;/keyword&gt;&lt;keyword&gt;Economics&lt;/keyword&gt;&lt;keyword&gt;Data Collection&lt;/keyword&gt;&lt;keyword&gt;methods&lt;/keyword&gt;&lt;/keywords&gt;&lt;urls&gt;&lt;related-urls&gt;&lt;url&gt;https://apps.who.int/iris/handle/10665/69030&lt;/url&gt;&lt;/related-urls&gt;&lt;/urls&gt;&lt;titles&gt;&lt;title&gt;Distribution of health payments and catastrophic expenditures Methodology / by Ke Xu&lt;/title&gt;&lt;alt-title&gt;Distribución del gasto en salud y gastos catastróficos: metodología&lt;/alt-title&gt;&lt;tertiary-title&gt;FER/EIP discussion paper ; no.2&lt;/tertiary-title&gt;&lt;/titles&gt;&lt;number&gt;EIP/FER/DP.05.2&lt;/number&gt;&lt;contributors&gt;&lt;authors&gt;&lt;author&gt;World Health Organization,&lt;/author&gt;&lt;/authors&gt;&lt;/contributors&gt;&lt;section&gt;EIP/FER/DP.05.2&amp;#xD;11 p.&amp;#xD;English-Online-&lt;/section&gt;&lt;language&gt;en&lt;/language&gt;&lt;added-date format="utc"&gt;1608509247&lt;/added-date&gt;&lt;pub-location&gt;Geneva&lt;/pub-location&gt;&lt;ref-type name="Generic"&gt;13&lt;/ref-type&gt;&lt;remote-database-provider&gt;http://apps.who.int/iris/&lt;/remote-database-provider&gt;&lt;rec-number&gt;1095&lt;/rec-number&gt;&lt;publisher&gt;World Health Organization&lt;/publisher&gt;&lt;last-updated-date format="utc"&gt;1608897964&lt;/last-updated-date&gt;&lt;remote-database-name&gt;WHO IRIS&lt;/remote-database-name&gt;&lt;/record&gt;&lt;/Cite&gt;&lt;/EndNote&gt;</w:instrText>
      </w:r>
      <w:r w:rsidRPr="00FD545F">
        <w:rPr>
          <w:rFonts w:ascii="Times New Roman" w:hAnsi="Times New Roman" w:cs="Times New Roman"/>
          <w:sz w:val="22"/>
        </w:rPr>
        <w:fldChar w:fldCharType="separate"/>
      </w:r>
      <w:r w:rsidR="00EB7016">
        <w:rPr>
          <w:rFonts w:ascii="Times New Roman" w:hAnsi="Times New Roman" w:cs="Times New Roman"/>
          <w:noProof/>
          <w:sz w:val="22"/>
        </w:rPr>
        <w:t>[3]</w:t>
      </w:r>
      <w:r w:rsidRPr="00FD545F">
        <w:rPr>
          <w:rFonts w:ascii="Times New Roman" w:hAnsi="Times New Roman" w:cs="Times New Roman"/>
          <w:sz w:val="22"/>
        </w:rPr>
        <w:fldChar w:fldCharType="end"/>
      </w:r>
      <w:r w:rsidR="00483EF6">
        <w:rPr>
          <w:rFonts w:ascii="Times New Roman" w:hAnsi="Times New Roman" w:cs="Times New Roman"/>
          <w:sz w:val="22"/>
        </w:rPr>
        <w:t>.</w:t>
      </w:r>
      <w:r w:rsidRPr="00FD545F">
        <w:rPr>
          <w:rFonts w:ascii="Times New Roman" w:hAnsi="Times New Roman" w:cs="Times New Roman"/>
          <w:sz w:val="22"/>
        </w:rPr>
        <w:t xml:space="preserve"> It was also multiplied the equivalent household size.</w:t>
      </w:r>
    </w:p>
    <w:p w14:paraId="5F3F7A2E" w14:textId="77777777" w:rsidR="00BD7D3C" w:rsidRPr="00FD545F" w:rsidRDefault="00BD7D3C" w:rsidP="00BD7D3C">
      <w:pPr>
        <w:pStyle w:val="a3"/>
        <w:rPr>
          <w:rFonts w:ascii="Times New Roman" w:hAnsi="Times New Roman" w:cs="Times New Roman"/>
          <w:sz w:val="22"/>
        </w:rPr>
      </w:pPr>
    </w:p>
    <w:p w14:paraId="213F11C0" w14:textId="079247B3" w:rsidR="00BD7D3C" w:rsidRPr="00FD545F" w:rsidRDefault="00BD7D3C" w:rsidP="00BD7D3C">
      <w:pPr>
        <w:pStyle w:val="a3"/>
        <w:jc w:val="left"/>
        <w:rPr>
          <w:rFonts w:ascii="Times New Roman" w:hAnsi="Times New Roman" w:cs="Times New Roman"/>
          <w:sz w:val="22"/>
        </w:rPr>
      </w:pPr>
      <w:r w:rsidRPr="00FD545F">
        <w:rPr>
          <w:rFonts w:ascii="Times New Roman" w:hAnsi="Times New Roman" w:cs="Times New Roman"/>
          <w:b/>
          <w:bCs/>
          <w:sz w:val="22"/>
          <w:shd w:val="clear" w:color="auto" w:fill="FFFFFF"/>
        </w:rPr>
        <w:t xml:space="preserve">Measurement of catastrophic health expenditure </w:t>
      </w:r>
      <w:r w:rsidRPr="00FD545F">
        <w:rPr>
          <w:rFonts w:ascii="Times New Roman" w:hAnsi="Times New Roman" w:cs="Times New Roman"/>
          <w:sz w:val="22"/>
          <w:shd w:val="clear" w:color="auto" w:fill="FFFFFF"/>
        </w:rPr>
        <w:fldChar w:fldCharType="begin">
          <w:fldData xml:space="preserve">PEVuZE5vdGU+PENpdGU+PEF1dGhvcj5Xb3JsZCBIZWFsdGggT3JnYW5pc2F0aW9uPC9BdXRob3I+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=
</w:fldData>
        </w:fldChar>
      </w:r>
      <w:r w:rsidR="00EB7016">
        <w:rPr>
          <w:rFonts w:ascii="Times New Roman" w:hAnsi="Times New Roman" w:cs="Times New Roman"/>
          <w:sz w:val="22"/>
          <w:shd w:val="clear" w:color="auto" w:fill="FFFFFF"/>
        </w:rPr>
        <w:instrText xml:space="preserve"> ADDIN EN.CITE </w:instrText>
      </w:r>
      <w:r w:rsidR="00EB7016">
        <w:rPr>
          <w:rFonts w:ascii="Times New Roman" w:hAnsi="Times New Roman" w:cs="Times New Roman"/>
          <w:sz w:val="22"/>
          <w:shd w:val="clear" w:color="auto" w:fill="FFFFFF"/>
        </w:rPr>
        <w:fldChar w:fldCharType="begin">
          <w:fldData xml:space="preserve">PEVuZE5vdGU+PENpdGU+PEF1dGhvcj5Xb3JsZCBIZWFsdGggT3JnYW5pc2F0aW9uPC9BdXRob3I+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=
</w:fldData>
        </w:fldChar>
      </w:r>
      <w:r w:rsidR="00EB7016">
        <w:rPr>
          <w:rFonts w:ascii="Times New Roman" w:hAnsi="Times New Roman" w:cs="Times New Roman"/>
          <w:sz w:val="22"/>
          <w:shd w:val="clear" w:color="auto" w:fill="FFFFFF"/>
        </w:rPr>
        <w:instrText xml:space="preserve"> ADDIN EN.CITE.DATA </w:instrText>
      </w:r>
      <w:r w:rsidR="00EB7016">
        <w:rPr>
          <w:rFonts w:ascii="Times New Roman" w:hAnsi="Times New Roman" w:cs="Times New Roman"/>
          <w:sz w:val="22"/>
          <w:shd w:val="clear" w:color="auto" w:fill="FFFFFF"/>
        </w:rPr>
      </w:r>
      <w:r w:rsidR="00EB7016">
        <w:rPr>
          <w:rFonts w:ascii="Times New Roman" w:hAnsi="Times New Roman" w:cs="Times New Roman"/>
          <w:sz w:val="22"/>
          <w:shd w:val="clear" w:color="auto" w:fill="FFFFFF"/>
        </w:rPr>
        <w:fldChar w:fldCharType="end"/>
      </w:r>
      <w:r w:rsidRPr="00FD545F">
        <w:rPr>
          <w:rFonts w:ascii="Times New Roman" w:hAnsi="Times New Roman" w:cs="Times New Roman"/>
          <w:sz w:val="22"/>
          <w:shd w:val="clear" w:color="auto" w:fill="FFFFFF"/>
        </w:rPr>
      </w:r>
      <w:r w:rsidRPr="00FD545F">
        <w:rPr>
          <w:rFonts w:ascii="Times New Roman" w:hAnsi="Times New Roman" w:cs="Times New Roman"/>
          <w:sz w:val="22"/>
          <w:shd w:val="clear" w:color="auto" w:fill="FFFFFF"/>
        </w:rPr>
        <w:fldChar w:fldCharType="separate"/>
      </w:r>
      <w:r w:rsidR="00EB7016">
        <w:rPr>
          <w:rFonts w:ascii="Times New Roman" w:hAnsi="Times New Roman" w:cs="Times New Roman"/>
          <w:noProof/>
          <w:sz w:val="22"/>
          <w:shd w:val="clear" w:color="auto" w:fill="FFFFFF"/>
        </w:rPr>
        <w:t>[4, 5]</w:t>
      </w:r>
      <w:r w:rsidRPr="00FD545F">
        <w:rPr>
          <w:rFonts w:ascii="Times New Roman" w:hAnsi="Times New Roman" w:cs="Times New Roman"/>
          <w:sz w:val="22"/>
          <w:shd w:val="clear" w:color="auto" w:fill="FFFFFF"/>
        </w:rPr>
        <w:fldChar w:fldCharType="end"/>
      </w:r>
    </w:p>
    <w:p w14:paraId="0B98C0D4" w14:textId="77777777" w:rsidR="00BD7D3C" w:rsidRPr="006E6F60" w:rsidRDefault="00BD7D3C" w:rsidP="00BD7D3C">
      <w:pPr>
        <w:pStyle w:val="a3"/>
        <w:rPr>
          <w:rFonts w:ascii="Times New Roman" w:hAnsi="Times New Roman" w:cs="Times New Roman"/>
          <w:color w:val="000000" w:themeColor="text1"/>
          <w:sz w:val="22"/>
        </w:rPr>
      </w:pPr>
      <m:oMathPara>
        <m:oMath>
          <m:r>
            <w:rPr>
              <w:rFonts w:ascii="Cambria Math" w:hAnsi="Cambria Math" w:cs="Times New Roman"/>
              <w:color w:val="000000" w:themeColor="text1"/>
              <w:sz w:val="22"/>
            </w:rPr>
            <m:t>C</m:t>
          </m:r>
          <m:r>
            <w:rPr>
              <w:rFonts w:ascii="Cambria Math" w:hAnsi="Cambria Math" w:cs="Times New Roman"/>
              <w:color w:val="000000" w:themeColor="text1"/>
              <w:sz w:val="22"/>
            </w:rPr>
            <m:t>atastrophic health expenditure=</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OOP payment</m:t>
              </m:r>
            </m:num>
            <m:den>
              <m:r>
                <w:rPr>
                  <w:rFonts w:ascii="Cambria Math" w:hAnsi="Cambria Math" w:cs="Times New Roman"/>
                  <w:color w:val="000000" w:themeColor="text1"/>
                  <w:sz w:val="22"/>
                </w:rPr>
                <m:t>Household consumption</m:t>
              </m:r>
            </m:den>
          </m:f>
          <m:r>
            <w:rPr>
              <w:rFonts w:ascii="Cambria Math" w:hAnsi="Cambria Math" w:cs="Times New Roman"/>
              <w:color w:val="000000" w:themeColor="text1"/>
              <w:sz w:val="22"/>
            </w:rPr>
            <m:t>&gt;X</m:t>
          </m:r>
        </m:oMath>
      </m:oMathPara>
    </w:p>
    <w:p w14:paraId="1EA702B8" w14:textId="3F02397F" w:rsidR="00BD7D3C" w:rsidRDefault="00BD7D3C" w:rsidP="00BD7D3C">
      <w:pPr>
        <w:pStyle w:val="a3"/>
        <w:rPr>
          <w:rFonts w:ascii="Times New Roman" w:hAnsi="Times New Roman" w:cs="Times New Roman"/>
          <w:color w:val="000000" w:themeColor="text1"/>
          <w:sz w:val="22"/>
        </w:rPr>
      </w:pPr>
      <w:r w:rsidRPr="006E6F60">
        <w:rPr>
          <w:rFonts w:ascii="Times New Roman" w:hAnsi="Times New Roman" w:cs="Times New Roman"/>
          <w:sz w:val="22"/>
        </w:rPr>
        <w:t>where X is the threshold.</w:t>
      </w:r>
      <w:r w:rsidR="00513940" w:rsidRPr="006E6F60">
        <w:rPr>
          <w:rFonts w:ascii="Times New Roman" w:hAnsi="Times New Roman" w:cs="Times New Roman"/>
          <w:sz w:val="22"/>
        </w:rPr>
        <w:t xml:space="preserve"> The selection of the threshold </w:t>
      </w:r>
      <w:r w:rsidR="00506302" w:rsidRPr="006E6F60">
        <w:rPr>
          <w:rFonts w:ascii="Times New Roman" w:hAnsi="Times New Roman" w:cs="Times New Roman"/>
          <w:sz w:val="22"/>
        </w:rPr>
        <w:t xml:space="preserve">has </w:t>
      </w:r>
      <w:r w:rsidR="00A16C71" w:rsidRPr="006E6F60">
        <w:rPr>
          <w:rFonts w:ascii="Times New Roman" w:hAnsi="Times New Roman" w:cs="Times New Roman"/>
          <w:sz w:val="22"/>
        </w:rPr>
        <w:t>varie</w:t>
      </w:r>
      <w:r w:rsidR="00506302" w:rsidRPr="006E6F60">
        <w:rPr>
          <w:rFonts w:ascii="Times New Roman" w:hAnsi="Times New Roman" w:cs="Times New Roman"/>
          <w:sz w:val="22"/>
        </w:rPr>
        <w:t>d</w:t>
      </w:r>
      <w:r w:rsidR="00513940" w:rsidRPr="006E6F60">
        <w:rPr>
          <w:rFonts w:ascii="Times New Roman" w:hAnsi="Times New Roman" w:cs="Times New Roman"/>
          <w:sz w:val="22"/>
        </w:rPr>
        <w:t xml:space="preserve"> widely. </w:t>
      </w:r>
      <w:r w:rsidR="00EC0455" w:rsidRPr="006E6F60">
        <w:rPr>
          <w:rFonts w:ascii="Times New Roman" w:hAnsi="Times New Roman" w:cs="Times New Roman"/>
          <w:sz w:val="22"/>
        </w:rPr>
        <w:t>We understand that there are studies which use 40% of non-food expenditure to capture the fact that poorer households have fewer resources to devote to non-nutritional needs [1]. However, in some countries or areas, other non-discretionary spending, for example, shelter and hea</w:t>
      </w:r>
      <w:r w:rsidR="002D3C30" w:rsidRPr="006E6F60">
        <w:rPr>
          <w:rFonts w:ascii="Times New Roman" w:hAnsi="Times New Roman" w:cs="Times New Roman"/>
          <w:sz w:val="22"/>
        </w:rPr>
        <w:t>t</w:t>
      </w:r>
      <w:r w:rsidR="00EC0455" w:rsidRPr="006E6F60">
        <w:rPr>
          <w:rFonts w:ascii="Times New Roman" w:hAnsi="Times New Roman" w:cs="Times New Roman"/>
          <w:sz w:val="22"/>
        </w:rPr>
        <w:t xml:space="preserve">ing, is relatively even more important than food expenditure, including for poor populations, and </w:t>
      </w:r>
      <w:r w:rsidR="00850BF2" w:rsidRPr="006E6F60">
        <w:rPr>
          <w:rFonts w:ascii="Times New Roman" w:hAnsi="Times New Roman" w:cs="Times New Roman"/>
          <w:sz w:val="22"/>
        </w:rPr>
        <w:t>any</w:t>
      </w:r>
      <w:r w:rsidR="00EC0455" w:rsidRPr="006E6F60">
        <w:rPr>
          <w:rFonts w:ascii="Times New Roman" w:hAnsi="Times New Roman" w:cs="Times New Roman"/>
          <w:sz w:val="22"/>
        </w:rPr>
        <w:t xml:space="preserve"> </w:t>
      </w:r>
      <w:r w:rsidR="002D3C30" w:rsidRPr="006E6F60">
        <w:rPr>
          <w:rFonts w:ascii="Times New Roman" w:hAnsi="Times New Roman" w:cs="Times New Roman"/>
          <w:sz w:val="22"/>
        </w:rPr>
        <w:t>thresholds</w:t>
      </w:r>
      <w:r w:rsidR="00850BF2" w:rsidRPr="006E6F60">
        <w:rPr>
          <w:rFonts w:ascii="Times New Roman" w:hAnsi="Times New Roman" w:cs="Times New Roman"/>
          <w:sz w:val="22"/>
        </w:rPr>
        <w:t xml:space="preserve"> are</w:t>
      </w:r>
      <w:r w:rsidR="00EC0455" w:rsidRPr="006E6F60">
        <w:rPr>
          <w:rFonts w:ascii="Times New Roman" w:hAnsi="Times New Roman" w:cs="Times New Roman"/>
          <w:sz w:val="22"/>
        </w:rPr>
        <w:t xml:space="preserve"> </w:t>
      </w:r>
      <w:r w:rsidR="00850BF2" w:rsidRPr="006E6F60">
        <w:rPr>
          <w:rFonts w:ascii="Times New Roman" w:hAnsi="Times New Roman" w:cs="Times New Roman"/>
          <w:sz w:val="22"/>
        </w:rPr>
        <w:t xml:space="preserve">not </w:t>
      </w:r>
      <w:r w:rsidR="00EC0455" w:rsidRPr="006E6F60">
        <w:rPr>
          <w:rFonts w:ascii="Times New Roman" w:hAnsi="Times New Roman" w:cs="Times New Roman"/>
          <w:sz w:val="22"/>
        </w:rPr>
        <w:t>universally applicable [1, 2]. Therefore, i</w:t>
      </w:r>
      <w:r w:rsidR="00513940" w:rsidRPr="006E6F60">
        <w:rPr>
          <w:rFonts w:ascii="Times New Roman" w:hAnsi="Times New Roman" w:cs="Times New Roman"/>
          <w:sz w:val="22"/>
        </w:rPr>
        <w:t xml:space="preserve">n line with Sustainable Development Goal (SDG) UHC indicator 3.8.2 and other studies </w:t>
      </w:r>
      <w:r w:rsidR="00513940" w:rsidRPr="006E6F60">
        <w:rPr>
          <w:rFonts w:ascii="Times New Roman" w:hAnsi="Times New Roman" w:cs="Times New Roman"/>
          <w:sz w:val="22"/>
          <w:shd w:val="clear" w:color="auto" w:fill="FFFFFF"/>
        </w:rPr>
        <w:fldChar w:fldCharType="begin">
          <w:fldData xml:space="preserve">PEVuZE5vdGU+PENpdGU+PEF1dGhvcj5Xb3JsZCBIZWFsdGggT3JnYW5pc2F0aW9uPC9BdXRob3I+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</w:fldData>
        </w:fldChar>
      </w:r>
      <w:r w:rsidR="00513940" w:rsidRPr="006E6F60">
        <w:rPr>
          <w:rFonts w:ascii="Times New Roman" w:hAnsi="Times New Roman" w:cs="Times New Roman"/>
          <w:sz w:val="22"/>
          <w:shd w:val="clear" w:color="auto" w:fill="FFFFFF"/>
        </w:rPr>
        <w:instrText xml:space="preserve"> ADDIN EN.CITE </w:instrText>
      </w:r>
      <w:r w:rsidR="00513940" w:rsidRPr="006E6F60">
        <w:rPr>
          <w:rFonts w:ascii="Times New Roman" w:hAnsi="Times New Roman" w:cs="Times New Roman"/>
          <w:sz w:val="22"/>
          <w:shd w:val="clear" w:color="auto" w:fill="FFFFFF"/>
        </w:rPr>
        <w:fldChar w:fldCharType="begin">
          <w:fldData xml:space="preserve">PEVuZE5vdGU+PENpdGU+PEF1dGhvcj5Xb3JsZCBIZWFsdGggT3JnYW5pc2F0aW9uPC9BdXRob3I+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</w:fldData>
        </w:fldChar>
      </w:r>
      <w:r w:rsidR="00513940" w:rsidRPr="006E6F60">
        <w:rPr>
          <w:rFonts w:ascii="Times New Roman" w:hAnsi="Times New Roman" w:cs="Times New Roman"/>
          <w:sz w:val="22"/>
          <w:shd w:val="clear" w:color="auto" w:fill="FFFFFF"/>
        </w:rPr>
        <w:instrText xml:space="preserve"> ADDIN EN.CITE.DATA </w:instrText>
      </w:r>
      <w:r w:rsidR="00513940" w:rsidRPr="006E6F60">
        <w:rPr>
          <w:rFonts w:ascii="Times New Roman" w:hAnsi="Times New Roman" w:cs="Times New Roman"/>
          <w:sz w:val="22"/>
          <w:shd w:val="clear" w:color="auto" w:fill="FFFFFF"/>
        </w:rPr>
      </w:r>
      <w:r w:rsidR="00513940" w:rsidRPr="006E6F60">
        <w:rPr>
          <w:rFonts w:ascii="Times New Roman" w:hAnsi="Times New Roman" w:cs="Times New Roman"/>
          <w:sz w:val="22"/>
          <w:shd w:val="clear" w:color="auto" w:fill="FFFFFF"/>
        </w:rPr>
        <w:fldChar w:fldCharType="end"/>
      </w:r>
      <w:r w:rsidR="00513940" w:rsidRPr="006E6F60">
        <w:rPr>
          <w:rFonts w:ascii="Times New Roman" w:hAnsi="Times New Roman" w:cs="Times New Roman"/>
          <w:sz w:val="22"/>
          <w:shd w:val="clear" w:color="auto" w:fill="FFFFFF"/>
        </w:rPr>
      </w:r>
      <w:r w:rsidR="00513940" w:rsidRPr="006E6F60">
        <w:rPr>
          <w:rFonts w:ascii="Times New Roman" w:hAnsi="Times New Roman" w:cs="Times New Roman"/>
          <w:sz w:val="22"/>
          <w:shd w:val="clear" w:color="auto" w:fill="FFFFFF"/>
        </w:rPr>
        <w:fldChar w:fldCharType="separate"/>
      </w:r>
      <w:r w:rsidR="00513940" w:rsidRPr="006E6F60">
        <w:rPr>
          <w:rFonts w:ascii="Times New Roman" w:hAnsi="Times New Roman" w:cs="Times New Roman"/>
          <w:noProof/>
          <w:sz w:val="22"/>
          <w:shd w:val="clear" w:color="auto" w:fill="FFFFFF"/>
        </w:rPr>
        <w:t>[4-6]</w:t>
      </w:r>
      <w:r w:rsidR="00513940" w:rsidRPr="006E6F60">
        <w:rPr>
          <w:rFonts w:ascii="Times New Roman" w:hAnsi="Times New Roman" w:cs="Times New Roman"/>
          <w:sz w:val="22"/>
          <w:shd w:val="clear" w:color="auto" w:fill="FFFFFF"/>
        </w:rPr>
        <w:fldChar w:fldCharType="end"/>
      </w:r>
      <w:r w:rsidR="00513940" w:rsidRPr="006E6F60">
        <w:rPr>
          <w:rFonts w:ascii="Times New Roman" w:hAnsi="Times New Roman" w:cs="Times New Roman"/>
          <w:sz w:val="22"/>
        </w:rPr>
        <w:t xml:space="preserve">, in this study we used 10% of total household consumption expenditure to estimate incidence of catastrophic health expenditure at national-, subnational- and place of residence-levels. </w:t>
      </w:r>
      <w:r w:rsidRPr="006E6F60">
        <w:rPr>
          <w:rFonts w:ascii="Times New Roman" w:hAnsi="Times New Roman" w:cs="Times New Roman"/>
          <w:color w:val="000000" w:themeColor="text1"/>
          <w:sz w:val="22"/>
        </w:rPr>
        <w:t xml:space="preserve">In order to compare the findings with other studies, catastrophic health expenditure at </w:t>
      </w:r>
      <w:r w:rsidR="00705F0C" w:rsidRPr="006E6F60">
        <w:rPr>
          <w:rFonts w:ascii="Times New Roman" w:hAnsi="Times New Roman" w:cs="Times New Roman"/>
          <w:color w:val="000000" w:themeColor="text1"/>
          <w:sz w:val="22"/>
        </w:rPr>
        <w:t xml:space="preserve">the </w:t>
      </w:r>
      <w:r w:rsidRPr="006E6F60">
        <w:rPr>
          <w:rFonts w:ascii="Times New Roman" w:hAnsi="Times New Roman" w:cs="Times New Roman"/>
          <w:color w:val="000000" w:themeColor="text1"/>
          <w:sz w:val="22"/>
        </w:rPr>
        <w:t xml:space="preserve">national level was presented for other thresholds using all three denominators in </w:t>
      </w:r>
      <w:r w:rsidR="00513940" w:rsidRPr="006E6F60">
        <w:rPr>
          <w:rFonts w:ascii="Times New Roman" w:hAnsi="Times New Roman" w:cs="Times New Roman"/>
          <w:color w:val="000000" w:themeColor="text1"/>
          <w:sz w:val="22"/>
        </w:rPr>
        <w:t>Table</w:t>
      </w:r>
      <w:r w:rsidR="00B73292" w:rsidRPr="006E6F60">
        <w:rPr>
          <w:rFonts w:ascii="Times New Roman" w:hAnsi="Times New Roman" w:cs="Times New Roman"/>
          <w:color w:val="000000" w:themeColor="text1"/>
          <w:sz w:val="22"/>
        </w:rPr>
        <w:t xml:space="preserve"> A3</w:t>
      </w:r>
      <w:r w:rsidRPr="006E6F60">
        <w:rPr>
          <w:rFonts w:ascii="Times New Roman" w:hAnsi="Times New Roman" w:cs="Times New Roman"/>
          <w:color w:val="000000" w:themeColor="text1"/>
          <w:sz w:val="22"/>
        </w:rPr>
        <w:t>.</w:t>
      </w:r>
    </w:p>
    <w:p w14:paraId="7A610A87" w14:textId="77DDC44B" w:rsidR="00513940" w:rsidRDefault="00513940" w:rsidP="00BD7D3C">
      <w:pPr>
        <w:pStyle w:val="a3"/>
        <w:rPr>
          <w:rFonts w:ascii="Times New Roman" w:hAnsi="Times New Roman" w:cs="Times New Roman"/>
          <w:color w:val="000000" w:themeColor="text1"/>
          <w:sz w:val="22"/>
        </w:rPr>
      </w:pPr>
    </w:p>
    <w:p w14:paraId="11C056C7" w14:textId="1ACDC891" w:rsidR="00513940" w:rsidRDefault="00513940" w:rsidP="00BD7D3C">
      <w:pPr>
        <w:pStyle w:val="a3"/>
        <w:rPr>
          <w:rFonts w:ascii="Times New Roman" w:hAnsi="Times New Roman" w:cs="Times New Roman"/>
          <w:color w:val="000000" w:themeColor="text1"/>
          <w:sz w:val="22"/>
        </w:rPr>
      </w:pPr>
    </w:p>
    <w:p w14:paraId="639425F6" w14:textId="77777777" w:rsidR="00513940" w:rsidRPr="00FD545F" w:rsidRDefault="00513940" w:rsidP="00BD7D3C">
      <w:pPr>
        <w:pStyle w:val="a3"/>
        <w:rPr>
          <w:rFonts w:ascii="Times New Roman" w:hAnsi="Times New Roman" w:cs="Times New Roman"/>
          <w:color w:val="000000" w:themeColor="text1"/>
          <w:sz w:val="22"/>
        </w:rPr>
      </w:pPr>
    </w:p>
    <w:p w14:paraId="0820020C" w14:textId="77777777" w:rsidR="00BD7D3C" w:rsidRPr="00FD545F" w:rsidRDefault="00BD7D3C" w:rsidP="00BD7D3C">
      <w:pPr>
        <w:widowControl/>
        <w:jc w:val="left"/>
        <w:rPr>
          <w:rFonts w:ascii="Times New Roman" w:hAnsi="Times New Roman" w:cs="Times New Roman"/>
          <w:sz w:val="22"/>
        </w:rPr>
      </w:pPr>
      <w:r w:rsidRPr="00FD545F">
        <w:rPr>
          <w:rFonts w:ascii="Times New Roman" w:hAnsi="Times New Roman" w:cs="Times New Roman"/>
          <w:sz w:val="22"/>
        </w:rPr>
        <w:br w:type="page"/>
      </w:r>
    </w:p>
    <w:p w14:paraId="4EFB387C" w14:textId="42CC869D" w:rsidR="00BD7D3C" w:rsidRPr="00FD545F" w:rsidRDefault="00B649D9" w:rsidP="00BD7D3C">
      <w:pPr>
        <w:rPr>
          <w:rFonts w:ascii="Times New Roman" w:hAnsi="Times New Roman" w:cs="Times New Roman"/>
          <w:color w:val="000000"/>
          <w:kern w:val="0"/>
          <w:sz w:val="22"/>
          <w:lang w:val="en-US"/>
        </w:rPr>
      </w:pPr>
      <w:bookmarkStart w:id="4" w:name="_Hlk40689151"/>
      <w:r>
        <w:rPr>
          <w:rFonts w:ascii="Times New Roman" w:hAnsi="Times New Roman" w:cs="Times New Roman"/>
          <w:b/>
          <w:bCs/>
          <w:sz w:val="22"/>
        </w:rPr>
        <w:lastRenderedPageBreak/>
        <w:t>Table</w:t>
      </w:r>
      <w:r w:rsidR="00BD7D3C" w:rsidRPr="00FD545F">
        <w:rPr>
          <w:rFonts w:ascii="Times New Roman" w:hAnsi="Times New Roman" w:cs="Times New Roman"/>
          <w:b/>
          <w:bCs/>
          <w:sz w:val="22"/>
        </w:rPr>
        <w:t xml:space="preserve"> A</w:t>
      </w:r>
      <w:r w:rsidR="004D7032" w:rsidRPr="00FD545F">
        <w:rPr>
          <w:rFonts w:ascii="Times New Roman" w:hAnsi="Times New Roman" w:cs="Times New Roman"/>
          <w:b/>
          <w:bCs/>
          <w:sz w:val="22"/>
        </w:rPr>
        <w:t>3</w:t>
      </w:r>
      <w:r w:rsidR="00BD7D3C" w:rsidRPr="00FD545F">
        <w:rPr>
          <w:rFonts w:ascii="Times New Roman" w:eastAsia="游ゴシック" w:hAnsi="Times New Roman" w:cs="Times New Roman"/>
          <w:b/>
          <w:bCs/>
          <w:kern w:val="0"/>
          <w:sz w:val="22"/>
          <w:lang w:val="en-US"/>
        </w:rPr>
        <w:t xml:space="preserve">: </w:t>
      </w:r>
      <w:r w:rsidR="00BD7D3C" w:rsidRPr="00FD545F">
        <w:rPr>
          <w:rFonts w:ascii="Times New Roman" w:hAnsi="Times New Roman" w:cs="Times New Roman"/>
          <w:b/>
          <w:bCs/>
          <w:kern w:val="0"/>
          <w:sz w:val="22"/>
          <w:lang w:val="en-US"/>
        </w:rPr>
        <w:t>Incid</w:t>
      </w:r>
      <w:r w:rsidR="00BD7D3C" w:rsidRPr="00FD545F">
        <w:rPr>
          <w:rFonts w:ascii="Times New Roman" w:hAnsi="Times New Roman" w:cs="Times New Roman"/>
          <w:b/>
          <w:bCs/>
          <w:color w:val="000000"/>
          <w:kern w:val="0"/>
          <w:sz w:val="22"/>
          <w:lang w:val="en-US"/>
        </w:rPr>
        <w:t>ence of catastrophic health expenditure at different threshold</w:t>
      </w:r>
    </w:p>
    <w:tbl>
      <w:tblPr>
        <w:tblW w:w="7538" w:type="dxa"/>
        <w:tblLayout w:type="fixed"/>
        <w:tblCellMar>
          <w:left w:w="99" w:type="dxa"/>
          <w:right w:w="99" w:type="dxa"/>
        </w:tblCellMar>
        <w:tblLook w:val="04A0" w:firstRow="1" w:lastRow="0" w:firstColumn="1" w:lastColumn="0" w:noHBand="0" w:noVBand="1"/>
      </w:tblPr>
      <w:tblGrid>
        <w:gridCol w:w="2152"/>
        <w:gridCol w:w="2693"/>
        <w:gridCol w:w="2693"/>
      </w:tblGrid>
      <w:tr w:rsidR="00BD7D3C" w:rsidRPr="00FD545F" w14:paraId="1E48E922" w14:textId="77777777" w:rsidTr="00F42F71">
        <w:trPr>
          <w:trHeight w:val="257"/>
        </w:trPr>
        <w:tc>
          <w:tcPr>
            <w:tcW w:w="2152" w:type="dxa"/>
            <w:vMerge w:val="restart"/>
            <w:tcBorders>
              <w:top w:val="single" w:sz="4" w:space="0" w:color="auto"/>
              <w:left w:val="nil"/>
              <w:bottom w:val="single" w:sz="4" w:space="0" w:color="000000"/>
              <w:right w:val="nil"/>
            </w:tcBorders>
            <w:shd w:val="clear" w:color="auto" w:fill="auto"/>
            <w:noWrap/>
            <w:vAlign w:val="center"/>
            <w:hideMark/>
          </w:tcPr>
          <w:bookmarkEnd w:id="4"/>
          <w:p w14:paraId="16B2DABF" w14:textId="77777777" w:rsidR="00BD7D3C" w:rsidRPr="00FD545F" w:rsidRDefault="00BD7D3C" w:rsidP="00F42F71">
            <w:pPr>
              <w:widowControl/>
              <w:jc w:val="center"/>
              <w:rPr>
                <w:rFonts w:ascii="Times New Roman" w:eastAsia="ＭＳ Ｐゴシック" w:hAnsi="Times New Roman" w:cs="Times New Roman"/>
                <w:b/>
                <w:bCs/>
                <w:kern w:val="0"/>
                <w:sz w:val="20"/>
                <w:szCs w:val="20"/>
                <w:lang w:val="en-US"/>
              </w:rPr>
            </w:pPr>
            <w:r w:rsidRPr="00FD545F">
              <w:rPr>
                <w:rFonts w:ascii="Times New Roman" w:eastAsia="ＭＳ Ｐゴシック" w:hAnsi="Times New Roman" w:cs="Times New Roman"/>
                <w:b/>
                <w:bCs/>
                <w:kern w:val="0"/>
                <w:sz w:val="20"/>
                <w:szCs w:val="20"/>
                <w:lang w:val="en-US"/>
              </w:rPr>
              <w:t>Threshold</w:t>
            </w:r>
          </w:p>
        </w:tc>
        <w:tc>
          <w:tcPr>
            <w:tcW w:w="5386" w:type="dxa"/>
            <w:gridSpan w:val="2"/>
            <w:tcBorders>
              <w:top w:val="single" w:sz="4" w:space="0" w:color="auto"/>
              <w:left w:val="nil"/>
              <w:bottom w:val="nil"/>
              <w:right w:val="nil"/>
            </w:tcBorders>
            <w:shd w:val="clear" w:color="auto" w:fill="auto"/>
            <w:noWrap/>
            <w:vAlign w:val="bottom"/>
            <w:hideMark/>
          </w:tcPr>
          <w:p w14:paraId="667E81DD" w14:textId="77777777" w:rsidR="00BD7D3C" w:rsidRPr="00FD545F" w:rsidRDefault="00BD7D3C" w:rsidP="00F42F71">
            <w:pPr>
              <w:widowControl/>
              <w:jc w:val="center"/>
              <w:rPr>
                <w:rFonts w:ascii="Times New Roman" w:eastAsia="ＭＳ Ｐゴシック" w:hAnsi="Times New Roman" w:cs="Times New Roman"/>
                <w:b/>
                <w:bCs/>
                <w:kern w:val="0"/>
                <w:sz w:val="20"/>
                <w:szCs w:val="20"/>
                <w:lang w:val="en-US"/>
              </w:rPr>
            </w:pPr>
            <w:r w:rsidRPr="00FD545F">
              <w:rPr>
                <w:rFonts w:ascii="Times New Roman" w:eastAsia="ＭＳ Ｐゴシック" w:hAnsi="Times New Roman" w:cs="Times New Roman"/>
                <w:b/>
                <w:bCs/>
                <w:kern w:val="0"/>
                <w:sz w:val="20"/>
                <w:szCs w:val="20"/>
                <w:lang w:val="en-US"/>
              </w:rPr>
              <w:t>Catastrophic incidence depending on different threshold</w:t>
            </w:r>
          </w:p>
        </w:tc>
      </w:tr>
      <w:tr w:rsidR="00BD7D3C" w:rsidRPr="00FD545F" w14:paraId="454ACD58" w14:textId="77777777" w:rsidTr="00F42F71">
        <w:trPr>
          <w:trHeight w:val="257"/>
        </w:trPr>
        <w:tc>
          <w:tcPr>
            <w:tcW w:w="2152" w:type="dxa"/>
            <w:vMerge/>
            <w:tcBorders>
              <w:top w:val="single" w:sz="4" w:space="0" w:color="auto"/>
              <w:left w:val="nil"/>
              <w:bottom w:val="single" w:sz="4" w:space="0" w:color="000000"/>
              <w:right w:val="nil"/>
            </w:tcBorders>
            <w:vAlign w:val="center"/>
            <w:hideMark/>
          </w:tcPr>
          <w:p w14:paraId="6E247BC4" w14:textId="77777777" w:rsidR="00BD7D3C" w:rsidRPr="00FD545F" w:rsidRDefault="00BD7D3C" w:rsidP="00F42F71">
            <w:pPr>
              <w:widowControl/>
              <w:jc w:val="left"/>
              <w:rPr>
                <w:rFonts w:ascii="Times New Roman" w:eastAsia="ＭＳ Ｐゴシック" w:hAnsi="Times New Roman" w:cs="Times New Roman"/>
                <w:b/>
                <w:bCs/>
                <w:kern w:val="0"/>
                <w:sz w:val="20"/>
                <w:szCs w:val="20"/>
                <w:lang w:val="en-US"/>
              </w:rPr>
            </w:pPr>
          </w:p>
        </w:tc>
        <w:tc>
          <w:tcPr>
            <w:tcW w:w="2693" w:type="dxa"/>
            <w:tcBorders>
              <w:top w:val="single" w:sz="4" w:space="0" w:color="auto"/>
              <w:left w:val="nil"/>
              <w:bottom w:val="single" w:sz="4" w:space="0" w:color="auto"/>
              <w:right w:val="nil"/>
            </w:tcBorders>
            <w:shd w:val="clear" w:color="auto" w:fill="auto"/>
            <w:noWrap/>
            <w:vAlign w:val="bottom"/>
            <w:hideMark/>
          </w:tcPr>
          <w:p w14:paraId="08ACF3CF" w14:textId="77777777" w:rsidR="00BD7D3C" w:rsidRPr="00FD545F" w:rsidRDefault="00BD7D3C" w:rsidP="00F42F71">
            <w:pPr>
              <w:widowControl/>
              <w:jc w:val="center"/>
              <w:rPr>
                <w:rFonts w:ascii="Times New Roman" w:eastAsia="ＭＳ Ｐゴシック" w:hAnsi="Times New Roman" w:cs="Times New Roman"/>
                <w:b/>
                <w:bCs/>
                <w:kern w:val="0"/>
                <w:sz w:val="20"/>
                <w:szCs w:val="20"/>
                <w:lang w:val="en-US"/>
              </w:rPr>
            </w:pPr>
            <w:r w:rsidRPr="00FD545F">
              <w:rPr>
                <w:rFonts w:ascii="Times New Roman" w:eastAsia="ＭＳ Ｐゴシック" w:hAnsi="Times New Roman" w:cs="Times New Roman"/>
                <w:b/>
                <w:bCs/>
                <w:kern w:val="0"/>
                <w:sz w:val="20"/>
                <w:szCs w:val="20"/>
                <w:lang w:val="en-US"/>
              </w:rPr>
              <w:t>Percent</w:t>
            </w:r>
          </w:p>
        </w:tc>
        <w:tc>
          <w:tcPr>
            <w:tcW w:w="2693" w:type="dxa"/>
            <w:tcBorders>
              <w:top w:val="single" w:sz="4" w:space="0" w:color="auto"/>
              <w:left w:val="nil"/>
              <w:bottom w:val="single" w:sz="4" w:space="0" w:color="auto"/>
              <w:right w:val="nil"/>
            </w:tcBorders>
            <w:shd w:val="clear" w:color="auto" w:fill="auto"/>
            <w:noWrap/>
            <w:vAlign w:val="bottom"/>
            <w:hideMark/>
          </w:tcPr>
          <w:p w14:paraId="6E120B5C" w14:textId="77777777" w:rsidR="00BD7D3C" w:rsidRPr="00FD545F" w:rsidRDefault="00BD7D3C" w:rsidP="00F42F71">
            <w:pPr>
              <w:widowControl/>
              <w:jc w:val="center"/>
              <w:rPr>
                <w:rFonts w:ascii="Times New Roman" w:eastAsia="ＭＳ Ｐゴシック" w:hAnsi="Times New Roman" w:cs="Times New Roman"/>
                <w:b/>
                <w:bCs/>
                <w:kern w:val="0"/>
                <w:sz w:val="20"/>
                <w:szCs w:val="20"/>
                <w:lang w:val="en-US"/>
              </w:rPr>
            </w:pPr>
            <w:r w:rsidRPr="00FD545F">
              <w:rPr>
                <w:rFonts w:ascii="Times New Roman" w:eastAsia="ＭＳ Ｐゴシック" w:hAnsi="Times New Roman" w:cs="Times New Roman"/>
                <w:b/>
                <w:bCs/>
                <w:kern w:val="0"/>
                <w:sz w:val="20"/>
                <w:szCs w:val="20"/>
                <w:lang w:val="en-US"/>
              </w:rPr>
              <w:t>95% Confidence Interval</w:t>
            </w:r>
          </w:p>
        </w:tc>
      </w:tr>
      <w:tr w:rsidR="00BD7D3C" w:rsidRPr="00FD545F" w14:paraId="554819F9" w14:textId="77777777" w:rsidTr="00F42F71">
        <w:trPr>
          <w:trHeight w:val="257"/>
        </w:trPr>
        <w:tc>
          <w:tcPr>
            <w:tcW w:w="2152" w:type="dxa"/>
            <w:tcBorders>
              <w:top w:val="nil"/>
              <w:left w:val="nil"/>
              <w:bottom w:val="nil"/>
              <w:right w:val="nil"/>
            </w:tcBorders>
            <w:shd w:val="clear" w:color="auto" w:fill="auto"/>
            <w:noWrap/>
            <w:vAlign w:val="bottom"/>
            <w:hideMark/>
          </w:tcPr>
          <w:p w14:paraId="61B48BCC" w14:textId="77777777" w:rsidR="00BD7D3C" w:rsidRPr="00FD545F" w:rsidRDefault="00BD7D3C" w:rsidP="00F42F71">
            <w:pPr>
              <w:widowControl/>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Total consumption</w:t>
            </w:r>
          </w:p>
        </w:tc>
        <w:tc>
          <w:tcPr>
            <w:tcW w:w="2693" w:type="dxa"/>
            <w:tcBorders>
              <w:top w:val="nil"/>
              <w:left w:val="nil"/>
              <w:bottom w:val="nil"/>
              <w:right w:val="nil"/>
            </w:tcBorders>
            <w:shd w:val="clear" w:color="auto" w:fill="auto"/>
            <w:noWrap/>
            <w:vAlign w:val="bottom"/>
            <w:hideMark/>
          </w:tcPr>
          <w:p w14:paraId="6664015A"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p>
        </w:tc>
        <w:tc>
          <w:tcPr>
            <w:tcW w:w="2693" w:type="dxa"/>
            <w:tcBorders>
              <w:top w:val="nil"/>
              <w:left w:val="nil"/>
              <w:bottom w:val="nil"/>
              <w:right w:val="nil"/>
            </w:tcBorders>
            <w:shd w:val="clear" w:color="auto" w:fill="auto"/>
            <w:noWrap/>
            <w:vAlign w:val="bottom"/>
            <w:hideMark/>
          </w:tcPr>
          <w:p w14:paraId="2594B748" w14:textId="77777777" w:rsidR="00BD7D3C" w:rsidRPr="00FD545F" w:rsidRDefault="00BD7D3C" w:rsidP="00F42F71">
            <w:pPr>
              <w:widowControl/>
              <w:jc w:val="center"/>
              <w:rPr>
                <w:rFonts w:ascii="Times New Roman" w:eastAsia="Times New Roman" w:hAnsi="Times New Roman" w:cs="Times New Roman"/>
                <w:kern w:val="0"/>
                <w:sz w:val="20"/>
                <w:szCs w:val="20"/>
                <w:lang w:val="en-US"/>
              </w:rPr>
            </w:pPr>
          </w:p>
        </w:tc>
      </w:tr>
      <w:tr w:rsidR="00BD7D3C" w:rsidRPr="00FD545F" w14:paraId="4FF5D828" w14:textId="77777777" w:rsidTr="00F42F71">
        <w:trPr>
          <w:trHeight w:val="257"/>
        </w:trPr>
        <w:tc>
          <w:tcPr>
            <w:tcW w:w="2152" w:type="dxa"/>
            <w:tcBorders>
              <w:top w:val="nil"/>
              <w:left w:val="nil"/>
              <w:bottom w:val="nil"/>
              <w:right w:val="nil"/>
            </w:tcBorders>
            <w:shd w:val="clear" w:color="auto" w:fill="auto"/>
            <w:noWrap/>
            <w:vAlign w:val="bottom"/>
            <w:hideMark/>
          </w:tcPr>
          <w:p w14:paraId="4A1956F9" w14:textId="77777777" w:rsidR="00BD7D3C" w:rsidRPr="00FD545F" w:rsidRDefault="00BD7D3C" w:rsidP="00F42F71">
            <w:pPr>
              <w:widowControl/>
              <w:ind w:firstLineChars="100" w:firstLine="200"/>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&gt; 5%</w:t>
            </w:r>
          </w:p>
        </w:tc>
        <w:tc>
          <w:tcPr>
            <w:tcW w:w="2693" w:type="dxa"/>
            <w:tcBorders>
              <w:top w:val="nil"/>
              <w:left w:val="nil"/>
              <w:bottom w:val="nil"/>
              <w:right w:val="nil"/>
            </w:tcBorders>
            <w:shd w:val="clear" w:color="auto" w:fill="auto"/>
            <w:noWrap/>
            <w:vAlign w:val="bottom"/>
            <w:hideMark/>
          </w:tcPr>
          <w:p w14:paraId="492A6F6A"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12.4</w:t>
            </w:r>
          </w:p>
        </w:tc>
        <w:tc>
          <w:tcPr>
            <w:tcW w:w="2693" w:type="dxa"/>
            <w:tcBorders>
              <w:top w:val="nil"/>
              <w:left w:val="nil"/>
              <w:bottom w:val="nil"/>
              <w:right w:val="nil"/>
            </w:tcBorders>
            <w:shd w:val="clear" w:color="auto" w:fill="auto"/>
            <w:noWrap/>
            <w:vAlign w:val="bottom"/>
            <w:hideMark/>
          </w:tcPr>
          <w:p w14:paraId="7C0110FE"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11.4-13.5</w:t>
            </w:r>
          </w:p>
        </w:tc>
      </w:tr>
      <w:tr w:rsidR="00BD7D3C" w:rsidRPr="00FD545F" w14:paraId="31E44658" w14:textId="77777777" w:rsidTr="00F42F71">
        <w:trPr>
          <w:trHeight w:val="257"/>
        </w:trPr>
        <w:tc>
          <w:tcPr>
            <w:tcW w:w="2152" w:type="dxa"/>
            <w:tcBorders>
              <w:top w:val="nil"/>
              <w:left w:val="nil"/>
              <w:bottom w:val="nil"/>
              <w:right w:val="nil"/>
            </w:tcBorders>
            <w:shd w:val="clear" w:color="auto" w:fill="auto"/>
            <w:noWrap/>
            <w:vAlign w:val="bottom"/>
            <w:hideMark/>
          </w:tcPr>
          <w:p w14:paraId="25726859" w14:textId="77777777" w:rsidR="00BD7D3C" w:rsidRPr="00FD545F" w:rsidRDefault="00BD7D3C" w:rsidP="00F42F71">
            <w:pPr>
              <w:widowControl/>
              <w:ind w:firstLineChars="100" w:firstLine="200"/>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&gt; 10%</w:t>
            </w:r>
          </w:p>
        </w:tc>
        <w:tc>
          <w:tcPr>
            <w:tcW w:w="2693" w:type="dxa"/>
            <w:tcBorders>
              <w:top w:val="nil"/>
              <w:left w:val="nil"/>
              <w:bottom w:val="nil"/>
              <w:right w:val="nil"/>
            </w:tcBorders>
            <w:shd w:val="clear" w:color="auto" w:fill="auto"/>
            <w:noWrap/>
            <w:vAlign w:val="bottom"/>
            <w:hideMark/>
          </w:tcPr>
          <w:p w14:paraId="3119F4CD"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3.3</w:t>
            </w:r>
          </w:p>
        </w:tc>
        <w:tc>
          <w:tcPr>
            <w:tcW w:w="2693" w:type="dxa"/>
            <w:tcBorders>
              <w:top w:val="nil"/>
              <w:left w:val="nil"/>
              <w:bottom w:val="nil"/>
              <w:right w:val="nil"/>
            </w:tcBorders>
            <w:shd w:val="clear" w:color="auto" w:fill="auto"/>
            <w:noWrap/>
            <w:vAlign w:val="bottom"/>
            <w:hideMark/>
          </w:tcPr>
          <w:p w14:paraId="4BD1277A"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2.8-3.9</w:t>
            </w:r>
          </w:p>
        </w:tc>
      </w:tr>
      <w:tr w:rsidR="00BD7D3C" w:rsidRPr="00FD545F" w14:paraId="6D363D97" w14:textId="77777777" w:rsidTr="00F42F71">
        <w:trPr>
          <w:trHeight w:val="257"/>
        </w:trPr>
        <w:tc>
          <w:tcPr>
            <w:tcW w:w="2152" w:type="dxa"/>
            <w:tcBorders>
              <w:top w:val="nil"/>
              <w:left w:val="nil"/>
              <w:bottom w:val="nil"/>
              <w:right w:val="nil"/>
            </w:tcBorders>
            <w:shd w:val="clear" w:color="auto" w:fill="auto"/>
            <w:noWrap/>
            <w:vAlign w:val="bottom"/>
            <w:hideMark/>
          </w:tcPr>
          <w:p w14:paraId="1D6B5B56" w14:textId="77777777" w:rsidR="00BD7D3C" w:rsidRPr="00FD545F" w:rsidRDefault="00BD7D3C" w:rsidP="00F42F71">
            <w:pPr>
              <w:widowControl/>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Non-food consumption</w:t>
            </w:r>
          </w:p>
        </w:tc>
        <w:tc>
          <w:tcPr>
            <w:tcW w:w="2693" w:type="dxa"/>
            <w:tcBorders>
              <w:top w:val="nil"/>
              <w:left w:val="nil"/>
              <w:bottom w:val="nil"/>
              <w:right w:val="nil"/>
            </w:tcBorders>
            <w:shd w:val="clear" w:color="auto" w:fill="auto"/>
            <w:noWrap/>
            <w:vAlign w:val="bottom"/>
            <w:hideMark/>
          </w:tcPr>
          <w:p w14:paraId="3A9BC304"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p>
        </w:tc>
        <w:tc>
          <w:tcPr>
            <w:tcW w:w="2693" w:type="dxa"/>
            <w:tcBorders>
              <w:top w:val="nil"/>
              <w:left w:val="nil"/>
              <w:bottom w:val="nil"/>
              <w:right w:val="nil"/>
            </w:tcBorders>
            <w:shd w:val="clear" w:color="auto" w:fill="auto"/>
            <w:noWrap/>
            <w:vAlign w:val="bottom"/>
            <w:hideMark/>
          </w:tcPr>
          <w:p w14:paraId="049542F4" w14:textId="77777777" w:rsidR="00BD7D3C" w:rsidRPr="00FD545F" w:rsidRDefault="00BD7D3C" w:rsidP="00F42F71">
            <w:pPr>
              <w:widowControl/>
              <w:jc w:val="center"/>
              <w:rPr>
                <w:rFonts w:ascii="Times New Roman" w:eastAsia="Times New Roman" w:hAnsi="Times New Roman" w:cs="Times New Roman"/>
                <w:kern w:val="0"/>
                <w:sz w:val="20"/>
                <w:szCs w:val="20"/>
                <w:lang w:val="en-US"/>
              </w:rPr>
            </w:pPr>
          </w:p>
        </w:tc>
      </w:tr>
      <w:tr w:rsidR="00BD7D3C" w:rsidRPr="00FD545F" w14:paraId="7F3B9D7F" w14:textId="77777777" w:rsidTr="00F42F71">
        <w:trPr>
          <w:trHeight w:val="257"/>
        </w:trPr>
        <w:tc>
          <w:tcPr>
            <w:tcW w:w="2152" w:type="dxa"/>
            <w:tcBorders>
              <w:top w:val="nil"/>
              <w:left w:val="nil"/>
              <w:bottom w:val="nil"/>
              <w:right w:val="nil"/>
            </w:tcBorders>
            <w:shd w:val="clear" w:color="auto" w:fill="auto"/>
            <w:noWrap/>
            <w:vAlign w:val="bottom"/>
            <w:hideMark/>
          </w:tcPr>
          <w:p w14:paraId="54E5B77A" w14:textId="77777777" w:rsidR="00BD7D3C" w:rsidRPr="00FD545F" w:rsidRDefault="00BD7D3C" w:rsidP="00F42F71">
            <w:pPr>
              <w:widowControl/>
              <w:ind w:firstLineChars="100" w:firstLine="200"/>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&gt; 25%</w:t>
            </w:r>
          </w:p>
        </w:tc>
        <w:tc>
          <w:tcPr>
            <w:tcW w:w="2693" w:type="dxa"/>
            <w:tcBorders>
              <w:top w:val="nil"/>
              <w:left w:val="nil"/>
              <w:bottom w:val="nil"/>
              <w:right w:val="nil"/>
            </w:tcBorders>
            <w:shd w:val="clear" w:color="auto" w:fill="auto"/>
            <w:noWrap/>
            <w:vAlign w:val="bottom"/>
            <w:hideMark/>
          </w:tcPr>
          <w:p w14:paraId="0BBC9346"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7.0</w:t>
            </w:r>
          </w:p>
        </w:tc>
        <w:tc>
          <w:tcPr>
            <w:tcW w:w="2693" w:type="dxa"/>
            <w:tcBorders>
              <w:top w:val="nil"/>
              <w:left w:val="nil"/>
              <w:bottom w:val="nil"/>
              <w:right w:val="nil"/>
            </w:tcBorders>
            <w:shd w:val="clear" w:color="auto" w:fill="auto"/>
            <w:noWrap/>
            <w:vAlign w:val="bottom"/>
            <w:hideMark/>
          </w:tcPr>
          <w:p w14:paraId="5C6A90A3"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6.3-7.8</w:t>
            </w:r>
          </w:p>
        </w:tc>
      </w:tr>
      <w:tr w:rsidR="00BD7D3C" w:rsidRPr="00FD545F" w14:paraId="6C899CDC" w14:textId="77777777" w:rsidTr="00F42F71">
        <w:trPr>
          <w:trHeight w:val="257"/>
        </w:trPr>
        <w:tc>
          <w:tcPr>
            <w:tcW w:w="2152" w:type="dxa"/>
            <w:tcBorders>
              <w:top w:val="nil"/>
              <w:left w:val="nil"/>
              <w:bottom w:val="nil"/>
              <w:right w:val="nil"/>
            </w:tcBorders>
            <w:shd w:val="clear" w:color="auto" w:fill="auto"/>
            <w:noWrap/>
            <w:vAlign w:val="bottom"/>
            <w:hideMark/>
          </w:tcPr>
          <w:p w14:paraId="2D15FAA3" w14:textId="77777777" w:rsidR="00BD7D3C" w:rsidRPr="00FD545F" w:rsidRDefault="00BD7D3C" w:rsidP="00F42F71">
            <w:pPr>
              <w:widowControl/>
              <w:ind w:firstLineChars="100" w:firstLine="200"/>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&gt; 40%</w:t>
            </w:r>
          </w:p>
        </w:tc>
        <w:tc>
          <w:tcPr>
            <w:tcW w:w="2693" w:type="dxa"/>
            <w:tcBorders>
              <w:top w:val="nil"/>
              <w:left w:val="nil"/>
              <w:bottom w:val="nil"/>
              <w:right w:val="nil"/>
            </w:tcBorders>
            <w:shd w:val="clear" w:color="auto" w:fill="auto"/>
            <w:noWrap/>
            <w:vAlign w:val="bottom"/>
            <w:hideMark/>
          </w:tcPr>
          <w:p w14:paraId="3F3D0F77"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2.2</w:t>
            </w:r>
          </w:p>
        </w:tc>
        <w:tc>
          <w:tcPr>
            <w:tcW w:w="2693" w:type="dxa"/>
            <w:tcBorders>
              <w:top w:val="nil"/>
              <w:left w:val="nil"/>
              <w:bottom w:val="nil"/>
              <w:right w:val="nil"/>
            </w:tcBorders>
            <w:shd w:val="clear" w:color="auto" w:fill="auto"/>
            <w:noWrap/>
            <w:vAlign w:val="bottom"/>
            <w:hideMark/>
          </w:tcPr>
          <w:p w14:paraId="24871050" w14:textId="77777777" w:rsidR="00BD7D3C" w:rsidRPr="00FD545F" w:rsidRDefault="00BD7D3C" w:rsidP="00F42F71">
            <w:pPr>
              <w:widowControl/>
              <w:jc w:val="center"/>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1.8-2.7</w:t>
            </w:r>
          </w:p>
        </w:tc>
      </w:tr>
      <w:tr w:rsidR="00BD7D3C" w:rsidRPr="00FD545F" w14:paraId="1F0EA6CA" w14:textId="77777777" w:rsidTr="00F42F71">
        <w:trPr>
          <w:trHeight w:val="257"/>
        </w:trPr>
        <w:tc>
          <w:tcPr>
            <w:tcW w:w="2152" w:type="dxa"/>
            <w:tcBorders>
              <w:top w:val="nil"/>
              <w:left w:val="nil"/>
              <w:bottom w:val="nil"/>
              <w:right w:val="nil"/>
            </w:tcBorders>
            <w:shd w:val="clear" w:color="auto" w:fill="auto"/>
            <w:noWrap/>
            <w:vAlign w:val="bottom"/>
            <w:hideMark/>
          </w:tcPr>
          <w:p w14:paraId="76538EEB" w14:textId="77777777" w:rsidR="00BD7D3C" w:rsidRPr="00FD545F" w:rsidRDefault="00BD7D3C" w:rsidP="00F42F71">
            <w:pPr>
              <w:widowControl/>
              <w:jc w:val="left"/>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Capacity to pay</w:t>
            </w:r>
          </w:p>
        </w:tc>
        <w:tc>
          <w:tcPr>
            <w:tcW w:w="2693" w:type="dxa"/>
            <w:tcBorders>
              <w:top w:val="nil"/>
              <w:left w:val="nil"/>
              <w:bottom w:val="nil"/>
              <w:right w:val="nil"/>
            </w:tcBorders>
            <w:shd w:val="clear" w:color="auto" w:fill="auto"/>
            <w:noWrap/>
            <w:vAlign w:val="bottom"/>
            <w:hideMark/>
          </w:tcPr>
          <w:p w14:paraId="7E9EB5E4" w14:textId="77777777" w:rsidR="00BD7D3C" w:rsidRPr="00FD545F" w:rsidRDefault="00BD7D3C" w:rsidP="00F42F71">
            <w:pPr>
              <w:widowControl/>
              <w:ind w:firstLineChars="100" w:firstLine="200"/>
              <w:jc w:val="center"/>
              <w:rPr>
                <w:rFonts w:ascii="Times New Roman" w:eastAsia="ＭＳ Ｐゴシック" w:hAnsi="Times New Roman" w:cs="Times New Roman"/>
                <w:kern w:val="0"/>
                <w:sz w:val="20"/>
                <w:szCs w:val="20"/>
                <w:lang w:val="en-US"/>
              </w:rPr>
            </w:pPr>
          </w:p>
        </w:tc>
        <w:tc>
          <w:tcPr>
            <w:tcW w:w="2693" w:type="dxa"/>
            <w:tcBorders>
              <w:top w:val="nil"/>
              <w:left w:val="nil"/>
              <w:bottom w:val="nil"/>
              <w:right w:val="nil"/>
            </w:tcBorders>
            <w:shd w:val="clear" w:color="auto" w:fill="auto"/>
            <w:noWrap/>
            <w:vAlign w:val="bottom"/>
            <w:hideMark/>
          </w:tcPr>
          <w:p w14:paraId="29B4FB05" w14:textId="77777777" w:rsidR="00BD7D3C" w:rsidRPr="00FD545F" w:rsidRDefault="00BD7D3C" w:rsidP="00F42F71">
            <w:pPr>
              <w:widowControl/>
              <w:jc w:val="center"/>
              <w:rPr>
                <w:rFonts w:ascii="Times New Roman" w:eastAsia="Times New Roman" w:hAnsi="Times New Roman" w:cs="Times New Roman"/>
                <w:kern w:val="0"/>
                <w:sz w:val="20"/>
                <w:szCs w:val="20"/>
                <w:lang w:val="en-US"/>
              </w:rPr>
            </w:pPr>
          </w:p>
        </w:tc>
      </w:tr>
      <w:tr w:rsidR="00BD7D3C" w:rsidRPr="00FD545F" w14:paraId="63257511" w14:textId="77777777" w:rsidTr="00F42F71">
        <w:trPr>
          <w:trHeight w:val="257"/>
        </w:trPr>
        <w:tc>
          <w:tcPr>
            <w:tcW w:w="2152" w:type="dxa"/>
            <w:tcBorders>
              <w:top w:val="nil"/>
              <w:left w:val="nil"/>
              <w:bottom w:val="single" w:sz="4" w:space="0" w:color="auto"/>
              <w:right w:val="nil"/>
            </w:tcBorders>
            <w:shd w:val="clear" w:color="auto" w:fill="auto"/>
            <w:noWrap/>
            <w:vAlign w:val="bottom"/>
            <w:hideMark/>
          </w:tcPr>
          <w:p w14:paraId="10216129" w14:textId="77777777" w:rsidR="00BD7D3C" w:rsidRPr="00FD545F" w:rsidRDefault="00BD7D3C" w:rsidP="00F42F71">
            <w:pPr>
              <w:widowControl/>
              <w:ind w:firstLineChars="100" w:firstLine="220"/>
              <w:jc w:val="left"/>
              <w:rPr>
                <w:rFonts w:ascii="Times New Roman" w:eastAsia="ＭＳ Ｐゴシック" w:hAnsi="Times New Roman" w:cs="Times New Roman"/>
                <w:kern w:val="0"/>
                <w:sz w:val="22"/>
                <w:lang w:val="en-US"/>
              </w:rPr>
            </w:pPr>
            <w:r w:rsidRPr="00FD545F">
              <w:rPr>
                <w:rFonts w:ascii="Times New Roman" w:eastAsia="ＭＳ Ｐゴシック" w:hAnsi="Times New Roman" w:cs="Times New Roman"/>
                <w:kern w:val="0"/>
                <w:sz w:val="22"/>
                <w:lang w:val="en-US"/>
              </w:rPr>
              <w:t>&gt; 40%</w:t>
            </w:r>
          </w:p>
        </w:tc>
        <w:tc>
          <w:tcPr>
            <w:tcW w:w="2693" w:type="dxa"/>
            <w:tcBorders>
              <w:top w:val="nil"/>
              <w:left w:val="nil"/>
              <w:bottom w:val="single" w:sz="4" w:space="0" w:color="auto"/>
              <w:right w:val="nil"/>
            </w:tcBorders>
            <w:shd w:val="clear" w:color="auto" w:fill="auto"/>
            <w:noWrap/>
            <w:vAlign w:val="bottom"/>
            <w:hideMark/>
          </w:tcPr>
          <w:p w14:paraId="6B992A33" w14:textId="77777777" w:rsidR="00BD7D3C" w:rsidRPr="00FD545F" w:rsidRDefault="00BD7D3C" w:rsidP="00F42F71">
            <w:pPr>
              <w:widowControl/>
              <w:jc w:val="center"/>
              <w:rPr>
                <w:rFonts w:ascii="Times New Roman" w:eastAsia="ＭＳ Ｐゴシック" w:hAnsi="Times New Roman" w:cs="Times New Roman"/>
                <w:kern w:val="0"/>
                <w:sz w:val="22"/>
                <w:lang w:val="en-US"/>
              </w:rPr>
            </w:pPr>
            <w:r w:rsidRPr="00FD545F">
              <w:rPr>
                <w:rFonts w:ascii="Times New Roman" w:eastAsia="ＭＳ Ｐゴシック" w:hAnsi="Times New Roman" w:cs="Times New Roman"/>
                <w:kern w:val="0"/>
                <w:sz w:val="22"/>
                <w:lang w:val="en-US"/>
              </w:rPr>
              <w:t>0.2</w:t>
            </w:r>
          </w:p>
        </w:tc>
        <w:tc>
          <w:tcPr>
            <w:tcW w:w="2693" w:type="dxa"/>
            <w:tcBorders>
              <w:top w:val="nil"/>
              <w:left w:val="nil"/>
              <w:bottom w:val="single" w:sz="4" w:space="0" w:color="auto"/>
              <w:right w:val="nil"/>
            </w:tcBorders>
            <w:shd w:val="clear" w:color="auto" w:fill="auto"/>
            <w:noWrap/>
            <w:vAlign w:val="bottom"/>
            <w:hideMark/>
          </w:tcPr>
          <w:p w14:paraId="6DF4CB3A" w14:textId="77777777" w:rsidR="00BD7D3C" w:rsidRPr="00FD545F" w:rsidRDefault="00BD7D3C" w:rsidP="00F42F71">
            <w:pPr>
              <w:widowControl/>
              <w:jc w:val="center"/>
              <w:rPr>
                <w:rFonts w:ascii="Times New Roman" w:eastAsia="ＭＳ Ｐゴシック" w:hAnsi="Times New Roman" w:cs="Times New Roman"/>
                <w:kern w:val="0"/>
                <w:sz w:val="22"/>
                <w:lang w:val="en-US"/>
              </w:rPr>
            </w:pPr>
            <w:r w:rsidRPr="00FD545F">
              <w:rPr>
                <w:rFonts w:ascii="Times New Roman" w:eastAsia="ＭＳ Ｐゴシック" w:hAnsi="Times New Roman" w:cs="Times New Roman"/>
                <w:kern w:val="0"/>
                <w:sz w:val="22"/>
                <w:lang w:val="en-US"/>
              </w:rPr>
              <w:t>0.2-0.4</w:t>
            </w:r>
          </w:p>
        </w:tc>
      </w:tr>
    </w:tbl>
    <w:p w14:paraId="2F08F6E7" w14:textId="77777777" w:rsidR="00BD7D3C" w:rsidRPr="00FD545F" w:rsidRDefault="00BD7D3C" w:rsidP="00BD7D3C">
      <w:pPr>
        <w:rPr>
          <w:rFonts w:ascii="Times New Roman" w:eastAsia="游ゴシック" w:hAnsi="Times New Roman" w:cs="Times New Roman"/>
          <w:bCs/>
          <w:color w:val="000000"/>
          <w:kern w:val="0"/>
          <w:sz w:val="22"/>
          <w:lang w:val="en-US"/>
        </w:rPr>
      </w:pPr>
    </w:p>
    <w:p w14:paraId="05F4BAB6" w14:textId="1ED4A37A" w:rsidR="00BD7D3C" w:rsidRPr="00FD545F" w:rsidRDefault="00BD7D3C" w:rsidP="00BD7D3C">
      <w:pPr>
        <w:jc w:val="left"/>
        <w:rPr>
          <w:rFonts w:ascii="Times New Roman" w:hAnsi="Times New Roman" w:cs="Times New Roman"/>
          <w:b/>
          <w:bCs/>
          <w:sz w:val="22"/>
        </w:rPr>
      </w:pPr>
      <w:r w:rsidRPr="00FD545F">
        <w:rPr>
          <w:rFonts w:ascii="Times New Roman" w:hAnsi="Times New Roman" w:cs="Times New Roman"/>
          <w:b/>
          <w:bCs/>
          <w:sz w:val="22"/>
          <w:shd w:val="clear" w:color="auto" w:fill="FFFFFF"/>
        </w:rPr>
        <w:t xml:space="preserve">Measurement of impoverishing health payment </w:t>
      </w:r>
      <w:r w:rsidRPr="00FD545F">
        <w:rPr>
          <w:rFonts w:ascii="Times New Roman" w:hAnsi="Times New Roman" w:cs="Times New Roman"/>
          <w:sz w:val="22"/>
          <w:shd w:val="clear" w:color="auto" w:fill="FFFFFF"/>
        </w:rPr>
        <w:fldChar w:fldCharType="begin"/>
      </w:r>
      <w:r w:rsidR="00513940">
        <w:rPr>
          <w:rFonts w:ascii="Times New Roman" w:hAnsi="Times New Roman" w:cs="Times New Roman"/>
          <w:sz w:val="22"/>
          <w:shd w:val="clear" w:color="auto" w:fill="FFFFFF"/>
        </w:rPr>
        <w:instrText xml:space="preserve"> ADDIN EN.CITE &lt;EndNote&gt;&lt;Cite&gt;&lt;Author&gt;Swe&lt;/Author&gt;&lt;Year&gt;2018&lt;/Year&gt;&lt;RecNum&gt;817&lt;/RecNum&gt;&lt;DisplayText&gt;[7]&lt;/DisplayText&gt;&lt;record&gt;&lt;rec-number&gt;817&lt;/rec-number&gt;&lt;foreign-keys&gt;&lt;key app="EN" db-id="p9dr0xwv2rpa2de05dd5fx2oxpxeedxtwa95" timestamp="1577255139" guid="a21c52a9-5a41-4efa-a63e-7f09aedeecc4"&gt;817&lt;/key&gt;&lt;/foreign-keys&gt;&lt;ref-type name="Journal Article"&gt;17&lt;/ref-type&gt;&lt;contributors&gt;&lt;authors&gt;&lt;author&gt;Swe, K. T.&lt;/author&gt;&lt;author&gt;Rahman, M. M.&lt;/author&gt;&lt;author&gt;Rahman, M. S.&lt;/author&gt;&lt;author&gt;Saito, E.&lt;/author&gt;&lt;author&gt;Abe, S. K.&lt;/author&gt;&lt;author&gt;Gilmour, S.&lt;/author&gt;&lt;author&gt;Shibuya, K.&lt;/author&gt;&lt;/authors&gt;&lt;/contributors&gt;&lt;auth-address&gt;Department of Global Health Policy, School of International Health, Graduate School of Medicine, The University of Tokyo, Japan.&amp;#xD;AXA Department of Health and Human Security, Graduate School of Medicine, The University of Tokyo, Japan.&lt;/auth-address&gt;&lt;titles&gt;&lt;title&gt;Cost and economic burden of illness over 15 years in Nepal: A comparative analysis&lt;/title&gt;&lt;secondary-title&gt;PLoS One&lt;/secondary-title&gt;&lt;/titles&gt;&lt;periodical&gt;&lt;full-title&gt;PLoS One&lt;/full-title&gt;&lt;abbr-1&gt;PloS one&lt;/abbr-1&gt;&lt;/periodical&gt;&lt;pages&gt;e0194564&lt;/pages&gt;&lt;volume&gt;13&lt;/volume&gt;&lt;number&gt;4&lt;/number&gt;&lt;edition&gt;2018/04/05&lt;/edition&gt;&lt;keywords&gt;&lt;keyword&gt;Bayes Theorem&lt;/keyword&gt;&lt;keyword&gt;*Cost of Illness&lt;/keyword&gt;&lt;keyword&gt;Female&lt;/keyword&gt;&lt;keyword&gt;*Health Expenditures&lt;/keyword&gt;&lt;keyword&gt;Humans&lt;/keyword&gt;&lt;keyword&gt;Insurance, Health/*economics&lt;/keyword&gt;&lt;keyword&gt;Male&lt;/keyword&gt;&lt;keyword&gt;Nepal&lt;/keyword&gt;&lt;keyword&gt;Poverty&lt;/keyword&gt;&lt;keyword&gt;Socioeconomic Factors&lt;/keyword&gt;&lt;keyword&gt;Universal Health Insurance&lt;/keyword&gt;&lt;/keywords&gt;&lt;dates&gt;&lt;year&gt;2018&lt;/year&gt;&lt;/dates&gt;&lt;isbn&gt;1932-6203&lt;/isbn&gt;&lt;accession-num&gt;29617393&lt;/accession-num&gt;&lt;urls&gt;&lt;/urls&gt;&lt;custom2&gt;PMC5884500&lt;/custom2&gt;&lt;electronic-resource-num&gt;10.1371/journal.pone.0194564&lt;/electronic-resource-num&gt;&lt;remote-database-provider&gt;NLM&lt;/remote-database-provider&gt;&lt;language&gt;eng&lt;/language&gt;&lt;/record&gt;&lt;/Cite&gt;&lt;/EndNote&gt;</w:instrText>
      </w:r>
      <w:r w:rsidRPr="00FD545F">
        <w:rPr>
          <w:rFonts w:ascii="Times New Roman" w:hAnsi="Times New Roman" w:cs="Times New Roman"/>
          <w:sz w:val="22"/>
          <w:shd w:val="clear" w:color="auto" w:fill="FFFFFF"/>
        </w:rPr>
        <w:fldChar w:fldCharType="separate"/>
      </w:r>
      <w:r w:rsidR="00513940">
        <w:rPr>
          <w:rFonts w:ascii="Times New Roman" w:hAnsi="Times New Roman" w:cs="Times New Roman"/>
          <w:noProof/>
          <w:sz w:val="22"/>
          <w:shd w:val="clear" w:color="auto" w:fill="FFFFFF"/>
        </w:rPr>
        <w:t>[7]</w:t>
      </w:r>
      <w:r w:rsidRPr="00FD545F">
        <w:rPr>
          <w:rFonts w:ascii="Times New Roman" w:hAnsi="Times New Roman" w:cs="Times New Roman"/>
          <w:sz w:val="22"/>
          <w:shd w:val="clear" w:color="auto" w:fill="FFFFFF"/>
        </w:rPr>
        <w:fldChar w:fldCharType="end"/>
      </w:r>
    </w:p>
    <w:p w14:paraId="18AB93D6" w14:textId="77777777" w:rsidR="00BD7D3C" w:rsidRPr="00FD545F" w:rsidRDefault="00BD7D3C" w:rsidP="00BD7D3C">
      <w:pPr>
        <w:pStyle w:val="ae"/>
        <w:widowControl/>
        <w:numPr>
          <w:ilvl w:val="0"/>
          <w:numId w:val="14"/>
        </w:numPr>
        <w:ind w:leftChars="0"/>
        <w:contextualSpacing/>
        <w:rPr>
          <w:rFonts w:ascii="Times New Roman" w:hAnsi="Times New Roman" w:cs="Times New Roman"/>
          <w:sz w:val="22"/>
        </w:rPr>
      </w:pPr>
      <w:r w:rsidRPr="00FD545F">
        <w:rPr>
          <w:rFonts w:ascii="Times New Roman" w:hAnsi="Times New Roman" w:cs="Times New Roman"/>
          <w:sz w:val="22"/>
        </w:rPr>
        <w:t>X is the total expenditure per capita.</w:t>
      </w:r>
    </w:p>
    <w:p w14:paraId="095349AB" w14:textId="77777777" w:rsidR="00BD7D3C" w:rsidRPr="00FD545F" w:rsidRDefault="00BD7D3C" w:rsidP="00BD7D3C">
      <w:pPr>
        <w:pStyle w:val="ae"/>
        <w:widowControl/>
        <w:numPr>
          <w:ilvl w:val="0"/>
          <w:numId w:val="14"/>
        </w:numPr>
        <w:ind w:leftChars="0"/>
        <w:contextualSpacing/>
        <w:rPr>
          <w:rFonts w:ascii="Times New Roman" w:hAnsi="Times New Roman" w:cs="Times New Roman"/>
          <w:sz w:val="22"/>
        </w:rPr>
      </w:pPr>
      <w:r w:rsidRPr="00FD545F">
        <w:rPr>
          <w:rFonts w:ascii="Times New Roman" w:hAnsi="Times New Roman" w:cs="Times New Roman"/>
          <w:sz w:val="22"/>
        </w:rPr>
        <w:t>PL is the poverty line, in this study, the region-specific sum of food + non-food component which HSES provided in each survey</w:t>
      </w:r>
    </w:p>
    <w:p w14:paraId="5B3DDF30" w14:textId="77777777" w:rsidR="00BD7D3C" w:rsidRPr="00FD545F" w:rsidRDefault="00BD7D3C" w:rsidP="00BD7D3C">
      <w:pPr>
        <w:pStyle w:val="ae"/>
        <w:widowControl/>
        <w:numPr>
          <w:ilvl w:val="0"/>
          <w:numId w:val="14"/>
        </w:numPr>
        <w:ind w:leftChars="0"/>
        <w:contextualSpacing/>
        <w:rPr>
          <w:rFonts w:ascii="Times New Roman" w:hAnsi="Times New Roman" w:cs="Times New Roman"/>
          <w:sz w:val="22"/>
        </w:rPr>
      </w:pPr>
      <w:proofErr w:type="spellStart"/>
      <w:r w:rsidRPr="00FD545F">
        <w:rPr>
          <w:rFonts w:ascii="Times New Roman" w:hAnsi="Times New Roman" w:cs="Times New Roman"/>
          <w:sz w:val="22"/>
        </w:rPr>
        <w:t>Gross</w:t>
      </w:r>
      <w:r w:rsidRPr="00FD545F">
        <w:rPr>
          <w:rFonts w:ascii="Times New Roman" w:hAnsi="Times New Roman" w:cs="Times New Roman"/>
          <w:sz w:val="22"/>
          <w:vertAlign w:val="subscript"/>
        </w:rPr>
        <w:t>h</w:t>
      </w:r>
      <w:proofErr w:type="spellEnd"/>
      <w:r w:rsidRPr="00FD545F">
        <w:rPr>
          <w:rFonts w:ascii="Times New Roman" w:hAnsi="Times New Roman" w:cs="Times New Roman"/>
          <w:sz w:val="22"/>
        </w:rPr>
        <w:t xml:space="preserve"> is the pre-payment poverty head count which is obtained by, </w:t>
      </w:r>
    </w:p>
    <w:p w14:paraId="6FA82BDF" w14:textId="77777777" w:rsidR="00BD7D3C" w:rsidRPr="00FD545F" w:rsidRDefault="00BD7D3C" w:rsidP="00BD7D3C">
      <w:pPr>
        <w:rPr>
          <w:rFonts w:ascii="Times New Roman" w:hAnsi="Times New Roman" w:cs="Times New Roman"/>
          <w:sz w:val="22"/>
        </w:rPr>
      </w:pPr>
      <m:oMathPara>
        <m:oMath>
          <m:r>
            <w:rPr>
              <w:rFonts w:ascii="Cambria Math" w:hAnsi="Cambria Math" w:cs="Times New Roman"/>
              <w:sz w:val="22"/>
            </w:rPr>
            <m:t>Gros</m:t>
          </m:r>
          <m:sSub>
            <m:sSubPr>
              <m:ctrlPr>
                <w:rPr>
                  <w:rFonts w:ascii="Cambria Math" w:hAnsi="Cambria Math" w:cs="Times New Roman"/>
                  <w:i/>
                  <w:sz w:val="22"/>
                </w:rPr>
              </m:ctrlPr>
            </m:sSubPr>
            <m:e>
              <m:r>
                <w:rPr>
                  <w:rFonts w:ascii="Cambria Math" w:hAnsi="Cambria Math" w:cs="Times New Roman"/>
                  <w:sz w:val="22"/>
                </w:rPr>
                <m:t>s</m:t>
              </m:r>
            </m:e>
            <m:sub>
              <m:r>
                <w:rPr>
                  <w:rFonts w:ascii="Cambria Math" w:hAnsi="Cambria Math" w:cs="Times New Roman"/>
                  <w:sz w:val="22"/>
                </w:rPr>
                <m:t>h</m:t>
              </m:r>
            </m:sub>
          </m:sSub>
          <m:r>
            <w:rPr>
              <w:rFonts w:ascii="Cambria Math" w:hAnsi="Cambria Math" w:cs="Times New Roman"/>
              <w:sz w:val="22"/>
            </w:rPr>
            <m:t>=X &lt;PL</m:t>
          </m:r>
        </m:oMath>
      </m:oMathPara>
    </w:p>
    <w:p w14:paraId="21A7F862" w14:textId="77777777" w:rsidR="00BD7D3C" w:rsidRPr="00FD545F" w:rsidRDefault="00BD7D3C" w:rsidP="00BD7D3C">
      <w:pPr>
        <w:pStyle w:val="ae"/>
        <w:widowControl/>
        <w:numPr>
          <w:ilvl w:val="0"/>
          <w:numId w:val="15"/>
        </w:numPr>
        <w:ind w:leftChars="0"/>
        <w:contextualSpacing/>
        <w:rPr>
          <w:rFonts w:ascii="Times New Roman" w:hAnsi="Times New Roman" w:cs="Times New Roman"/>
          <w:sz w:val="22"/>
        </w:rPr>
      </w:pPr>
      <w:proofErr w:type="spellStart"/>
      <w:r w:rsidRPr="00FD545F">
        <w:rPr>
          <w:rFonts w:ascii="Times New Roman" w:hAnsi="Times New Roman" w:cs="Times New Roman"/>
          <w:sz w:val="22"/>
        </w:rPr>
        <w:t>Net</w:t>
      </w:r>
      <w:r w:rsidRPr="00FD545F">
        <w:rPr>
          <w:rFonts w:ascii="Times New Roman" w:hAnsi="Times New Roman" w:cs="Times New Roman"/>
          <w:sz w:val="22"/>
          <w:vertAlign w:val="subscript"/>
        </w:rPr>
        <w:t>x</w:t>
      </w:r>
      <w:proofErr w:type="spellEnd"/>
      <w:r w:rsidRPr="00FD545F">
        <w:rPr>
          <w:rFonts w:ascii="Times New Roman" w:hAnsi="Times New Roman" w:cs="Times New Roman"/>
          <w:sz w:val="22"/>
        </w:rPr>
        <w:t xml:space="preserve"> is the per capita total expenditure after paying health care</w:t>
      </w:r>
    </w:p>
    <w:p w14:paraId="43F09082" w14:textId="77777777" w:rsidR="00BD7D3C" w:rsidRPr="00FD545F" w:rsidRDefault="00BD7D3C" w:rsidP="00BD7D3C">
      <w:pPr>
        <w:pStyle w:val="ae"/>
        <w:widowControl/>
        <w:numPr>
          <w:ilvl w:val="0"/>
          <w:numId w:val="15"/>
        </w:numPr>
        <w:ind w:leftChars="0"/>
        <w:contextualSpacing/>
        <w:rPr>
          <w:rFonts w:ascii="Times New Roman" w:hAnsi="Times New Roman" w:cs="Times New Roman"/>
          <w:sz w:val="22"/>
        </w:rPr>
      </w:pPr>
      <w:r w:rsidRPr="00FD545F">
        <w:rPr>
          <w:rFonts w:ascii="Times New Roman" w:hAnsi="Times New Roman" w:cs="Times New Roman"/>
          <w:sz w:val="22"/>
        </w:rPr>
        <w:t xml:space="preserve">OOP is the out-of-pocket payment for health </w:t>
      </w:r>
    </w:p>
    <w:p w14:paraId="7EE49AF2" w14:textId="77777777" w:rsidR="00BD7D3C" w:rsidRPr="00FD545F" w:rsidRDefault="00BD7D3C" w:rsidP="00BD7D3C">
      <w:pPr>
        <w:pStyle w:val="ae"/>
        <w:widowControl/>
        <w:numPr>
          <w:ilvl w:val="0"/>
          <w:numId w:val="15"/>
        </w:numPr>
        <w:ind w:leftChars="0"/>
        <w:contextualSpacing/>
        <w:rPr>
          <w:rFonts w:ascii="Times New Roman" w:hAnsi="Times New Roman" w:cs="Times New Roman"/>
          <w:sz w:val="22"/>
        </w:rPr>
      </w:pPr>
      <w:proofErr w:type="spellStart"/>
      <w:r w:rsidRPr="00FD545F">
        <w:rPr>
          <w:rFonts w:ascii="Times New Roman" w:hAnsi="Times New Roman" w:cs="Times New Roman"/>
          <w:sz w:val="22"/>
        </w:rPr>
        <w:t>Net</w:t>
      </w:r>
      <w:r w:rsidRPr="00FD545F">
        <w:rPr>
          <w:rFonts w:ascii="Times New Roman" w:hAnsi="Times New Roman" w:cs="Times New Roman"/>
          <w:sz w:val="22"/>
          <w:vertAlign w:val="subscript"/>
        </w:rPr>
        <w:t>h</w:t>
      </w:r>
      <w:proofErr w:type="spellEnd"/>
      <w:r w:rsidRPr="00FD545F">
        <w:rPr>
          <w:rFonts w:ascii="Times New Roman" w:hAnsi="Times New Roman" w:cs="Times New Roman"/>
          <w:sz w:val="22"/>
        </w:rPr>
        <w:t xml:space="preserve"> is the post payment poverty head count which is obtained by </w:t>
      </w:r>
    </w:p>
    <w:p w14:paraId="2319404F" w14:textId="77777777" w:rsidR="00BD7D3C" w:rsidRPr="00FD545F" w:rsidRDefault="00BD7D3C" w:rsidP="00BD7D3C">
      <w:pPr>
        <w:rPr>
          <w:rFonts w:ascii="Times New Roman" w:hAnsi="Times New Roman" w:cs="Times New Roman"/>
          <w:sz w:val="22"/>
        </w:rPr>
      </w:pPr>
      <m:oMathPara>
        <m:oMath>
          <m:r>
            <w:rPr>
              <w:rFonts w:ascii="Cambria Math" w:hAnsi="Cambria Math" w:cs="Times New Roman"/>
              <w:sz w:val="22"/>
            </w:rPr>
            <m:t>Ne</m:t>
          </m:r>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x</m:t>
              </m:r>
            </m:sub>
          </m:sSub>
          <m:r>
            <w:rPr>
              <w:rFonts w:ascii="Cambria Math" w:hAnsi="Cambria Math" w:cs="Times New Roman"/>
              <w:sz w:val="22"/>
            </w:rPr>
            <m:t>=X-OOP</m:t>
          </m:r>
        </m:oMath>
      </m:oMathPara>
    </w:p>
    <w:p w14:paraId="1AC4DD0F" w14:textId="77777777" w:rsidR="00BD7D3C" w:rsidRPr="00FD545F" w:rsidRDefault="00BD7D3C" w:rsidP="00BD7D3C">
      <w:pPr>
        <w:rPr>
          <w:rFonts w:ascii="Times New Roman" w:hAnsi="Times New Roman" w:cs="Times New Roman"/>
          <w:sz w:val="22"/>
        </w:rPr>
      </w:pPr>
      <m:oMathPara>
        <m:oMath>
          <m:r>
            <w:rPr>
              <w:rFonts w:ascii="Cambria Math" w:hAnsi="Cambria Math" w:cs="Times New Roman"/>
              <w:sz w:val="22"/>
            </w:rPr>
            <m:t>Ne</m:t>
          </m:r>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h</m:t>
              </m:r>
            </m:sub>
          </m:sSub>
          <m:r>
            <w:rPr>
              <w:rFonts w:ascii="Cambria Math" w:hAnsi="Cambria Math" w:cs="Times New Roman"/>
              <w:sz w:val="22"/>
            </w:rPr>
            <m:t>=Ne</m:t>
          </m:r>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x</m:t>
              </m:r>
            </m:sub>
          </m:sSub>
          <m:r>
            <w:rPr>
              <w:rFonts w:ascii="Cambria Math" w:hAnsi="Cambria Math" w:cs="Times New Roman"/>
              <w:sz w:val="22"/>
            </w:rPr>
            <m:t>&lt;PL</m:t>
          </m:r>
        </m:oMath>
      </m:oMathPara>
    </w:p>
    <w:p w14:paraId="0D61516F" w14:textId="77777777" w:rsidR="00BD7D3C" w:rsidRPr="00FD545F" w:rsidRDefault="00BD7D3C" w:rsidP="00BD7D3C">
      <w:pPr>
        <w:pStyle w:val="ae"/>
        <w:widowControl/>
        <w:numPr>
          <w:ilvl w:val="0"/>
          <w:numId w:val="16"/>
        </w:numPr>
        <w:ind w:leftChars="0"/>
        <w:contextualSpacing/>
        <w:rPr>
          <w:rFonts w:ascii="Times New Roman" w:hAnsi="Times New Roman" w:cs="Times New Roman"/>
          <w:sz w:val="22"/>
        </w:rPr>
      </w:pPr>
      <w:r w:rsidRPr="00FD545F">
        <w:rPr>
          <w:rFonts w:ascii="Times New Roman" w:hAnsi="Times New Roman" w:cs="Times New Roman"/>
          <w:sz w:val="22"/>
        </w:rPr>
        <w:t xml:space="preserve">The poverty head count due to OOP payment is estimated by </w:t>
      </w:r>
    </w:p>
    <w:p w14:paraId="697DBFA7" w14:textId="77777777" w:rsidR="00BD7D3C" w:rsidRPr="00FD545F" w:rsidRDefault="00BD7D3C" w:rsidP="00BD7D3C">
      <w:pPr>
        <w:pStyle w:val="a3"/>
        <w:rPr>
          <w:rFonts w:ascii="Times New Roman" w:hAnsi="Times New Roman" w:cs="Times New Roman"/>
          <w:b/>
          <w:bCs/>
          <w:sz w:val="22"/>
        </w:rPr>
      </w:pPr>
      <m:oMathPara>
        <m:oMath>
          <m:r>
            <w:rPr>
              <w:rFonts w:ascii="Cambria Math" w:hAnsi="Cambria Math" w:cs="Times New Roman"/>
              <w:sz w:val="22"/>
            </w:rPr>
            <m:t>Dif</m:t>
          </m:r>
          <m:sSub>
            <m:sSubPr>
              <m:ctrlPr>
                <w:rPr>
                  <w:rFonts w:ascii="Cambria Math" w:hAnsi="Cambria Math" w:cs="Times New Roman"/>
                  <w:i/>
                  <w:sz w:val="22"/>
                </w:rPr>
              </m:ctrlPr>
            </m:sSubPr>
            <m:e>
              <m:r>
                <w:rPr>
                  <w:rFonts w:ascii="Cambria Math" w:hAnsi="Cambria Math" w:cs="Times New Roman"/>
                  <w:sz w:val="22"/>
                </w:rPr>
                <m:t>f</m:t>
              </m:r>
            </m:e>
            <m:sub>
              <m:r>
                <w:rPr>
                  <w:rFonts w:ascii="Cambria Math" w:hAnsi="Cambria Math" w:cs="Times New Roman"/>
                  <w:sz w:val="22"/>
                </w:rPr>
                <m:t>h</m:t>
              </m:r>
            </m:sub>
          </m:sSub>
          <m:r>
            <w:rPr>
              <w:rFonts w:ascii="Cambria Math" w:hAnsi="Cambria Math" w:cs="Times New Roman"/>
              <w:sz w:val="22"/>
            </w:rPr>
            <m:t>=Ne</m:t>
          </m:r>
          <m:sSub>
            <m:sSubPr>
              <m:ctrlPr>
                <w:rPr>
                  <w:rFonts w:ascii="Cambria Math" w:hAnsi="Cambria Math" w:cs="Times New Roman"/>
                  <w:i/>
                  <w:sz w:val="22"/>
                </w:rPr>
              </m:ctrlPr>
            </m:sSubPr>
            <m:e>
              <m:r>
                <w:rPr>
                  <w:rFonts w:ascii="Cambria Math" w:hAnsi="Cambria Math" w:cs="Times New Roman"/>
                  <w:sz w:val="22"/>
                </w:rPr>
                <m:t>t</m:t>
              </m:r>
            </m:e>
            <m:sub>
              <m:r>
                <w:rPr>
                  <w:rFonts w:ascii="Cambria Math" w:hAnsi="Cambria Math" w:cs="Times New Roman"/>
                  <w:sz w:val="22"/>
                </w:rPr>
                <m:t>h</m:t>
              </m:r>
            </m:sub>
          </m:sSub>
          <m:r>
            <w:rPr>
              <w:rFonts w:ascii="Cambria Math" w:hAnsi="Cambria Math" w:cs="Times New Roman"/>
              <w:sz w:val="22"/>
            </w:rPr>
            <m:t>-Gros</m:t>
          </m:r>
          <m:sSub>
            <m:sSubPr>
              <m:ctrlPr>
                <w:rPr>
                  <w:rFonts w:ascii="Cambria Math" w:hAnsi="Cambria Math" w:cs="Times New Roman"/>
                  <w:i/>
                  <w:sz w:val="22"/>
                </w:rPr>
              </m:ctrlPr>
            </m:sSubPr>
            <m:e>
              <m:r>
                <w:rPr>
                  <w:rFonts w:ascii="Cambria Math" w:hAnsi="Cambria Math" w:cs="Times New Roman"/>
                  <w:sz w:val="22"/>
                </w:rPr>
                <m:t>s</m:t>
              </m:r>
            </m:e>
            <m:sub>
              <m:r>
                <w:rPr>
                  <w:rFonts w:ascii="Cambria Math" w:hAnsi="Cambria Math" w:cs="Times New Roman"/>
                  <w:sz w:val="22"/>
                </w:rPr>
                <m:t>h</m:t>
              </m:r>
            </m:sub>
          </m:sSub>
        </m:oMath>
      </m:oMathPara>
    </w:p>
    <w:p w14:paraId="182E4994" w14:textId="77777777" w:rsidR="00BD7D3C" w:rsidRPr="00FD545F" w:rsidRDefault="00BD7D3C" w:rsidP="00BD7D3C">
      <w:pPr>
        <w:widowControl/>
        <w:jc w:val="left"/>
        <w:rPr>
          <w:rFonts w:ascii="Times New Roman" w:hAnsi="Times New Roman"/>
          <w:sz w:val="22"/>
        </w:rPr>
      </w:pPr>
      <w:r w:rsidRPr="00FD545F">
        <w:rPr>
          <w:rFonts w:ascii="Times New Roman" w:hAnsi="Times New Roman"/>
          <w:sz w:val="22"/>
        </w:rPr>
        <w:br w:type="page"/>
      </w:r>
    </w:p>
    <w:p w14:paraId="7CE80C35" w14:textId="53648092" w:rsidR="00B743BA" w:rsidRPr="006E6F60" w:rsidRDefault="00B743BA" w:rsidP="00344565">
      <w:pPr>
        <w:rPr>
          <w:rFonts w:ascii="Times New Roman" w:eastAsia="游ゴシック" w:hAnsi="Times New Roman" w:cs="Times New Roman"/>
          <w:b/>
          <w:bCs/>
          <w:color w:val="000000"/>
          <w:kern w:val="0"/>
          <w:sz w:val="24"/>
          <w:szCs w:val="24"/>
          <w:lang w:val="en-US"/>
        </w:rPr>
      </w:pPr>
      <w:r w:rsidRPr="00FD545F">
        <w:rPr>
          <w:rFonts w:ascii="Times New Roman" w:hAnsi="Times New Roman" w:cs="Times New Roman"/>
          <w:b/>
          <w:bCs/>
          <w:sz w:val="24"/>
          <w:szCs w:val="24"/>
        </w:rPr>
        <w:lastRenderedPageBreak/>
        <w:t>Ap</w:t>
      </w:r>
      <w:r w:rsidRPr="006E6F60">
        <w:rPr>
          <w:rFonts w:ascii="Times New Roman" w:hAnsi="Times New Roman" w:cs="Times New Roman"/>
          <w:b/>
          <w:bCs/>
          <w:sz w:val="24"/>
          <w:szCs w:val="24"/>
        </w:rPr>
        <w:t xml:space="preserve">pendix section </w:t>
      </w:r>
      <w:r w:rsidR="00ED40E7" w:rsidRPr="006E6F60">
        <w:rPr>
          <w:rFonts w:ascii="Times New Roman" w:hAnsi="Times New Roman" w:cs="Times New Roman"/>
          <w:b/>
          <w:bCs/>
          <w:sz w:val="24"/>
          <w:szCs w:val="24"/>
        </w:rPr>
        <w:t>4</w:t>
      </w:r>
      <w:r w:rsidRPr="006E6F60">
        <w:rPr>
          <w:rFonts w:ascii="Times New Roman" w:hAnsi="Times New Roman" w:cs="Times New Roman"/>
          <w:b/>
          <w:bCs/>
          <w:sz w:val="24"/>
          <w:szCs w:val="24"/>
        </w:rPr>
        <w:t>:</w:t>
      </w:r>
      <w:r w:rsidRPr="006E6F60">
        <w:rPr>
          <w:rFonts w:ascii="Times New Roman" w:eastAsia="游ゴシック" w:hAnsi="Times New Roman" w:cs="Times New Roman"/>
          <w:b/>
          <w:bCs/>
          <w:color w:val="000000"/>
          <w:kern w:val="0"/>
          <w:sz w:val="24"/>
          <w:szCs w:val="24"/>
          <w:lang w:val="en-US"/>
        </w:rPr>
        <w:t xml:space="preserve"> </w:t>
      </w:r>
      <w:r w:rsidR="00344565" w:rsidRPr="006E6F60">
        <w:rPr>
          <w:rFonts w:ascii="Times New Roman" w:eastAsia="游ゴシック" w:hAnsi="Times New Roman" w:cs="Times New Roman"/>
          <w:b/>
          <w:bCs/>
          <w:color w:val="000000"/>
          <w:kern w:val="0"/>
          <w:sz w:val="24"/>
          <w:szCs w:val="24"/>
          <w:lang w:val="en-US"/>
        </w:rPr>
        <w:t>Predictor variables for trend and projection analysis and d</w:t>
      </w:r>
      <w:r w:rsidRPr="006E6F60">
        <w:rPr>
          <w:rFonts w:ascii="Times New Roman" w:eastAsia="游ゴシック" w:hAnsi="Times New Roman" w:cs="Times New Roman"/>
          <w:b/>
          <w:bCs/>
          <w:color w:val="000000"/>
          <w:kern w:val="0"/>
          <w:sz w:val="24"/>
          <w:szCs w:val="24"/>
          <w:lang w:val="en-US"/>
        </w:rPr>
        <w:t>ata of internally displaced people and definition of population density</w:t>
      </w:r>
    </w:p>
    <w:p w14:paraId="6D295AB7" w14:textId="77777777" w:rsidR="00B743BA" w:rsidRPr="006E6F60" w:rsidRDefault="00B743BA" w:rsidP="00B743BA">
      <w:pPr>
        <w:rPr>
          <w:rFonts w:ascii="Times New Roman" w:hAnsi="Times New Roman" w:cs="Times New Roman"/>
          <w:sz w:val="20"/>
          <w:szCs w:val="20"/>
        </w:rPr>
      </w:pPr>
    </w:p>
    <w:p w14:paraId="668A1C48" w14:textId="34A194FF" w:rsidR="00B743BA" w:rsidRPr="00FD545F" w:rsidRDefault="00B743BA" w:rsidP="00B743BA">
      <w:pPr>
        <w:rPr>
          <w:rFonts w:ascii="Times New Roman" w:hAnsi="Times New Roman" w:cs="Times New Roman"/>
          <w:sz w:val="22"/>
        </w:rPr>
      </w:pPr>
      <w:r w:rsidRPr="006E6F60">
        <w:rPr>
          <w:rFonts w:ascii="Times New Roman" w:hAnsi="Times New Roman" w:cs="Times New Roman"/>
          <w:sz w:val="22"/>
        </w:rPr>
        <w:t xml:space="preserve">This study aimed to reflect the associations between displacement and health in assessing UHC trends and projections in Iraq. To identify feasible predictor variables for the study, we considered possible variables such as </w:t>
      </w:r>
      <w:r w:rsidR="00344565" w:rsidRPr="006E6F60">
        <w:rPr>
          <w:rFonts w:ascii="Times New Roman" w:hAnsi="Times New Roman" w:cs="Times New Roman"/>
          <w:sz w:val="22"/>
        </w:rPr>
        <w:t xml:space="preserve">GDP per capita, and health expenditure per capita, </w:t>
      </w:r>
      <w:r w:rsidRPr="006E6F60">
        <w:rPr>
          <w:rFonts w:ascii="Times New Roman" w:hAnsi="Times New Roman" w:cs="Times New Roman"/>
          <w:sz w:val="22"/>
        </w:rPr>
        <w:t>the numbers of internally displaced people (IDPs), returnees, physicians and civilian deaths from violence as well as life expectancy at birth. Through the assessment of data availability, we selected three predictor variables: the numbers of ID</w:t>
      </w:r>
      <w:r w:rsidRPr="00FD545F">
        <w:rPr>
          <w:rFonts w:ascii="Times New Roman" w:hAnsi="Times New Roman" w:cs="Times New Roman"/>
          <w:sz w:val="22"/>
        </w:rPr>
        <w:t>Ps, population density (both are at the subnational level) and total health expenditure per capita (at the national level) from 2000 to 2018</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r>
      <w:r w:rsidR="00513940">
        <w:rPr>
          <w:rFonts w:ascii="Times New Roman" w:hAnsi="Times New Roman" w:cs="Times New Roman"/>
          <w:sz w:val="22"/>
        </w:rPr>
        <w:instrText xml:space="preserve"> ADDIN EN.CITE &lt;EndNote&gt;&lt;Cite&gt;&lt;Author&gt;World Health Organisation&lt;/Author&gt;&lt;Year&gt;2019&lt;/Year&gt;&lt;IDText&gt;Global Health Expenditure Database&lt;/IDText&gt;&lt;DisplayText&gt;[8]&lt;/DisplayText&gt;&lt;record&gt;&lt;urls&gt;&lt;related-urls&gt;&lt;url&gt;https://apps.who.int/nha/database/ViewData/Indicators/en&lt;/url&gt;&lt;/related-urls&gt;&lt;/urls&gt;&lt;titles&gt;&lt;title&gt;Global Health Expenditure Database&lt;/title&gt;&lt;/titles&gt;&lt;number&gt;2 January&lt;/number&gt;&lt;contributors&gt;&lt;authors&gt;&lt;author&gt;World Health Organisation,&lt;/author&gt;&lt;/authors&gt;&lt;/contributors&gt;&lt;added-date format="utc"&gt;1575778274&lt;/added-date&gt;&lt;ref-type name="Web Page"&gt;12&lt;/ref-type&gt;&lt;dates&gt;&lt;year&gt;2019&lt;/year&gt;&lt;/dates&gt;&lt;rec-number&gt;404&lt;/rec-number&gt;&lt;last-updated-date format="utc"&gt;1608468419&lt;/last-updated-date&gt;&lt;volume&gt;2020&lt;/volume&gt;&lt;/record&gt;&lt;/Cite&gt;&lt;/EndNote&gt;</w:instrText>
      </w:r>
      <w:r w:rsidRPr="00FD545F">
        <w:rPr>
          <w:rFonts w:ascii="Times New Roman" w:hAnsi="Times New Roman" w:cs="Times New Roman"/>
          <w:sz w:val="22"/>
        </w:rPr>
        <w:fldChar w:fldCharType="separate"/>
      </w:r>
      <w:r w:rsidR="00513940">
        <w:rPr>
          <w:rFonts w:ascii="Times New Roman" w:hAnsi="Times New Roman" w:cs="Times New Roman"/>
          <w:noProof/>
          <w:sz w:val="22"/>
        </w:rPr>
        <w:t>[8]</w:t>
      </w:r>
      <w:r w:rsidRPr="00FD545F">
        <w:rPr>
          <w:rFonts w:ascii="Times New Roman" w:hAnsi="Times New Roman" w:cs="Times New Roman"/>
          <w:sz w:val="22"/>
        </w:rPr>
        <w:fldChar w:fldCharType="end"/>
      </w:r>
      <w:r w:rsidR="00483EF6">
        <w:rPr>
          <w:rFonts w:ascii="Times New Roman" w:hAnsi="Times New Roman" w:cs="Times New Roman"/>
          <w:sz w:val="22"/>
        </w:rPr>
        <w:t>.</w:t>
      </w:r>
    </w:p>
    <w:p w14:paraId="5B6BF575" w14:textId="77777777" w:rsidR="00B743BA" w:rsidRPr="00FD545F" w:rsidRDefault="00B743BA" w:rsidP="00B743BA">
      <w:pPr>
        <w:rPr>
          <w:rFonts w:ascii="Times New Roman" w:hAnsi="Times New Roman" w:cs="Times New Roman"/>
          <w:sz w:val="22"/>
        </w:rPr>
      </w:pPr>
    </w:p>
    <w:p w14:paraId="57B47AA5" w14:textId="604C77B1" w:rsidR="00B743BA" w:rsidRPr="00FD545F" w:rsidRDefault="00B743BA" w:rsidP="00B743BA">
      <w:pPr>
        <w:rPr>
          <w:rFonts w:ascii="Times New Roman" w:eastAsia="游ゴシック" w:hAnsi="Times New Roman" w:cs="Times New Roman"/>
          <w:color w:val="000000"/>
          <w:kern w:val="0"/>
          <w:sz w:val="22"/>
          <w:lang w:val="en-US"/>
        </w:rPr>
      </w:pPr>
      <w:r w:rsidRPr="00FD545F">
        <w:rPr>
          <w:rFonts w:ascii="Times New Roman" w:hAnsi="Times New Roman" w:cs="Times New Roman"/>
          <w:b/>
          <w:bCs/>
          <w:sz w:val="22"/>
        </w:rPr>
        <w:t>Table A</w:t>
      </w:r>
      <w:r w:rsidR="00457647" w:rsidRPr="00FD545F">
        <w:rPr>
          <w:rFonts w:ascii="Times New Roman" w:hAnsi="Times New Roman" w:cs="Times New Roman"/>
          <w:b/>
          <w:bCs/>
          <w:sz w:val="22"/>
        </w:rPr>
        <w:t>4</w:t>
      </w:r>
      <w:r w:rsidRPr="00FD545F">
        <w:rPr>
          <w:rFonts w:ascii="Times New Roman" w:hAnsi="Times New Roman" w:cs="Times New Roman"/>
          <w:b/>
          <w:bCs/>
          <w:sz w:val="22"/>
        </w:rPr>
        <w:t>:</w:t>
      </w:r>
      <w:bookmarkStart w:id="5" w:name="_Hlk28969783"/>
      <w:r w:rsidRPr="00FD545F">
        <w:rPr>
          <w:rFonts w:ascii="Times New Roman" w:hAnsi="Times New Roman" w:cs="Times New Roman"/>
          <w:b/>
          <w:bCs/>
          <w:sz w:val="22"/>
        </w:rPr>
        <w:t xml:space="preserve"> </w:t>
      </w:r>
      <w:r w:rsidRPr="00FD545F">
        <w:rPr>
          <w:rFonts w:ascii="Times New Roman" w:eastAsia="游ゴシック" w:hAnsi="Times New Roman" w:cs="Times New Roman"/>
          <w:b/>
          <w:bCs/>
          <w:color w:val="000000"/>
          <w:kern w:val="0"/>
          <w:sz w:val="22"/>
          <w:lang w:val="en-US"/>
        </w:rPr>
        <w:t>The list of organisations and data for the numbers of internally displaced people</w:t>
      </w:r>
      <w:bookmarkEnd w:id="5"/>
    </w:p>
    <w:tbl>
      <w:tblPr>
        <w:tblW w:w="9072" w:type="dxa"/>
        <w:tblLayout w:type="fixed"/>
        <w:tblCellMar>
          <w:left w:w="99" w:type="dxa"/>
          <w:right w:w="99" w:type="dxa"/>
        </w:tblCellMar>
        <w:tblLook w:val="04A0" w:firstRow="1" w:lastRow="0" w:firstColumn="1" w:lastColumn="0" w:noHBand="0" w:noVBand="1"/>
      </w:tblPr>
      <w:tblGrid>
        <w:gridCol w:w="3686"/>
        <w:gridCol w:w="283"/>
        <w:gridCol w:w="5103"/>
      </w:tblGrid>
      <w:tr w:rsidR="00B743BA" w:rsidRPr="00FD545F" w14:paraId="32F7754D" w14:textId="77777777" w:rsidTr="00ED40E7">
        <w:trPr>
          <w:trHeight w:val="497"/>
        </w:trPr>
        <w:tc>
          <w:tcPr>
            <w:tcW w:w="3686" w:type="dxa"/>
            <w:tcBorders>
              <w:top w:val="single" w:sz="4" w:space="0" w:color="auto"/>
              <w:left w:val="nil"/>
              <w:bottom w:val="single" w:sz="4" w:space="0" w:color="auto"/>
              <w:right w:val="nil"/>
            </w:tcBorders>
            <w:shd w:val="clear" w:color="auto" w:fill="auto"/>
            <w:vAlign w:val="center"/>
            <w:hideMark/>
          </w:tcPr>
          <w:p w14:paraId="41D1F06C" w14:textId="77777777" w:rsidR="00B743BA" w:rsidRPr="00FD545F" w:rsidRDefault="00B743BA" w:rsidP="00ED40E7">
            <w:pPr>
              <w:widowControl/>
              <w:spacing w:line="240" w:lineRule="exact"/>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Organisations</w:t>
            </w:r>
          </w:p>
        </w:tc>
        <w:tc>
          <w:tcPr>
            <w:tcW w:w="283" w:type="dxa"/>
            <w:tcBorders>
              <w:top w:val="single" w:sz="4" w:space="0" w:color="auto"/>
              <w:left w:val="nil"/>
              <w:bottom w:val="single" w:sz="4" w:space="0" w:color="auto"/>
              <w:right w:val="nil"/>
            </w:tcBorders>
          </w:tcPr>
          <w:p w14:paraId="2E0128F7" w14:textId="77777777" w:rsidR="00B743BA" w:rsidRPr="00FD545F" w:rsidRDefault="00B743BA" w:rsidP="00ED40E7">
            <w:pPr>
              <w:widowControl/>
              <w:spacing w:line="240" w:lineRule="exact"/>
              <w:rPr>
                <w:rFonts w:ascii="Times New Roman" w:eastAsia="ＭＳ Ｐゴシック" w:hAnsi="Times New Roman" w:cs="Times New Roman"/>
                <w:color w:val="000000"/>
                <w:kern w:val="0"/>
                <w:sz w:val="20"/>
                <w:szCs w:val="20"/>
                <w:lang w:val="en-US"/>
              </w:rPr>
            </w:pPr>
          </w:p>
        </w:tc>
        <w:tc>
          <w:tcPr>
            <w:tcW w:w="5103" w:type="dxa"/>
            <w:tcBorders>
              <w:top w:val="single" w:sz="4" w:space="0" w:color="auto"/>
              <w:left w:val="nil"/>
              <w:bottom w:val="single" w:sz="4" w:space="0" w:color="auto"/>
              <w:right w:val="nil"/>
            </w:tcBorders>
            <w:shd w:val="clear" w:color="auto" w:fill="auto"/>
            <w:noWrap/>
            <w:vAlign w:val="center"/>
            <w:hideMark/>
          </w:tcPr>
          <w:p w14:paraId="7D8D5B60" w14:textId="77777777" w:rsidR="00B743BA" w:rsidRPr="00FD545F" w:rsidRDefault="00B743BA" w:rsidP="00ED40E7">
            <w:pPr>
              <w:widowControl/>
              <w:spacing w:line="240" w:lineRule="exact"/>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Data</w:t>
            </w:r>
          </w:p>
        </w:tc>
      </w:tr>
      <w:tr w:rsidR="00B743BA" w:rsidRPr="00FD545F" w14:paraId="1B5B4A4D" w14:textId="77777777" w:rsidTr="00ED40E7">
        <w:trPr>
          <w:trHeight w:val="260"/>
        </w:trPr>
        <w:tc>
          <w:tcPr>
            <w:tcW w:w="3686" w:type="dxa"/>
            <w:tcBorders>
              <w:top w:val="nil"/>
              <w:left w:val="nil"/>
              <w:bottom w:val="nil"/>
              <w:right w:val="nil"/>
            </w:tcBorders>
            <w:shd w:val="clear" w:color="auto" w:fill="auto"/>
            <w:noWrap/>
            <w:vAlign w:val="bottom"/>
            <w:hideMark/>
          </w:tcPr>
          <w:p w14:paraId="5A5BD586"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KRSO</w:t>
            </w:r>
          </w:p>
        </w:tc>
        <w:tc>
          <w:tcPr>
            <w:tcW w:w="283" w:type="dxa"/>
            <w:tcBorders>
              <w:top w:val="nil"/>
              <w:left w:val="nil"/>
              <w:bottom w:val="nil"/>
              <w:right w:val="nil"/>
            </w:tcBorders>
          </w:tcPr>
          <w:p w14:paraId="101B6B9F"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06FC627F"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IDP data 2003-2006</w:t>
            </w:r>
          </w:p>
        </w:tc>
      </w:tr>
      <w:tr w:rsidR="00B743BA" w:rsidRPr="00FD545F" w14:paraId="06985629" w14:textId="77777777" w:rsidTr="00ED40E7">
        <w:trPr>
          <w:trHeight w:val="260"/>
        </w:trPr>
        <w:tc>
          <w:tcPr>
            <w:tcW w:w="3686" w:type="dxa"/>
            <w:tcBorders>
              <w:top w:val="nil"/>
              <w:left w:val="nil"/>
              <w:bottom w:val="nil"/>
              <w:right w:val="nil"/>
            </w:tcBorders>
            <w:shd w:val="clear" w:color="auto" w:fill="auto"/>
            <w:noWrap/>
            <w:vAlign w:val="bottom"/>
            <w:hideMark/>
          </w:tcPr>
          <w:p w14:paraId="183E2D3D"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Iraq Ministry of Displacement and Migration</w:t>
            </w:r>
          </w:p>
        </w:tc>
        <w:tc>
          <w:tcPr>
            <w:tcW w:w="283" w:type="dxa"/>
            <w:tcBorders>
              <w:top w:val="nil"/>
              <w:left w:val="nil"/>
              <w:bottom w:val="nil"/>
              <w:right w:val="nil"/>
            </w:tcBorders>
          </w:tcPr>
          <w:p w14:paraId="245A38A8"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343C410D"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IDP data 2008</w:t>
            </w:r>
          </w:p>
        </w:tc>
      </w:tr>
      <w:tr w:rsidR="00B743BA" w:rsidRPr="00FD545F" w14:paraId="7665BE8C" w14:textId="77777777" w:rsidTr="00ED40E7">
        <w:trPr>
          <w:trHeight w:val="260"/>
        </w:trPr>
        <w:tc>
          <w:tcPr>
            <w:tcW w:w="3686" w:type="dxa"/>
            <w:tcBorders>
              <w:top w:val="nil"/>
              <w:left w:val="nil"/>
              <w:bottom w:val="nil"/>
              <w:right w:val="nil"/>
            </w:tcBorders>
            <w:shd w:val="clear" w:color="auto" w:fill="auto"/>
            <w:noWrap/>
            <w:hideMark/>
          </w:tcPr>
          <w:p w14:paraId="1D2E0C7B"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UNHCR</w:t>
            </w:r>
          </w:p>
        </w:tc>
        <w:tc>
          <w:tcPr>
            <w:tcW w:w="283" w:type="dxa"/>
            <w:tcBorders>
              <w:top w:val="nil"/>
              <w:left w:val="nil"/>
              <w:bottom w:val="nil"/>
              <w:right w:val="nil"/>
            </w:tcBorders>
          </w:tcPr>
          <w:p w14:paraId="0AA19D42"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751AA6E5"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Assessment Report 2000, 2006-2013</w:t>
            </w:r>
          </w:p>
          <w:p w14:paraId="1A8188B1"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Operational Portal Iraq: IDP Situations</w:t>
            </w:r>
          </w:p>
        </w:tc>
      </w:tr>
      <w:tr w:rsidR="00B743BA" w:rsidRPr="00FD545F" w14:paraId="3F9454A4" w14:textId="77777777" w:rsidTr="00ED40E7">
        <w:trPr>
          <w:trHeight w:val="260"/>
        </w:trPr>
        <w:tc>
          <w:tcPr>
            <w:tcW w:w="3686" w:type="dxa"/>
            <w:tcBorders>
              <w:top w:val="nil"/>
              <w:left w:val="nil"/>
              <w:bottom w:val="nil"/>
              <w:right w:val="nil"/>
            </w:tcBorders>
            <w:shd w:val="clear" w:color="auto" w:fill="auto"/>
            <w:noWrap/>
            <w:hideMark/>
          </w:tcPr>
          <w:p w14:paraId="384BEF4E"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WFP</w:t>
            </w:r>
          </w:p>
        </w:tc>
        <w:tc>
          <w:tcPr>
            <w:tcW w:w="283" w:type="dxa"/>
            <w:tcBorders>
              <w:top w:val="nil"/>
              <w:left w:val="nil"/>
              <w:bottom w:val="nil"/>
              <w:right w:val="nil"/>
            </w:tcBorders>
          </w:tcPr>
          <w:p w14:paraId="54285349"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2A0FEA18"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Comprehensive Food Security and Vulnerability Analysis (CFSVA) 2006, 2008 and 2016</w:t>
            </w:r>
          </w:p>
        </w:tc>
      </w:tr>
      <w:tr w:rsidR="00B743BA" w:rsidRPr="00FD545F" w14:paraId="7D269D40" w14:textId="77777777" w:rsidTr="00ED40E7">
        <w:trPr>
          <w:trHeight w:val="260"/>
        </w:trPr>
        <w:tc>
          <w:tcPr>
            <w:tcW w:w="3686" w:type="dxa"/>
            <w:tcBorders>
              <w:top w:val="nil"/>
              <w:left w:val="nil"/>
              <w:bottom w:val="nil"/>
              <w:right w:val="nil"/>
            </w:tcBorders>
            <w:shd w:val="clear" w:color="auto" w:fill="auto"/>
            <w:noWrap/>
            <w:vAlign w:val="bottom"/>
            <w:hideMark/>
          </w:tcPr>
          <w:p w14:paraId="387FDAB7"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IDMC</w:t>
            </w:r>
          </w:p>
        </w:tc>
        <w:tc>
          <w:tcPr>
            <w:tcW w:w="283" w:type="dxa"/>
            <w:tcBorders>
              <w:top w:val="nil"/>
              <w:left w:val="nil"/>
              <w:bottom w:val="nil"/>
              <w:right w:val="nil"/>
            </w:tcBorders>
          </w:tcPr>
          <w:p w14:paraId="1BF66EBB"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5802C403"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IDP data 2008</w:t>
            </w:r>
          </w:p>
        </w:tc>
      </w:tr>
      <w:tr w:rsidR="00B743BA" w:rsidRPr="00FD545F" w14:paraId="78E1547B" w14:textId="77777777" w:rsidTr="00ED40E7">
        <w:trPr>
          <w:trHeight w:val="260"/>
        </w:trPr>
        <w:tc>
          <w:tcPr>
            <w:tcW w:w="3686" w:type="dxa"/>
            <w:tcBorders>
              <w:top w:val="nil"/>
              <w:left w:val="nil"/>
              <w:bottom w:val="nil"/>
              <w:right w:val="nil"/>
            </w:tcBorders>
            <w:shd w:val="clear" w:color="auto" w:fill="auto"/>
            <w:noWrap/>
            <w:vAlign w:val="bottom"/>
            <w:hideMark/>
          </w:tcPr>
          <w:p w14:paraId="4D6B8B3F"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IOM</w:t>
            </w:r>
          </w:p>
        </w:tc>
        <w:tc>
          <w:tcPr>
            <w:tcW w:w="283" w:type="dxa"/>
            <w:tcBorders>
              <w:top w:val="nil"/>
              <w:left w:val="nil"/>
              <w:bottom w:val="nil"/>
              <w:right w:val="nil"/>
            </w:tcBorders>
          </w:tcPr>
          <w:p w14:paraId="31C9D86A"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27801CE5"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Displacement Tracking Matrix (DTM) Iraq 2014-2019</w:t>
            </w:r>
          </w:p>
        </w:tc>
      </w:tr>
      <w:tr w:rsidR="00B743BA" w:rsidRPr="00FD545F" w14:paraId="3DF6D98E" w14:textId="77777777" w:rsidTr="00ED40E7">
        <w:trPr>
          <w:trHeight w:val="260"/>
        </w:trPr>
        <w:tc>
          <w:tcPr>
            <w:tcW w:w="3686" w:type="dxa"/>
            <w:tcBorders>
              <w:top w:val="nil"/>
              <w:left w:val="nil"/>
              <w:bottom w:val="nil"/>
              <w:right w:val="nil"/>
            </w:tcBorders>
            <w:shd w:val="clear" w:color="auto" w:fill="auto"/>
            <w:noWrap/>
            <w:vAlign w:val="bottom"/>
            <w:hideMark/>
          </w:tcPr>
          <w:p w14:paraId="7772E3F9"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RI</w:t>
            </w:r>
          </w:p>
        </w:tc>
        <w:tc>
          <w:tcPr>
            <w:tcW w:w="283" w:type="dxa"/>
            <w:tcBorders>
              <w:top w:val="nil"/>
              <w:left w:val="nil"/>
              <w:bottom w:val="nil"/>
              <w:right w:val="nil"/>
            </w:tcBorders>
          </w:tcPr>
          <w:p w14:paraId="0DA0B9E0"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nil"/>
              <w:right w:val="nil"/>
            </w:tcBorders>
            <w:shd w:val="clear" w:color="auto" w:fill="auto"/>
            <w:vAlign w:val="center"/>
            <w:hideMark/>
          </w:tcPr>
          <w:p w14:paraId="6A0787EF"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IDP data 2017</w:t>
            </w:r>
          </w:p>
        </w:tc>
      </w:tr>
      <w:tr w:rsidR="00B743BA" w:rsidRPr="00FD545F" w14:paraId="5B08FE3C" w14:textId="77777777" w:rsidTr="00ED40E7">
        <w:trPr>
          <w:trHeight w:val="260"/>
        </w:trPr>
        <w:tc>
          <w:tcPr>
            <w:tcW w:w="3686" w:type="dxa"/>
            <w:tcBorders>
              <w:top w:val="nil"/>
              <w:left w:val="nil"/>
              <w:right w:val="nil"/>
            </w:tcBorders>
            <w:shd w:val="clear" w:color="auto" w:fill="auto"/>
            <w:noWrap/>
            <w:vAlign w:val="bottom"/>
            <w:hideMark/>
          </w:tcPr>
          <w:p w14:paraId="4204EE7C"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OCHA</w:t>
            </w:r>
          </w:p>
        </w:tc>
        <w:tc>
          <w:tcPr>
            <w:tcW w:w="283" w:type="dxa"/>
            <w:tcBorders>
              <w:top w:val="nil"/>
              <w:left w:val="nil"/>
              <w:right w:val="nil"/>
            </w:tcBorders>
          </w:tcPr>
          <w:p w14:paraId="523DD2FA"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right w:val="nil"/>
            </w:tcBorders>
            <w:shd w:val="clear" w:color="auto" w:fill="auto"/>
            <w:vAlign w:val="center"/>
            <w:hideMark/>
          </w:tcPr>
          <w:p w14:paraId="28D3A90C"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Humanitarian operation dataset 2019</w:t>
            </w:r>
          </w:p>
        </w:tc>
      </w:tr>
      <w:tr w:rsidR="00B743BA" w:rsidRPr="00FD545F" w14:paraId="63668480" w14:textId="77777777" w:rsidTr="00ED40E7">
        <w:trPr>
          <w:trHeight w:val="260"/>
        </w:trPr>
        <w:tc>
          <w:tcPr>
            <w:tcW w:w="3686" w:type="dxa"/>
            <w:tcBorders>
              <w:top w:val="nil"/>
              <w:left w:val="nil"/>
              <w:bottom w:val="single" w:sz="4" w:space="0" w:color="auto"/>
              <w:right w:val="nil"/>
            </w:tcBorders>
            <w:shd w:val="clear" w:color="auto" w:fill="auto"/>
            <w:noWrap/>
            <w:vAlign w:val="bottom"/>
            <w:hideMark/>
          </w:tcPr>
          <w:p w14:paraId="030E2B94" w14:textId="77777777" w:rsidR="00B743BA" w:rsidRPr="00FD545F" w:rsidRDefault="00B743BA" w:rsidP="00ED40E7">
            <w:pPr>
              <w:widowControl/>
              <w:rPr>
                <w:rFonts w:ascii="Times New Roman" w:eastAsia="ＭＳ Ｐゴシック" w:hAnsi="Times New Roman" w:cs="Times New Roman"/>
                <w:kern w:val="0"/>
                <w:sz w:val="20"/>
                <w:szCs w:val="20"/>
                <w:lang w:val="en-US"/>
              </w:rPr>
            </w:pPr>
            <w:r w:rsidRPr="00FD545F">
              <w:rPr>
                <w:rFonts w:ascii="Times New Roman" w:eastAsia="ＭＳ Ｐゴシック" w:hAnsi="Times New Roman" w:cs="Times New Roman"/>
                <w:kern w:val="0"/>
                <w:sz w:val="20"/>
                <w:szCs w:val="20"/>
                <w:lang w:val="en-US"/>
              </w:rPr>
              <w:t>REACH</w:t>
            </w:r>
          </w:p>
        </w:tc>
        <w:tc>
          <w:tcPr>
            <w:tcW w:w="283" w:type="dxa"/>
            <w:tcBorders>
              <w:top w:val="nil"/>
              <w:left w:val="nil"/>
              <w:bottom w:val="single" w:sz="4" w:space="0" w:color="auto"/>
              <w:right w:val="nil"/>
            </w:tcBorders>
          </w:tcPr>
          <w:p w14:paraId="51AA6FD5"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p>
        </w:tc>
        <w:tc>
          <w:tcPr>
            <w:tcW w:w="5103" w:type="dxa"/>
            <w:tcBorders>
              <w:top w:val="nil"/>
              <w:left w:val="nil"/>
              <w:bottom w:val="single" w:sz="4" w:space="0" w:color="auto"/>
              <w:right w:val="nil"/>
            </w:tcBorders>
            <w:shd w:val="clear" w:color="auto" w:fill="auto"/>
            <w:vAlign w:val="center"/>
            <w:hideMark/>
          </w:tcPr>
          <w:p w14:paraId="12911886" w14:textId="77777777" w:rsidR="00B743BA" w:rsidRPr="00FD545F" w:rsidRDefault="00B743BA" w:rsidP="00ED40E7">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Iraq Intentions Survey Round IV 2019</w:t>
            </w:r>
          </w:p>
        </w:tc>
      </w:tr>
    </w:tbl>
    <w:p w14:paraId="6EF608B3" w14:textId="77777777" w:rsidR="00B743BA" w:rsidRPr="00FD545F" w:rsidRDefault="00B743BA" w:rsidP="00B743BA">
      <w:pPr>
        <w:rPr>
          <w:rFonts w:ascii="Times New Roman" w:eastAsia="游ゴシック" w:hAnsi="Times New Roman" w:cs="Times New Roman"/>
          <w:bCs/>
          <w:color w:val="000000"/>
          <w:kern w:val="0"/>
          <w:sz w:val="20"/>
          <w:szCs w:val="20"/>
          <w:lang w:val="en-US"/>
        </w:rPr>
      </w:pPr>
      <w:r w:rsidRPr="00FD545F">
        <w:rPr>
          <w:rFonts w:ascii="Times New Roman" w:eastAsia="游ゴシック" w:hAnsi="Times New Roman" w:cs="Times New Roman"/>
          <w:bCs/>
          <w:color w:val="000000"/>
          <w:kern w:val="0"/>
          <w:sz w:val="20"/>
          <w:szCs w:val="20"/>
          <w:lang w:val="en-US"/>
        </w:rPr>
        <w:t xml:space="preserve">KRSO, Kurdistan Regional Statistics Office; UNHCR, United Nations High Commissioner for Refugees; WFP, World Food Programme; IDMC, Internal Displacement Monitoring Centre; IOM, International Organisation for Migration; RI, Refugees International; OCHA, The Office for the Coordination of Humanitarian Affairs </w:t>
      </w:r>
    </w:p>
    <w:p w14:paraId="6FB8B1F0" w14:textId="77777777" w:rsidR="00B743BA" w:rsidRPr="00FD545F" w:rsidRDefault="00B743BA" w:rsidP="00B743BA">
      <w:pPr>
        <w:widowControl/>
        <w:rPr>
          <w:rFonts w:ascii="Times New Roman" w:eastAsia="游ゴシック" w:hAnsi="Times New Roman" w:cs="Times New Roman"/>
          <w:b/>
          <w:bCs/>
          <w:color w:val="000000"/>
          <w:kern w:val="0"/>
          <w:sz w:val="24"/>
          <w:szCs w:val="24"/>
          <w:lang w:val="en-US"/>
        </w:rPr>
      </w:pPr>
    </w:p>
    <w:p w14:paraId="1B8F2838" w14:textId="77777777" w:rsidR="00B743BA" w:rsidRPr="00FD545F" w:rsidRDefault="00B743BA" w:rsidP="00B743BA">
      <w:pPr>
        <w:pStyle w:val="a3"/>
        <w:rPr>
          <w:rFonts w:ascii="Times New Roman" w:hAnsi="Times New Roman" w:cs="Times New Roman"/>
          <w:b/>
          <w:bCs/>
          <w:sz w:val="24"/>
          <w:szCs w:val="24"/>
        </w:rPr>
      </w:pPr>
      <w:r w:rsidRPr="00FD545F">
        <w:rPr>
          <w:rFonts w:ascii="Times New Roman" w:hAnsi="Times New Roman" w:cs="Times New Roman"/>
          <w:b/>
          <w:bCs/>
          <w:sz w:val="24"/>
          <w:szCs w:val="24"/>
        </w:rPr>
        <w:t>Population density</w:t>
      </w:r>
    </w:p>
    <w:p w14:paraId="5E06B2B3" w14:textId="51A54D29" w:rsidR="00B743BA" w:rsidRPr="00FD545F" w:rsidRDefault="00B743BA" w:rsidP="00B743BA">
      <w:pPr>
        <w:pStyle w:val="a3"/>
        <w:rPr>
          <w:rFonts w:ascii="Times New Roman" w:hAnsi="Times New Roman" w:cs="Times New Roman"/>
          <w:sz w:val="22"/>
        </w:rPr>
      </w:pPr>
      <w:r w:rsidRPr="00FD545F">
        <w:rPr>
          <w:rFonts w:ascii="Times New Roman" w:hAnsi="Times New Roman" w:cs="Times New Roman"/>
          <w:sz w:val="22"/>
        </w:rPr>
        <w:t>Population density of each governorate was the sum of</w:t>
      </w:r>
      <w:r w:rsidR="009D1971">
        <w:rPr>
          <w:rFonts w:ascii="Times New Roman" w:hAnsi="Times New Roman" w:cs="Times New Roman"/>
          <w:sz w:val="22"/>
        </w:rPr>
        <w:t xml:space="preserve"> the</w:t>
      </w:r>
      <w:r w:rsidRPr="00FD545F">
        <w:rPr>
          <w:rFonts w:ascii="Times New Roman" w:hAnsi="Times New Roman" w:cs="Times New Roman"/>
          <w:sz w:val="22"/>
        </w:rPr>
        <w:t xml:space="preserve"> numbers of residen</w:t>
      </w:r>
      <w:r w:rsidR="009D1971">
        <w:rPr>
          <w:rFonts w:ascii="Times New Roman" w:hAnsi="Times New Roman" w:cs="Times New Roman"/>
          <w:sz w:val="22"/>
        </w:rPr>
        <w:t>ts</w:t>
      </w:r>
      <w:r w:rsidRPr="00FD545F">
        <w:rPr>
          <w:rFonts w:ascii="Times New Roman" w:hAnsi="Times New Roman" w:cs="Times New Roman"/>
          <w:sz w:val="22"/>
        </w:rPr>
        <w:t xml:space="preserve"> and IDPs in each governorate, divided by the size of </w:t>
      </w:r>
      <w:r w:rsidR="009D1971">
        <w:rPr>
          <w:rFonts w:ascii="Times New Roman" w:hAnsi="Times New Roman" w:cs="Times New Roman"/>
          <w:sz w:val="22"/>
        </w:rPr>
        <w:t xml:space="preserve">the </w:t>
      </w:r>
      <w:r w:rsidRPr="00FD545F">
        <w:rPr>
          <w:rFonts w:ascii="Times New Roman" w:hAnsi="Times New Roman" w:cs="Times New Roman"/>
          <w:sz w:val="22"/>
        </w:rPr>
        <w:t>area.</w:t>
      </w:r>
    </w:p>
    <w:p w14:paraId="42026C5F" w14:textId="77777777" w:rsidR="00B743BA" w:rsidRPr="00FD545F" w:rsidRDefault="00B743BA" w:rsidP="00B743BA">
      <w:pPr>
        <w:pStyle w:val="a3"/>
        <w:rPr>
          <w:rFonts w:ascii="Times New Roman" w:hAnsi="Times New Roman" w:cs="Times New Roman"/>
          <w:color w:val="000000" w:themeColor="text1"/>
          <w:sz w:val="22"/>
        </w:rPr>
      </w:pPr>
      <m:oMathPara>
        <m:oMath>
          <m:r>
            <w:rPr>
              <w:rFonts w:ascii="Cambria Math" w:hAnsi="Cambria Math" w:cs="Times New Roman"/>
              <w:color w:val="000000" w:themeColor="text1"/>
              <w:sz w:val="22"/>
            </w:rPr>
            <m:t>Population density=</m:t>
          </m:r>
          <m:f>
            <m:fPr>
              <m:ctrlPr>
                <w:rPr>
                  <w:rFonts w:ascii="Cambria Math" w:hAnsi="Cambria Math" w:cs="Times New Roman"/>
                  <w:i/>
                  <w:color w:val="000000" w:themeColor="text1"/>
                  <w:sz w:val="22"/>
                </w:rPr>
              </m:ctrlPr>
            </m:fPr>
            <m:num>
              <m:r>
                <w:rPr>
                  <w:rFonts w:ascii="Cambria Math" w:hAnsi="Cambria Math" w:cs="Times New Roman"/>
                  <w:color w:val="000000" w:themeColor="text1"/>
                  <w:sz w:val="22"/>
                </w:rPr>
                <m:t>number of residence+number of IDPs</m:t>
              </m:r>
            </m:num>
            <m:den>
              <m:r>
                <w:rPr>
                  <w:rFonts w:ascii="Cambria Math" w:hAnsi="Cambria Math" w:cs="Times New Roman"/>
                  <w:color w:val="000000" w:themeColor="text1"/>
                  <w:sz w:val="22"/>
                </w:rPr>
                <m:t>size of area</m:t>
              </m:r>
            </m:den>
          </m:f>
        </m:oMath>
      </m:oMathPara>
    </w:p>
    <w:p w14:paraId="1F715FB9" w14:textId="4D8DFBDB" w:rsidR="00B743BA" w:rsidRPr="00FD545F" w:rsidRDefault="00B743BA" w:rsidP="00FD545F">
      <w:pPr>
        <w:pStyle w:val="a3"/>
        <w:widowControl/>
        <w:rPr>
          <w:rFonts w:ascii="Times New Roman" w:hAnsi="Times New Roman" w:cs="Times New Roman"/>
          <w:sz w:val="22"/>
        </w:rPr>
      </w:pPr>
      <w:r w:rsidRPr="00FD545F">
        <w:rPr>
          <w:rFonts w:ascii="Times New Roman" w:hAnsi="Times New Roman" w:cs="Times New Roman"/>
          <w:sz w:val="22"/>
        </w:rPr>
        <w:t xml:space="preserve">If </w:t>
      </w:r>
      <w:r w:rsidR="009D1971">
        <w:rPr>
          <w:rFonts w:ascii="Times New Roman" w:hAnsi="Times New Roman" w:cs="Times New Roman"/>
          <w:sz w:val="22"/>
        </w:rPr>
        <w:t xml:space="preserve">the </w:t>
      </w:r>
      <w:r w:rsidRPr="00FD545F">
        <w:rPr>
          <w:rFonts w:ascii="Times New Roman" w:hAnsi="Times New Roman" w:cs="Times New Roman"/>
          <w:sz w:val="22"/>
        </w:rPr>
        <w:t>numbers of IDPs and numbers of residen</w:t>
      </w:r>
      <w:r w:rsidR="009D1971">
        <w:rPr>
          <w:rFonts w:ascii="Times New Roman" w:hAnsi="Times New Roman" w:cs="Times New Roman"/>
          <w:sz w:val="22"/>
        </w:rPr>
        <w:t>ts</w:t>
      </w:r>
      <w:r w:rsidRPr="00FD545F">
        <w:rPr>
          <w:rFonts w:ascii="Times New Roman" w:hAnsi="Times New Roman" w:cs="Times New Roman"/>
          <w:sz w:val="22"/>
        </w:rPr>
        <w:t xml:space="preserve">, including the official estimates, were not available, they were estimated out of the numbers in the previous/following years. When inconsistent numbers were found between different organisations, most probable or modest data were used. In this study, </w:t>
      </w:r>
      <w:r w:rsidRPr="00FD545F">
        <w:rPr>
          <w:rFonts w:ascii="Times New Roman" w:hAnsi="Times New Roman" w:cs="Times New Roman"/>
          <w:sz w:val="22"/>
        </w:rPr>
        <w:lastRenderedPageBreak/>
        <w:t>returnees were included in the residence due to limited data, despite the fact that there were returnees who stayed not at home but in the IDP camps in their home governorates.</w:t>
      </w:r>
      <w:r w:rsidR="00FD545F" w:rsidRPr="00FD545F">
        <w:rPr>
          <w:rFonts w:ascii="Times New Roman" w:hAnsi="Times New Roman" w:cs="Times New Roman"/>
          <w:sz w:val="22"/>
        </w:rPr>
        <w:t xml:space="preserve">  </w:t>
      </w:r>
      <w:r w:rsidRPr="00FD545F">
        <w:rPr>
          <w:rFonts w:ascii="Times New Roman" w:hAnsi="Times New Roman" w:cs="Times New Roman"/>
          <w:sz w:val="22"/>
        </w:rPr>
        <w:br w:type="page"/>
      </w:r>
    </w:p>
    <w:p w14:paraId="48C9F382" w14:textId="6A9683CF" w:rsidR="00114562" w:rsidRPr="00FD545F" w:rsidRDefault="00114562" w:rsidP="00114562">
      <w:pPr>
        <w:pStyle w:val="a3"/>
        <w:rPr>
          <w:rFonts w:ascii="Times New Roman" w:eastAsia="游ゴシック" w:hAnsi="Times New Roman" w:cs="Times New Roman"/>
          <w:b/>
          <w:bCs/>
          <w:color w:val="000000"/>
          <w:kern w:val="0"/>
          <w:sz w:val="24"/>
          <w:szCs w:val="24"/>
          <w:lang w:val="en-US"/>
        </w:rPr>
      </w:pPr>
      <w:r w:rsidRPr="00FD545F">
        <w:rPr>
          <w:rFonts w:ascii="Times New Roman" w:hAnsi="Times New Roman" w:cs="Times New Roman"/>
          <w:b/>
          <w:bCs/>
          <w:sz w:val="24"/>
          <w:szCs w:val="24"/>
        </w:rPr>
        <w:lastRenderedPageBreak/>
        <w:t>Appendix</w:t>
      </w:r>
      <w:r w:rsidRPr="00FD545F">
        <w:rPr>
          <w:rFonts w:ascii="Times New Roman" w:eastAsia="游ゴシック" w:hAnsi="Times New Roman" w:cs="Times New Roman"/>
          <w:b/>
          <w:bCs/>
          <w:color w:val="000000"/>
          <w:kern w:val="0"/>
          <w:sz w:val="24"/>
          <w:szCs w:val="24"/>
          <w:lang w:val="en-US"/>
        </w:rPr>
        <w:t xml:space="preserve"> section </w:t>
      </w:r>
      <w:r w:rsidR="00A94D17" w:rsidRPr="00FD545F">
        <w:rPr>
          <w:rFonts w:ascii="Times New Roman" w:eastAsia="游ゴシック" w:hAnsi="Times New Roman" w:cs="Times New Roman" w:hint="eastAsia"/>
          <w:b/>
          <w:bCs/>
          <w:color w:val="000000"/>
          <w:kern w:val="0"/>
          <w:sz w:val="24"/>
          <w:szCs w:val="24"/>
          <w:lang w:val="en-US"/>
        </w:rPr>
        <w:t>5</w:t>
      </w:r>
      <w:r w:rsidRPr="00FD545F">
        <w:rPr>
          <w:rFonts w:ascii="Times New Roman" w:eastAsia="游ゴシック" w:hAnsi="Times New Roman" w:cs="Times New Roman"/>
          <w:b/>
          <w:bCs/>
          <w:color w:val="000000"/>
          <w:kern w:val="0"/>
          <w:sz w:val="24"/>
          <w:szCs w:val="24"/>
          <w:lang w:val="en-US"/>
        </w:rPr>
        <w:t>. Predictor variables used in the determinant analyses</w:t>
      </w:r>
    </w:p>
    <w:p w14:paraId="47BEFEC8" w14:textId="77777777" w:rsidR="00BD7D3C" w:rsidRPr="00FD545F" w:rsidRDefault="00BD7D3C" w:rsidP="00A84C5B">
      <w:pPr>
        <w:pStyle w:val="a3"/>
        <w:rPr>
          <w:rFonts w:ascii="Times New Roman" w:hAnsi="Times New Roman" w:cs="Times New Roman"/>
          <w:b/>
          <w:bCs/>
          <w:sz w:val="20"/>
          <w:szCs w:val="20"/>
          <w:lang w:val="en-US"/>
        </w:rPr>
      </w:pPr>
    </w:p>
    <w:p w14:paraId="73E1805E" w14:textId="7BB92E45" w:rsidR="00A84C5B" w:rsidRPr="00FD545F" w:rsidRDefault="00B649D9" w:rsidP="00A84C5B">
      <w:pPr>
        <w:pStyle w:val="a3"/>
        <w:rPr>
          <w:rFonts w:ascii="Times New Roman" w:hAnsi="Times New Roman" w:cs="Times New Roman"/>
          <w:color w:val="000000" w:themeColor="text1"/>
          <w:sz w:val="24"/>
          <w:szCs w:val="24"/>
        </w:rPr>
      </w:pPr>
      <w:r>
        <w:rPr>
          <w:rFonts w:ascii="Times New Roman" w:hAnsi="Times New Roman" w:cs="Times New Roman"/>
          <w:b/>
          <w:bCs/>
          <w:sz w:val="24"/>
          <w:szCs w:val="24"/>
        </w:rPr>
        <w:t>Table</w:t>
      </w:r>
      <w:r w:rsidR="00A84C5B" w:rsidRPr="00FD545F">
        <w:rPr>
          <w:rFonts w:ascii="Times New Roman" w:hAnsi="Times New Roman" w:cs="Times New Roman"/>
          <w:b/>
          <w:bCs/>
          <w:sz w:val="24"/>
          <w:szCs w:val="24"/>
        </w:rPr>
        <w:t xml:space="preserve"> </w:t>
      </w:r>
      <w:r w:rsidR="009F3445" w:rsidRPr="00FD545F">
        <w:rPr>
          <w:rFonts w:ascii="Times New Roman" w:hAnsi="Times New Roman" w:cs="Times New Roman"/>
          <w:b/>
          <w:bCs/>
          <w:sz w:val="24"/>
          <w:szCs w:val="24"/>
        </w:rPr>
        <w:t>A</w:t>
      </w:r>
      <w:r w:rsidR="00A94D17" w:rsidRPr="00FD545F">
        <w:rPr>
          <w:rFonts w:ascii="Times New Roman" w:hAnsi="Times New Roman" w:cs="Times New Roman"/>
          <w:b/>
          <w:bCs/>
          <w:sz w:val="24"/>
          <w:szCs w:val="24"/>
        </w:rPr>
        <w:t>5</w:t>
      </w:r>
      <w:r w:rsidR="004F43E0" w:rsidRPr="00FD545F">
        <w:rPr>
          <w:rFonts w:ascii="Times New Roman" w:hAnsi="Times New Roman" w:cs="Times New Roman"/>
          <w:b/>
          <w:bCs/>
          <w:sz w:val="24"/>
          <w:szCs w:val="24"/>
        </w:rPr>
        <w:t>.1</w:t>
      </w:r>
      <w:r w:rsidR="00A84C5B" w:rsidRPr="00FD545F">
        <w:rPr>
          <w:rFonts w:ascii="Times New Roman" w:hAnsi="Times New Roman" w:cs="Times New Roman"/>
          <w:b/>
          <w:bCs/>
          <w:color w:val="000000" w:themeColor="text1"/>
          <w:sz w:val="24"/>
          <w:szCs w:val="24"/>
        </w:rPr>
        <w:t>: Predictor variables used in the analysis of the determinants of health service coverage</w:t>
      </w:r>
    </w:p>
    <w:tbl>
      <w:tblPr>
        <w:tblW w:w="9003" w:type="dxa"/>
        <w:tblCellMar>
          <w:left w:w="99" w:type="dxa"/>
          <w:right w:w="99" w:type="dxa"/>
        </w:tblCellMar>
        <w:tblLook w:val="04A0" w:firstRow="1" w:lastRow="0" w:firstColumn="1" w:lastColumn="0" w:noHBand="0" w:noVBand="1"/>
      </w:tblPr>
      <w:tblGrid>
        <w:gridCol w:w="3302"/>
        <w:gridCol w:w="230"/>
        <w:gridCol w:w="5471"/>
      </w:tblGrid>
      <w:tr w:rsidR="00A84C5B" w:rsidRPr="00FD545F" w14:paraId="787D9E19" w14:textId="77777777" w:rsidTr="00C078CD">
        <w:trPr>
          <w:trHeight w:val="567"/>
        </w:trPr>
        <w:tc>
          <w:tcPr>
            <w:tcW w:w="3302" w:type="dxa"/>
            <w:tcBorders>
              <w:top w:val="single" w:sz="4" w:space="0" w:color="auto"/>
              <w:left w:val="nil"/>
              <w:bottom w:val="single" w:sz="4" w:space="0" w:color="auto"/>
              <w:right w:val="nil"/>
            </w:tcBorders>
            <w:shd w:val="clear" w:color="auto" w:fill="auto"/>
            <w:vAlign w:val="center"/>
            <w:hideMark/>
          </w:tcPr>
          <w:p w14:paraId="2D0693A8" w14:textId="77777777" w:rsidR="00A84C5B" w:rsidRPr="00FD545F" w:rsidRDefault="00A84C5B" w:rsidP="00C078CD">
            <w:pPr>
              <w:widowControl/>
              <w:jc w:val="left"/>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 xml:space="preserve">Variables </w:t>
            </w:r>
          </w:p>
        </w:tc>
        <w:tc>
          <w:tcPr>
            <w:tcW w:w="230" w:type="dxa"/>
            <w:tcBorders>
              <w:top w:val="single" w:sz="4" w:space="0" w:color="auto"/>
              <w:left w:val="nil"/>
              <w:bottom w:val="single" w:sz="4" w:space="0" w:color="auto"/>
              <w:right w:val="nil"/>
            </w:tcBorders>
            <w:shd w:val="clear" w:color="auto" w:fill="auto"/>
            <w:noWrap/>
            <w:vAlign w:val="center"/>
            <w:hideMark/>
          </w:tcPr>
          <w:p w14:paraId="705B5118"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　</w:t>
            </w:r>
          </w:p>
        </w:tc>
        <w:tc>
          <w:tcPr>
            <w:tcW w:w="5471" w:type="dxa"/>
            <w:tcBorders>
              <w:top w:val="single" w:sz="4" w:space="0" w:color="auto"/>
              <w:left w:val="nil"/>
              <w:bottom w:val="single" w:sz="4" w:space="0" w:color="auto"/>
              <w:right w:val="nil"/>
            </w:tcBorders>
            <w:shd w:val="clear" w:color="auto" w:fill="auto"/>
            <w:vAlign w:val="center"/>
            <w:hideMark/>
          </w:tcPr>
          <w:p w14:paraId="7A430757" w14:textId="77777777" w:rsidR="00A84C5B" w:rsidRPr="00FD545F" w:rsidRDefault="00A84C5B" w:rsidP="00C078CD">
            <w:pPr>
              <w:widowControl/>
              <w:jc w:val="center"/>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Definition</w:t>
            </w:r>
          </w:p>
        </w:tc>
      </w:tr>
      <w:tr w:rsidR="00A84C5B" w:rsidRPr="00FD545F" w14:paraId="1695208C" w14:textId="77777777" w:rsidTr="00C078CD">
        <w:trPr>
          <w:trHeight w:val="567"/>
        </w:trPr>
        <w:tc>
          <w:tcPr>
            <w:tcW w:w="3302" w:type="dxa"/>
            <w:tcBorders>
              <w:top w:val="nil"/>
              <w:left w:val="nil"/>
              <w:bottom w:val="nil"/>
              <w:right w:val="nil"/>
            </w:tcBorders>
            <w:shd w:val="clear" w:color="auto" w:fill="auto"/>
            <w:vAlign w:val="center"/>
            <w:hideMark/>
          </w:tcPr>
          <w:p w14:paraId="06270AEA"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Age of woman, years </w:t>
            </w:r>
          </w:p>
        </w:tc>
        <w:tc>
          <w:tcPr>
            <w:tcW w:w="230" w:type="dxa"/>
            <w:tcBorders>
              <w:top w:val="nil"/>
              <w:left w:val="nil"/>
              <w:bottom w:val="nil"/>
              <w:right w:val="nil"/>
            </w:tcBorders>
            <w:shd w:val="clear" w:color="auto" w:fill="auto"/>
            <w:noWrap/>
            <w:vAlign w:val="center"/>
            <w:hideMark/>
          </w:tcPr>
          <w:p w14:paraId="22DA60CB"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nil"/>
              <w:right w:val="nil"/>
            </w:tcBorders>
            <w:shd w:val="clear" w:color="auto" w:fill="auto"/>
            <w:vAlign w:val="center"/>
            <w:hideMark/>
          </w:tcPr>
          <w:p w14:paraId="2EBFFE8D"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Continuous in number</w:t>
            </w:r>
          </w:p>
        </w:tc>
      </w:tr>
      <w:tr w:rsidR="00A84C5B" w:rsidRPr="00FD545F" w14:paraId="0AB19E7E" w14:textId="77777777" w:rsidTr="00C078CD">
        <w:trPr>
          <w:trHeight w:val="567"/>
        </w:trPr>
        <w:tc>
          <w:tcPr>
            <w:tcW w:w="3302" w:type="dxa"/>
            <w:tcBorders>
              <w:top w:val="nil"/>
              <w:left w:val="nil"/>
              <w:bottom w:val="nil"/>
              <w:right w:val="nil"/>
            </w:tcBorders>
            <w:shd w:val="clear" w:color="auto" w:fill="auto"/>
            <w:vAlign w:val="center"/>
          </w:tcPr>
          <w:p w14:paraId="720E4C9C"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Education of woman</w:t>
            </w:r>
          </w:p>
        </w:tc>
        <w:tc>
          <w:tcPr>
            <w:tcW w:w="230" w:type="dxa"/>
            <w:tcBorders>
              <w:top w:val="nil"/>
              <w:left w:val="nil"/>
              <w:bottom w:val="nil"/>
              <w:right w:val="nil"/>
            </w:tcBorders>
            <w:shd w:val="clear" w:color="auto" w:fill="auto"/>
            <w:noWrap/>
            <w:vAlign w:val="center"/>
          </w:tcPr>
          <w:p w14:paraId="299DEDE4"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nil"/>
              <w:right w:val="nil"/>
            </w:tcBorders>
            <w:shd w:val="clear" w:color="auto" w:fill="auto"/>
            <w:vAlign w:val="center"/>
          </w:tcPr>
          <w:p w14:paraId="2ABC08FD"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1=No education, 2=Primary, 3=Secondary, 4=Higher, 5=Others</w:t>
            </w:r>
          </w:p>
        </w:tc>
      </w:tr>
      <w:tr w:rsidR="00A84C5B" w:rsidRPr="00FD545F" w14:paraId="1A46DE23" w14:textId="77777777" w:rsidTr="00C078CD">
        <w:trPr>
          <w:trHeight w:val="567"/>
        </w:trPr>
        <w:tc>
          <w:tcPr>
            <w:tcW w:w="3302" w:type="dxa"/>
            <w:tcBorders>
              <w:top w:val="nil"/>
              <w:left w:val="nil"/>
              <w:bottom w:val="nil"/>
              <w:right w:val="nil"/>
            </w:tcBorders>
            <w:shd w:val="clear" w:color="auto" w:fill="auto"/>
            <w:vAlign w:val="center"/>
          </w:tcPr>
          <w:p w14:paraId="5B19ED50"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Birth order</w:t>
            </w:r>
            <w:r w:rsidRPr="00FD545F">
              <w:rPr>
                <w:rFonts w:ascii="Times New Roman" w:eastAsia="ＭＳ Ｐゴシック" w:hAnsi="Times New Roman" w:cs="Times New Roman"/>
                <w:color w:val="000000"/>
                <w:kern w:val="0"/>
                <w:sz w:val="20"/>
                <w:szCs w:val="20"/>
                <w:vertAlign w:val="superscript"/>
                <w:lang w:val="en-US"/>
              </w:rPr>
              <w:t xml:space="preserve"> </w:t>
            </w:r>
          </w:p>
        </w:tc>
        <w:tc>
          <w:tcPr>
            <w:tcW w:w="230" w:type="dxa"/>
            <w:tcBorders>
              <w:top w:val="nil"/>
              <w:left w:val="nil"/>
              <w:bottom w:val="nil"/>
              <w:right w:val="nil"/>
            </w:tcBorders>
            <w:shd w:val="clear" w:color="auto" w:fill="auto"/>
            <w:noWrap/>
            <w:vAlign w:val="center"/>
          </w:tcPr>
          <w:p w14:paraId="0CB1EFFB"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nil"/>
              <w:right w:val="nil"/>
            </w:tcBorders>
            <w:shd w:val="clear" w:color="auto" w:fill="auto"/>
            <w:vAlign w:val="center"/>
          </w:tcPr>
          <w:p w14:paraId="21502276"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1=No birth before, 2=Once, 3=Two or three times, 4=Four and over</w:t>
            </w:r>
          </w:p>
        </w:tc>
      </w:tr>
      <w:tr w:rsidR="00A84C5B" w:rsidRPr="00FD545F" w14:paraId="2E36E5F6" w14:textId="77777777" w:rsidTr="00C078CD">
        <w:trPr>
          <w:trHeight w:val="567"/>
        </w:trPr>
        <w:tc>
          <w:tcPr>
            <w:tcW w:w="3302" w:type="dxa"/>
            <w:tcBorders>
              <w:top w:val="nil"/>
              <w:left w:val="nil"/>
              <w:bottom w:val="nil"/>
              <w:right w:val="nil"/>
            </w:tcBorders>
            <w:shd w:val="clear" w:color="auto" w:fill="auto"/>
            <w:vAlign w:val="center"/>
            <w:hideMark/>
          </w:tcPr>
          <w:p w14:paraId="2BC4B351"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Antenatal care, times</w:t>
            </w:r>
            <w:r w:rsidRPr="00FD545F">
              <w:rPr>
                <w:rFonts w:ascii="Times New Roman" w:eastAsia="ＭＳ Ｐゴシック" w:hAnsi="Times New Roman" w:cs="Times New Roman"/>
                <w:color w:val="000000"/>
                <w:kern w:val="0"/>
                <w:sz w:val="20"/>
                <w:szCs w:val="20"/>
                <w:vertAlign w:val="superscript"/>
                <w:lang w:val="en-US"/>
              </w:rPr>
              <w:t xml:space="preserve"> a</w:t>
            </w:r>
          </w:p>
        </w:tc>
        <w:tc>
          <w:tcPr>
            <w:tcW w:w="230" w:type="dxa"/>
            <w:tcBorders>
              <w:top w:val="nil"/>
              <w:left w:val="nil"/>
              <w:bottom w:val="nil"/>
              <w:right w:val="nil"/>
            </w:tcBorders>
            <w:shd w:val="clear" w:color="auto" w:fill="auto"/>
            <w:noWrap/>
            <w:vAlign w:val="center"/>
            <w:hideMark/>
          </w:tcPr>
          <w:p w14:paraId="341FF2A8"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nil"/>
              <w:right w:val="nil"/>
            </w:tcBorders>
            <w:shd w:val="clear" w:color="auto" w:fill="auto"/>
            <w:vAlign w:val="center"/>
            <w:hideMark/>
          </w:tcPr>
          <w:p w14:paraId="48ACF4C4"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Continuous in number</w:t>
            </w:r>
          </w:p>
        </w:tc>
      </w:tr>
      <w:tr w:rsidR="00A84C5B" w:rsidRPr="00FD545F" w14:paraId="31B24E97" w14:textId="77777777" w:rsidTr="00C078CD">
        <w:trPr>
          <w:trHeight w:val="567"/>
        </w:trPr>
        <w:tc>
          <w:tcPr>
            <w:tcW w:w="3302" w:type="dxa"/>
            <w:tcBorders>
              <w:top w:val="nil"/>
              <w:left w:val="nil"/>
              <w:bottom w:val="nil"/>
              <w:right w:val="nil"/>
            </w:tcBorders>
            <w:shd w:val="clear" w:color="auto" w:fill="auto"/>
            <w:vAlign w:val="center"/>
          </w:tcPr>
          <w:p w14:paraId="0B20D148"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Gender of the last newborn </w:t>
            </w:r>
            <w:r w:rsidRPr="00FD545F">
              <w:rPr>
                <w:rFonts w:ascii="Times New Roman" w:eastAsia="ＭＳ Ｐゴシック" w:hAnsi="Times New Roman" w:cs="Times New Roman"/>
                <w:color w:val="000000"/>
                <w:kern w:val="0"/>
                <w:sz w:val="20"/>
                <w:szCs w:val="20"/>
                <w:vertAlign w:val="superscript"/>
                <w:lang w:val="en-US"/>
              </w:rPr>
              <w:t>a</w:t>
            </w:r>
          </w:p>
        </w:tc>
        <w:tc>
          <w:tcPr>
            <w:tcW w:w="230" w:type="dxa"/>
            <w:tcBorders>
              <w:top w:val="nil"/>
              <w:left w:val="nil"/>
              <w:bottom w:val="nil"/>
              <w:right w:val="nil"/>
            </w:tcBorders>
            <w:shd w:val="clear" w:color="auto" w:fill="auto"/>
            <w:noWrap/>
            <w:vAlign w:val="center"/>
          </w:tcPr>
          <w:p w14:paraId="05097281"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nil"/>
              <w:right w:val="nil"/>
            </w:tcBorders>
            <w:shd w:val="clear" w:color="auto" w:fill="auto"/>
            <w:vAlign w:val="center"/>
          </w:tcPr>
          <w:p w14:paraId="567A6CF1"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1=Male, 2=Female</w:t>
            </w:r>
          </w:p>
        </w:tc>
      </w:tr>
      <w:tr w:rsidR="00A84C5B" w:rsidRPr="00FD545F" w14:paraId="4A0EE249" w14:textId="77777777" w:rsidTr="00C078CD">
        <w:trPr>
          <w:trHeight w:val="567"/>
        </w:trPr>
        <w:tc>
          <w:tcPr>
            <w:tcW w:w="3302" w:type="dxa"/>
            <w:tcBorders>
              <w:top w:val="nil"/>
              <w:left w:val="nil"/>
              <w:right w:val="nil"/>
            </w:tcBorders>
            <w:shd w:val="clear" w:color="auto" w:fill="auto"/>
            <w:vAlign w:val="center"/>
          </w:tcPr>
          <w:p w14:paraId="207DC60F"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Wealth quintile of household</w:t>
            </w:r>
          </w:p>
        </w:tc>
        <w:tc>
          <w:tcPr>
            <w:tcW w:w="230" w:type="dxa"/>
            <w:tcBorders>
              <w:top w:val="nil"/>
              <w:left w:val="nil"/>
              <w:right w:val="nil"/>
            </w:tcBorders>
            <w:shd w:val="clear" w:color="auto" w:fill="auto"/>
            <w:noWrap/>
            <w:vAlign w:val="center"/>
          </w:tcPr>
          <w:p w14:paraId="1423E0B4"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right w:val="nil"/>
            </w:tcBorders>
            <w:shd w:val="clear" w:color="auto" w:fill="auto"/>
            <w:vAlign w:val="center"/>
          </w:tcPr>
          <w:p w14:paraId="3F701628"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1=Q1 (poorest), 2=Q2, 3=Q3, 4=Q4, 5=Q5 (richest)</w:t>
            </w:r>
          </w:p>
        </w:tc>
      </w:tr>
      <w:tr w:rsidR="00A84C5B" w:rsidRPr="00FD545F" w14:paraId="0FF74EEE" w14:textId="77777777" w:rsidTr="00C078CD">
        <w:trPr>
          <w:trHeight w:val="567"/>
        </w:trPr>
        <w:tc>
          <w:tcPr>
            <w:tcW w:w="3302" w:type="dxa"/>
            <w:tcBorders>
              <w:top w:val="nil"/>
              <w:left w:val="nil"/>
              <w:bottom w:val="single" w:sz="4" w:space="0" w:color="auto"/>
              <w:right w:val="nil"/>
            </w:tcBorders>
            <w:shd w:val="clear" w:color="auto" w:fill="auto"/>
            <w:vAlign w:val="center"/>
            <w:hideMark/>
          </w:tcPr>
          <w:p w14:paraId="380BD79F"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Place of residence</w:t>
            </w:r>
          </w:p>
        </w:tc>
        <w:tc>
          <w:tcPr>
            <w:tcW w:w="230" w:type="dxa"/>
            <w:tcBorders>
              <w:top w:val="nil"/>
              <w:left w:val="nil"/>
              <w:bottom w:val="single" w:sz="4" w:space="0" w:color="auto"/>
              <w:right w:val="nil"/>
            </w:tcBorders>
            <w:shd w:val="clear" w:color="auto" w:fill="auto"/>
            <w:noWrap/>
            <w:vAlign w:val="center"/>
            <w:hideMark/>
          </w:tcPr>
          <w:p w14:paraId="395BC514"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471" w:type="dxa"/>
            <w:tcBorders>
              <w:top w:val="nil"/>
              <w:left w:val="nil"/>
              <w:bottom w:val="single" w:sz="4" w:space="0" w:color="auto"/>
              <w:right w:val="nil"/>
            </w:tcBorders>
            <w:shd w:val="clear" w:color="auto" w:fill="auto"/>
            <w:vAlign w:val="center"/>
            <w:hideMark/>
          </w:tcPr>
          <w:p w14:paraId="10A473B3"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1=Urban, 2= Rural</w:t>
            </w:r>
          </w:p>
        </w:tc>
      </w:tr>
    </w:tbl>
    <w:p w14:paraId="1D9BBD15" w14:textId="77777777" w:rsidR="00A84C5B" w:rsidRPr="00FD545F" w:rsidRDefault="00A84C5B" w:rsidP="00A84C5B">
      <w:pPr>
        <w:jc w:val="left"/>
        <w:rPr>
          <w:rFonts w:ascii="Times New Roman" w:hAnsi="Times New Roman" w:cs="Times New Roman"/>
          <w:sz w:val="20"/>
          <w:szCs w:val="20"/>
        </w:rPr>
      </w:pPr>
      <w:r w:rsidRPr="00FD545F">
        <w:rPr>
          <w:rFonts w:ascii="Times New Roman" w:hAnsi="Times New Roman" w:cs="Times New Roman"/>
          <w:bCs/>
          <w:sz w:val="20"/>
          <w:szCs w:val="20"/>
        </w:rPr>
        <w:t xml:space="preserve">Note: </w:t>
      </w:r>
      <w:proofErr w:type="gramStart"/>
      <w:r w:rsidRPr="00FD545F">
        <w:rPr>
          <w:rFonts w:ascii="Times New Roman" w:hAnsi="Times New Roman" w:cs="Times New Roman"/>
          <w:bCs/>
          <w:sz w:val="20"/>
          <w:szCs w:val="20"/>
          <w:vertAlign w:val="superscript"/>
        </w:rPr>
        <w:t>a</w:t>
      </w:r>
      <w:proofErr w:type="gramEnd"/>
      <w:r w:rsidRPr="00FD545F">
        <w:rPr>
          <w:rFonts w:ascii="Times New Roman" w:hAnsi="Times New Roman" w:cs="Times New Roman"/>
          <w:bCs/>
          <w:sz w:val="20"/>
          <w:szCs w:val="20"/>
        </w:rPr>
        <w:t xml:space="preserve"> It was </w:t>
      </w:r>
      <w:r w:rsidRPr="00FD545F">
        <w:rPr>
          <w:rFonts w:ascii="Times New Roman" w:hAnsi="Times New Roman" w:cs="Times New Roman"/>
          <w:bCs/>
          <w:color w:val="000000" w:themeColor="text1"/>
          <w:sz w:val="20"/>
          <w:szCs w:val="20"/>
        </w:rPr>
        <w:t xml:space="preserve">applied for full immunisation, acute respiratory infection treatment for pneumonia and oral rehydration therapy. </w:t>
      </w:r>
      <w:r w:rsidRPr="00FD545F">
        <w:rPr>
          <w:rFonts w:ascii="Times New Roman" w:hAnsi="Times New Roman" w:cs="Times New Roman"/>
          <w:sz w:val="20"/>
          <w:szCs w:val="20"/>
        </w:rPr>
        <w:t>For a proxy indicator to measure relative wealth, we used wealth index which MICS provided in their individual dataset.</w:t>
      </w:r>
    </w:p>
    <w:p w14:paraId="7AB18014" w14:textId="62779BD8" w:rsidR="00A84C5B" w:rsidRPr="00FD545F" w:rsidRDefault="00A84C5B" w:rsidP="00A84C5B">
      <w:pPr>
        <w:rPr>
          <w:rFonts w:ascii="Times New Roman" w:hAnsi="Times New Roman" w:cs="Times New Roman"/>
          <w:sz w:val="20"/>
          <w:szCs w:val="20"/>
        </w:rPr>
      </w:pPr>
    </w:p>
    <w:p w14:paraId="068B7AFA" w14:textId="373062D7" w:rsidR="00A84C5B" w:rsidRPr="00FD545F" w:rsidRDefault="00EA57D9" w:rsidP="00436817">
      <w:pPr>
        <w:widowControl/>
        <w:jc w:val="left"/>
        <w:rPr>
          <w:rFonts w:ascii="Times New Roman" w:hAnsi="Times New Roman" w:cs="Times New Roman"/>
          <w:sz w:val="24"/>
          <w:szCs w:val="24"/>
        </w:rPr>
      </w:pPr>
      <w:r w:rsidRPr="00FD545F">
        <w:rPr>
          <w:rFonts w:ascii="Times New Roman" w:hAnsi="Times New Roman" w:cs="Times New Roman"/>
          <w:sz w:val="20"/>
          <w:szCs w:val="20"/>
        </w:rPr>
        <w:br w:type="page"/>
      </w:r>
      <w:r w:rsidR="00B649D9">
        <w:rPr>
          <w:rFonts w:ascii="Times New Roman" w:hAnsi="Times New Roman" w:cs="Times New Roman"/>
          <w:b/>
          <w:bCs/>
          <w:sz w:val="24"/>
          <w:szCs w:val="24"/>
        </w:rPr>
        <w:lastRenderedPageBreak/>
        <w:t>Table</w:t>
      </w:r>
      <w:r w:rsidR="00A84C5B" w:rsidRPr="00FD545F">
        <w:rPr>
          <w:rFonts w:ascii="Times New Roman" w:hAnsi="Times New Roman" w:cs="Times New Roman"/>
          <w:b/>
          <w:bCs/>
          <w:sz w:val="24"/>
          <w:szCs w:val="24"/>
        </w:rPr>
        <w:t xml:space="preserve"> </w:t>
      </w:r>
      <w:r w:rsidR="009F3445" w:rsidRPr="00FD545F">
        <w:rPr>
          <w:rFonts w:ascii="Times New Roman" w:hAnsi="Times New Roman" w:cs="Times New Roman"/>
          <w:b/>
          <w:bCs/>
          <w:sz w:val="24"/>
          <w:szCs w:val="24"/>
        </w:rPr>
        <w:t>A</w:t>
      </w:r>
      <w:r w:rsidR="00A94D17" w:rsidRPr="00FD545F">
        <w:rPr>
          <w:rFonts w:ascii="Times New Roman" w:hAnsi="Times New Roman" w:cs="Times New Roman"/>
          <w:b/>
          <w:bCs/>
          <w:sz w:val="24"/>
          <w:szCs w:val="24"/>
        </w:rPr>
        <w:t>5</w:t>
      </w:r>
      <w:r w:rsidR="004F43E0" w:rsidRPr="00FD545F">
        <w:rPr>
          <w:rFonts w:ascii="Times New Roman" w:hAnsi="Times New Roman" w:cs="Times New Roman"/>
          <w:b/>
          <w:bCs/>
          <w:sz w:val="24"/>
          <w:szCs w:val="24"/>
        </w:rPr>
        <w:t>.2</w:t>
      </w:r>
      <w:r w:rsidR="00A84C5B" w:rsidRPr="00FD545F">
        <w:rPr>
          <w:rFonts w:ascii="Times New Roman" w:hAnsi="Times New Roman" w:cs="Times New Roman"/>
          <w:b/>
          <w:bCs/>
          <w:sz w:val="24"/>
          <w:szCs w:val="24"/>
        </w:rPr>
        <w:t>: Predictor variables used in the analysis of the determinants of catastrophic expenditure and impoverishment</w:t>
      </w:r>
    </w:p>
    <w:tbl>
      <w:tblPr>
        <w:tblW w:w="9074" w:type="dxa"/>
        <w:tblCellMar>
          <w:left w:w="99" w:type="dxa"/>
          <w:right w:w="99" w:type="dxa"/>
        </w:tblCellMar>
        <w:tblLook w:val="04A0" w:firstRow="1" w:lastRow="0" w:firstColumn="1" w:lastColumn="0" w:noHBand="0" w:noVBand="1"/>
      </w:tblPr>
      <w:tblGrid>
        <w:gridCol w:w="3328"/>
        <w:gridCol w:w="232"/>
        <w:gridCol w:w="5514"/>
      </w:tblGrid>
      <w:tr w:rsidR="00A84C5B" w:rsidRPr="00FD545F" w14:paraId="791A7DBA" w14:textId="77777777" w:rsidTr="00C078CD">
        <w:trPr>
          <w:trHeight w:val="567"/>
        </w:trPr>
        <w:tc>
          <w:tcPr>
            <w:tcW w:w="3328" w:type="dxa"/>
            <w:tcBorders>
              <w:top w:val="single" w:sz="4" w:space="0" w:color="auto"/>
              <w:left w:val="nil"/>
              <w:bottom w:val="single" w:sz="4" w:space="0" w:color="auto"/>
              <w:right w:val="nil"/>
            </w:tcBorders>
            <w:shd w:val="clear" w:color="auto" w:fill="auto"/>
            <w:vAlign w:val="center"/>
            <w:hideMark/>
          </w:tcPr>
          <w:p w14:paraId="2FF9781A" w14:textId="77777777" w:rsidR="00A84C5B" w:rsidRPr="00FD545F" w:rsidRDefault="00A84C5B" w:rsidP="00C078CD">
            <w:pPr>
              <w:widowControl/>
              <w:jc w:val="left"/>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 xml:space="preserve">Variables </w:t>
            </w:r>
          </w:p>
        </w:tc>
        <w:tc>
          <w:tcPr>
            <w:tcW w:w="232" w:type="dxa"/>
            <w:tcBorders>
              <w:top w:val="single" w:sz="4" w:space="0" w:color="auto"/>
              <w:left w:val="nil"/>
              <w:bottom w:val="single" w:sz="4" w:space="0" w:color="auto"/>
              <w:right w:val="nil"/>
            </w:tcBorders>
            <w:shd w:val="clear" w:color="auto" w:fill="auto"/>
            <w:noWrap/>
            <w:vAlign w:val="center"/>
            <w:hideMark/>
          </w:tcPr>
          <w:p w14:paraId="10814887"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　</w:t>
            </w:r>
          </w:p>
        </w:tc>
        <w:tc>
          <w:tcPr>
            <w:tcW w:w="5514" w:type="dxa"/>
            <w:tcBorders>
              <w:top w:val="single" w:sz="4" w:space="0" w:color="auto"/>
              <w:left w:val="nil"/>
              <w:bottom w:val="single" w:sz="4" w:space="0" w:color="auto"/>
              <w:right w:val="nil"/>
            </w:tcBorders>
            <w:shd w:val="clear" w:color="auto" w:fill="auto"/>
            <w:vAlign w:val="center"/>
            <w:hideMark/>
          </w:tcPr>
          <w:p w14:paraId="4AC816AB" w14:textId="77777777" w:rsidR="00A84C5B" w:rsidRPr="00FD545F" w:rsidRDefault="00A84C5B" w:rsidP="00C078CD">
            <w:pPr>
              <w:widowControl/>
              <w:jc w:val="center"/>
              <w:rPr>
                <w:rFonts w:ascii="Times New Roman" w:eastAsia="ＭＳ Ｐゴシック" w:hAnsi="Times New Roman" w:cs="Times New Roman"/>
                <w:b/>
                <w:bCs/>
                <w:color w:val="000000"/>
                <w:kern w:val="0"/>
                <w:sz w:val="20"/>
                <w:szCs w:val="20"/>
                <w:lang w:val="en-US"/>
              </w:rPr>
            </w:pPr>
            <w:r w:rsidRPr="00FD545F">
              <w:rPr>
                <w:rFonts w:ascii="Times New Roman" w:eastAsia="ＭＳ Ｐゴシック" w:hAnsi="Times New Roman" w:cs="Times New Roman"/>
                <w:b/>
                <w:bCs/>
                <w:color w:val="000000"/>
                <w:kern w:val="0"/>
                <w:sz w:val="20"/>
                <w:szCs w:val="20"/>
                <w:lang w:val="en-US"/>
              </w:rPr>
              <w:t>Definition</w:t>
            </w:r>
          </w:p>
        </w:tc>
      </w:tr>
      <w:tr w:rsidR="00A84C5B" w:rsidRPr="00FD545F" w14:paraId="1B9B69FD" w14:textId="77777777" w:rsidTr="00C078CD">
        <w:trPr>
          <w:trHeight w:val="567"/>
        </w:trPr>
        <w:tc>
          <w:tcPr>
            <w:tcW w:w="3328" w:type="dxa"/>
            <w:tcBorders>
              <w:top w:val="nil"/>
              <w:left w:val="nil"/>
              <w:bottom w:val="nil"/>
              <w:right w:val="nil"/>
            </w:tcBorders>
            <w:shd w:val="clear" w:color="auto" w:fill="auto"/>
            <w:vAlign w:val="center"/>
            <w:hideMark/>
          </w:tcPr>
          <w:p w14:paraId="08564016"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Age of household head</w:t>
            </w:r>
            <w:r w:rsidRPr="00FD545F">
              <w:rPr>
                <w:rFonts w:ascii="Times New Roman" w:eastAsia="ＭＳ Ｐゴシック" w:hAnsi="Times New Roman" w:cs="Times New Roman" w:hint="eastAsia"/>
                <w:color w:val="000000"/>
                <w:kern w:val="0"/>
                <w:sz w:val="20"/>
                <w:szCs w:val="20"/>
                <w:lang w:val="en-US"/>
              </w:rPr>
              <w:t>,</w:t>
            </w:r>
            <w:r w:rsidRPr="00FD545F">
              <w:rPr>
                <w:rFonts w:ascii="Times New Roman" w:eastAsia="ＭＳ Ｐゴシック" w:hAnsi="Times New Roman" w:cs="Times New Roman"/>
                <w:color w:val="000000"/>
                <w:kern w:val="0"/>
                <w:sz w:val="20"/>
                <w:szCs w:val="20"/>
                <w:lang w:val="en-US"/>
              </w:rPr>
              <w:t xml:space="preserve"> years</w:t>
            </w:r>
          </w:p>
        </w:tc>
        <w:tc>
          <w:tcPr>
            <w:tcW w:w="232" w:type="dxa"/>
            <w:tcBorders>
              <w:top w:val="nil"/>
              <w:left w:val="nil"/>
              <w:bottom w:val="nil"/>
              <w:right w:val="nil"/>
            </w:tcBorders>
            <w:shd w:val="clear" w:color="auto" w:fill="auto"/>
            <w:noWrap/>
            <w:vAlign w:val="center"/>
            <w:hideMark/>
          </w:tcPr>
          <w:p w14:paraId="6FE534AD"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bottom w:val="nil"/>
              <w:right w:val="nil"/>
            </w:tcBorders>
            <w:shd w:val="clear" w:color="auto" w:fill="auto"/>
            <w:vAlign w:val="center"/>
            <w:hideMark/>
          </w:tcPr>
          <w:p w14:paraId="4722C2E3"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Continuous in number</w:t>
            </w:r>
          </w:p>
        </w:tc>
      </w:tr>
      <w:tr w:rsidR="00A84C5B" w:rsidRPr="00FD545F" w14:paraId="47B55376" w14:textId="77777777" w:rsidTr="00C078CD">
        <w:trPr>
          <w:trHeight w:val="567"/>
        </w:trPr>
        <w:tc>
          <w:tcPr>
            <w:tcW w:w="3328" w:type="dxa"/>
            <w:tcBorders>
              <w:top w:val="nil"/>
              <w:left w:val="nil"/>
              <w:bottom w:val="nil"/>
              <w:right w:val="nil"/>
            </w:tcBorders>
            <w:shd w:val="clear" w:color="auto" w:fill="auto"/>
            <w:vAlign w:val="center"/>
            <w:hideMark/>
          </w:tcPr>
          <w:p w14:paraId="343DDB7D"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Gender of household head</w:t>
            </w:r>
          </w:p>
        </w:tc>
        <w:tc>
          <w:tcPr>
            <w:tcW w:w="232" w:type="dxa"/>
            <w:tcBorders>
              <w:top w:val="nil"/>
              <w:left w:val="nil"/>
              <w:bottom w:val="nil"/>
              <w:right w:val="nil"/>
            </w:tcBorders>
            <w:shd w:val="clear" w:color="auto" w:fill="auto"/>
            <w:noWrap/>
            <w:vAlign w:val="center"/>
            <w:hideMark/>
          </w:tcPr>
          <w:p w14:paraId="441A1650"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bottom w:val="nil"/>
              <w:right w:val="nil"/>
            </w:tcBorders>
            <w:shd w:val="clear" w:color="auto" w:fill="auto"/>
            <w:vAlign w:val="center"/>
            <w:hideMark/>
          </w:tcPr>
          <w:p w14:paraId="37D6D4FA"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1=Male, 2=Female</w:t>
            </w:r>
          </w:p>
        </w:tc>
      </w:tr>
      <w:tr w:rsidR="00A84C5B" w:rsidRPr="00FD545F" w14:paraId="7800F5C3" w14:textId="77777777" w:rsidTr="00C078CD">
        <w:trPr>
          <w:trHeight w:val="567"/>
        </w:trPr>
        <w:tc>
          <w:tcPr>
            <w:tcW w:w="3328" w:type="dxa"/>
            <w:tcBorders>
              <w:top w:val="nil"/>
              <w:left w:val="nil"/>
              <w:bottom w:val="nil"/>
              <w:right w:val="nil"/>
            </w:tcBorders>
            <w:shd w:val="clear" w:color="auto" w:fill="auto"/>
            <w:vAlign w:val="center"/>
            <w:hideMark/>
          </w:tcPr>
          <w:p w14:paraId="124FAB24"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Education of household head</w:t>
            </w:r>
          </w:p>
        </w:tc>
        <w:tc>
          <w:tcPr>
            <w:tcW w:w="232" w:type="dxa"/>
            <w:tcBorders>
              <w:top w:val="nil"/>
              <w:left w:val="nil"/>
              <w:bottom w:val="nil"/>
              <w:right w:val="nil"/>
            </w:tcBorders>
            <w:shd w:val="clear" w:color="auto" w:fill="auto"/>
            <w:noWrap/>
            <w:vAlign w:val="center"/>
            <w:hideMark/>
          </w:tcPr>
          <w:p w14:paraId="15652C51"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bottom w:val="nil"/>
              <w:right w:val="nil"/>
            </w:tcBorders>
            <w:shd w:val="clear" w:color="auto" w:fill="auto"/>
            <w:vAlign w:val="center"/>
            <w:hideMark/>
          </w:tcPr>
          <w:p w14:paraId="6561E7A8"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1=No education, 2=Primary, 3=Secondary, 4=Higher, 5=Others</w:t>
            </w:r>
          </w:p>
        </w:tc>
      </w:tr>
      <w:tr w:rsidR="00A84C5B" w:rsidRPr="00FD545F" w14:paraId="430311E0" w14:textId="77777777" w:rsidTr="00C078CD">
        <w:trPr>
          <w:trHeight w:val="567"/>
        </w:trPr>
        <w:tc>
          <w:tcPr>
            <w:tcW w:w="3328" w:type="dxa"/>
            <w:tcBorders>
              <w:top w:val="nil"/>
              <w:left w:val="nil"/>
              <w:bottom w:val="nil"/>
              <w:right w:val="nil"/>
            </w:tcBorders>
            <w:shd w:val="clear" w:color="auto" w:fill="auto"/>
            <w:vAlign w:val="center"/>
            <w:hideMark/>
          </w:tcPr>
          <w:p w14:paraId="57E142F5"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Number of household members aged under 5 years old</w:t>
            </w:r>
          </w:p>
        </w:tc>
        <w:tc>
          <w:tcPr>
            <w:tcW w:w="232" w:type="dxa"/>
            <w:tcBorders>
              <w:top w:val="nil"/>
              <w:left w:val="nil"/>
              <w:bottom w:val="nil"/>
              <w:right w:val="nil"/>
            </w:tcBorders>
            <w:shd w:val="clear" w:color="auto" w:fill="auto"/>
            <w:noWrap/>
            <w:vAlign w:val="center"/>
            <w:hideMark/>
          </w:tcPr>
          <w:p w14:paraId="77D29A6D"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bottom w:val="nil"/>
              <w:right w:val="nil"/>
            </w:tcBorders>
            <w:shd w:val="clear" w:color="auto" w:fill="auto"/>
            <w:vAlign w:val="center"/>
            <w:hideMark/>
          </w:tcPr>
          <w:p w14:paraId="657B373D"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Number</w:t>
            </w:r>
          </w:p>
        </w:tc>
      </w:tr>
      <w:tr w:rsidR="00A84C5B" w:rsidRPr="00FD545F" w14:paraId="4087E634" w14:textId="77777777" w:rsidTr="00C078CD">
        <w:trPr>
          <w:trHeight w:val="567"/>
        </w:trPr>
        <w:tc>
          <w:tcPr>
            <w:tcW w:w="3328" w:type="dxa"/>
            <w:tcBorders>
              <w:top w:val="nil"/>
              <w:left w:val="nil"/>
              <w:bottom w:val="nil"/>
              <w:right w:val="nil"/>
            </w:tcBorders>
            <w:shd w:val="clear" w:color="auto" w:fill="auto"/>
            <w:vAlign w:val="center"/>
          </w:tcPr>
          <w:p w14:paraId="67D19BBC"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Number of household members aged over 65 years old</w:t>
            </w:r>
          </w:p>
        </w:tc>
        <w:tc>
          <w:tcPr>
            <w:tcW w:w="232" w:type="dxa"/>
            <w:tcBorders>
              <w:top w:val="nil"/>
              <w:left w:val="nil"/>
              <w:bottom w:val="nil"/>
              <w:right w:val="nil"/>
            </w:tcBorders>
            <w:shd w:val="clear" w:color="auto" w:fill="auto"/>
            <w:noWrap/>
            <w:vAlign w:val="center"/>
          </w:tcPr>
          <w:p w14:paraId="6F506192"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bottom w:val="nil"/>
              <w:right w:val="nil"/>
            </w:tcBorders>
            <w:shd w:val="clear" w:color="auto" w:fill="auto"/>
            <w:vAlign w:val="center"/>
          </w:tcPr>
          <w:p w14:paraId="79BC1BEA"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Number</w:t>
            </w:r>
          </w:p>
        </w:tc>
      </w:tr>
      <w:tr w:rsidR="00A84C5B" w:rsidRPr="00FD545F" w14:paraId="41C7B282" w14:textId="77777777" w:rsidTr="00C078CD">
        <w:trPr>
          <w:trHeight w:val="567"/>
        </w:trPr>
        <w:tc>
          <w:tcPr>
            <w:tcW w:w="3328" w:type="dxa"/>
            <w:tcBorders>
              <w:top w:val="nil"/>
              <w:left w:val="nil"/>
              <w:right w:val="nil"/>
            </w:tcBorders>
            <w:shd w:val="clear" w:color="auto" w:fill="auto"/>
            <w:vAlign w:val="center"/>
            <w:hideMark/>
          </w:tcPr>
          <w:p w14:paraId="38973F05"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Wealth quintile of household</w:t>
            </w:r>
          </w:p>
        </w:tc>
        <w:tc>
          <w:tcPr>
            <w:tcW w:w="232" w:type="dxa"/>
            <w:tcBorders>
              <w:top w:val="nil"/>
              <w:left w:val="nil"/>
              <w:right w:val="nil"/>
            </w:tcBorders>
            <w:shd w:val="clear" w:color="auto" w:fill="auto"/>
            <w:noWrap/>
            <w:vAlign w:val="center"/>
            <w:hideMark/>
          </w:tcPr>
          <w:p w14:paraId="1D596C66" w14:textId="77777777" w:rsidR="00A84C5B" w:rsidRPr="00FD545F" w:rsidRDefault="00A84C5B" w:rsidP="00C078CD">
            <w:pPr>
              <w:widowControl/>
              <w:jc w:val="left"/>
              <w:rPr>
                <w:rFonts w:ascii="Times New Roman" w:eastAsia="ＭＳ Ｐゴシック" w:hAnsi="Times New Roman" w:cs="Times New Roman"/>
                <w:color w:val="000000"/>
                <w:kern w:val="0"/>
                <w:sz w:val="20"/>
                <w:szCs w:val="20"/>
                <w:lang w:val="en-US"/>
              </w:rPr>
            </w:pPr>
          </w:p>
        </w:tc>
        <w:tc>
          <w:tcPr>
            <w:tcW w:w="5514" w:type="dxa"/>
            <w:tcBorders>
              <w:top w:val="nil"/>
              <w:left w:val="nil"/>
              <w:right w:val="nil"/>
            </w:tcBorders>
            <w:shd w:val="clear" w:color="auto" w:fill="auto"/>
            <w:vAlign w:val="center"/>
            <w:hideMark/>
          </w:tcPr>
          <w:p w14:paraId="0AA046C5"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1=Q1 (poorest), 2=Q2, 3=Q3, 4=Q4, 5=Q5 (richest)</w:t>
            </w:r>
          </w:p>
        </w:tc>
      </w:tr>
      <w:tr w:rsidR="00A84C5B" w:rsidRPr="00FD545F" w14:paraId="0D89D323" w14:textId="77777777" w:rsidTr="00C078CD">
        <w:trPr>
          <w:trHeight w:val="567"/>
        </w:trPr>
        <w:tc>
          <w:tcPr>
            <w:tcW w:w="3328" w:type="dxa"/>
            <w:tcBorders>
              <w:top w:val="nil"/>
              <w:left w:val="nil"/>
              <w:right w:val="nil"/>
            </w:tcBorders>
            <w:shd w:val="clear" w:color="auto" w:fill="auto"/>
            <w:vAlign w:val="center"/>
          </w:tcPr>
          <w:p w14:paraId="2517EEE2"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Place of residence</w:t>
            </w:r>
          </w:p>
        </w:tc>
        <w:tc>
          <w:tcPr>
            <w:tcW w:w="232" w:type="dxa"/>
            <w:tcBorders>
              <w:top w:val="nil"/>
              <w:left w:val="nil"/>
              <w:right w:val="nil"/>
            </w:tcBorders>
            <w:shd w:val="clear" w:color="auto" w:fill="auto"/>
            <w:noWrap/>
            <w:vAlign w:val="center"/>
          </w:tcPr>
          <w:p w14:paraId="22341CC9" w14:textId="77777777" w:rsidR="00A84C5B" w:rsidRPr="00FD545F" w:rsidRDefault="00A84C5B" w:rsidP="00C078CD">
            <w:pPr>
              <w:widowControl/>
              <w:rPr>
                <w:rFonts w:ascii="Times New Roman" w:eastAsia="ＭＳ Ｐゴシック" w:hAnsi="Times New Roman" w:cs="Times New Roman"/>
                <w:color w:val="000000"/>
                <w:kern w:val="0"/>
                <w:sz w:val="20"/>
                <w:szCs w:val="20"/>
                <w:lang w:val="en-US"/>
              </w:rPr>
            </w:pPr>
          </w:p>
        </w:tc>
        <w:tc>
          <w:tcPr>
            <w:tcW w:w="5514" w:type="dxa"/>
            <w:tcBorders>
              <w:top w:val="nil"/>
              <w:left w:val="nil"/>
              <w:right w:val="nil"/>
            </w:tcBorders>
            <w:shd w:val="clear" w:color="auto" w:fill="auto"/>
            <w:vAlign w:val="center"/>
          </w:tcPr>
          <w:p w14:paraId="444105D7"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1=Urban, 2= Rural</w:t>
            </w:r>
          </w:p>
        </w:tc>
      </w:tr>
      <w:tr w:rsidR="00A84C5B" w:rsidRPr="00FD545F" w14:paraId="38EA313A" w14:textId="77777777" w:rsidTr="00C078CD">
        <w:trPr>
          <w:trHeight w:val="567"/>
        </w:trPr>
        <w:tc>
          <w:tcPr>
            <w:tcW w:w="3328" w:type="dxa"/>
            <w:tcBorders>
              <w:top w:val="nil"/>
              <w:left w:val="nil"/>
              <w:bottom w:val="single" w:sz="4" w:space="0" w:color="auto"/>
              <w:right w:val="nil"/>
            </w:tcBorders>
            <w:shd w:val="clear" w:color="auto" w:fill="auto"/>
            <w:vAlign w:val="center"/>
            <w:hideMark/>
          </w:tcPr>
          <w:p w14:paraId="7B75AADF" w14:textId="77777777" w:rsidR="00A84C5B" w:rsidRPr="00FD545F" w:rsidRDefault="00A84C5B" w:rsidP="00C078CD">
            <w:pPr>
              <w:widowControl/>
              <w:spacing w:line="240" w:lineRule="exact"/>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Survey year</w:t>
            </w:r>
          </w:p>
        </w:tc>
        <w:tc>
          <w:tcPr>
            <w:tcW w:w="232" w:type="dxa"/>
            <w:tcBorders>
              <w:top w:val="nil"/>
              <w:left w:val="nil"/>
              <w:bottom w:val="single" w:sz="4" w:space="0" w:color="auto"/>
              <w:right w:val="nil"/>
            </w:tcBorders>
            <w:shd w:val="clear" w:color="auto" w:fill="auto"/>
            <w:noWrap/>
            <w:vAlign w:val="center"/>
            <w:hideMark/>
          </w:tcPr>
          <w:p w14:paraId="6C291FF3" w14:textId="77777777" w:rsidR="00A84C5B" w:rsidRPr="00FD545F" w:rsidRDefault="00A84C5B" w:rsidP="00C078CD">
            <w:pPr>
              <w:widowControl/>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　</w:t>
            </w:r>
          </w:p>
        </w:tc>
        <w:tc>
          <w:tcPr>
            <w:tcW w:w="5514" w:type="dxa"/>
            <w:tcBorders>
              <w:top w:val="nil"/>
              <w:left w:val="nil"/>
              <w:bottom w:val="single" w:sz="4" w:space="0" w:color="auto"/>
              <w:right w:val="nil"/>
            </w:tcBorders>
            <w:shd w:val="clear" w:color="auto" w:fill="auto"/>
            <w:vAlign w:val="center"/>
            <w:hideMark/>
          </w:tcPr>
          <w:p w14:paraId="00BB9FB2" w14:textId="77777777" w:rsidR="00A84C5B" w:rsidRPr="00FD545F" w:rsidRDefault="00A84C5B" w:rsidP="00C078CD">
            <w:pPr>
              <w:widowControl/>
              <w:spacing w:line="240" w:lineRule="exac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1=2007, 2=2012 </w:t>
            </w:r>
          </w:p>
        </w:tc>
      </w:tr>
    </w:tbl>
    <w:p w14:paraId="0B6F5571" w14:textId="0D24D3E2" w:rsidR="00A84C5B" w:rsidRPr="00FD545F" w:rsidRDefault="00A84C5B" w:rsidP="00A84C5B">
      <w:pPr>
        <w:pStyle w:val="a3"/>
        <w:rPr>
          <w:rFonts w:ascii="Times New Roman" w:hAnsi="Times New Roman" w:cs="Times New Roman"/>
          <w:sz w:val="20"/>
          <w:szCs w:val="20"/>
        </w:rPr>
      </w:pPr>
      <w:r w:rsidRPr="00FD545F">
        <w:rPr>
          <w:rFonts w:ascii="Times New Roman" w:hAnsi="Times New Roman" w:cs="Times New Roman"/>
          <w:bCs/>
          <w:sz w:val="20"/>
          <w:szCs w:val="20"/>
        </w:rPr>
        <w:t xml:space="preserve">Note: </w:t>
      </w:r>
      <w:r w:rsidRPr="00FD545F">
        <w:rPr>
          <w:rFonts w:ascii="Times New Roman" w:hAnsi="Times New Roman" w:cs="Times New Roman"/>
          <w:sz w:val="20"/>
          <w:szCs w:val="20"/>
        </w:rPr>
        <w:t xml:space="preserve">The details of construction of household wealth quintile are </w:t>
      </w:r>
      <w:r w:rsidR="00705F0C" w:rsidRPr="00FD545F">
        <w:rPr>
          <w:rFonts w:ascii="Times New Roman" w:hAnsi="Times New Roman" w:cs="Times New Roman"/>
          <w:sz w:val="20"/>
          <w:szCs w:val="20"/>
        </w:rPr>
        <w:t>described below</w:t>
      </w:r>
      <w:r w:rsidRPr="00FD545F">
        <w:rPr>
          <w:rFonts w:ascii="Times New Roman" w:hAnsi="Times New Roman" w:cs="Times New Roman"/>
          <w:sz w:val="20"/>
          <w:szCs w:val="20"/>
        </w:rPr>
        <w:t>.</w:t>
      </w:r>
    </w:p>
    <w:p w14:paraId="6B03B3FA" w14:textId="77777777" w:rsidR="00A84C5B" w:rsidRPr="00FD545F" w:rsidRDefault="00A84C5B" w:rsidP="00436817">
      <w:pPr>
        <w:widowControl/>
        <w:jc w:val="left"/>
        <w:rPr>
          <w:rFonts w:ascii="Times New Roman" w:hAnsi="Times New Roman" w:cs="Times New Roman"/>
          <w:sz w:val="20"/>
          <w:szCs w:val="20"/>
        </w:rPr>
      </w:pPr>
    </w:p>
    <w:p w14:paraId="6851EDBB" w14:textId="77777777" w:rsidR="00A84C5B" w:rsidRPr="00FD545F" w:rsidRDefault="00A84C5B" w:rsidP="00A84C5B">
      <w:pPr>
        <w:widowControl/>
        <w:jc w:val="left"/>
        <w:rPr>
          <w:rFonts w:ascii="Times New Roman" w:hAnsi="Times New Roman" w:cs="Times New Roman"/>
          <w:b/>
          <w:bCs/>
          <w:sz w:val="22"/>
        </w:rPr>
      </w:pPr>
      <w:r w:rsidRPr="00FD545F">
        <w:rPr>
          <w:rFonts w:ascii="Times New Roman" w:hAnsi="Times New Roman" w:cs="Times New Roman"/>
          <w:b/>
          <w:bCs/>
          <w:sz w:val="22"/>
        </w:rPr>
        <w:t>Household economic status for financial risk protection indicator analysis</w:t>
      </w:r>
    </w:p>
    <w:p w14:paraId="2A19FEC5" w14:textId="32EE6CF5" w:rsidR="00A84C5B" w:rsidRPr="00FD545F" w:rsidRDefault="00A84C5B" w:rsidP="00A84C5B">
      <w:pPr>
        <w:pStyle w:val="a3"/>
        <w:jc w:val="left"/>
        <w:rPr>
          <w:rFonts w:ascii="Times New Roman" w:hAnsi="Times New Roman" w:cs="Times New Roman"/>
          <w:sz w:val="22"/>
        </w:rPr>
      </w:pPr>
      <w:r w:rsidRPr="00FD545F">
        <w:rPr>
          <w:rFonts w:ascii="Times New Roman" w:hAnsi="Times New Roman" w:cs="Times New Roman"/>
          <w:sz w:val="22"/>
        </w:rPr>
        <w:t>We followed other studies and constructed a household wealth index based on the information of household consumption expenditure for HSES in Iraq (2007, 2012)</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fldData xml:space="preserve">PEVuZE5vdGU+PENpdGU+PEF1dGhvcj5Xb3JsZCBIZWFsdGggT3JnYW5pemF0aW9uPC9BdXRob3I+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</w:fldData>
        </w:fldChar>
      </w:r>
      <w:r w:rsidR="00EB7016">
        <w:rPr>
          <w:rFonts w:ascii="Times New Roman" w:hAnsi="Times New Roman" w:cs="Times New Roman"/>
          <w:sz w:val="22"/>
        </w:rPr>
        <w:instrText xml:space="preserve"> ADDIN EN.CITE </w:instrText>
      </w:r>
      <w:r w:rsidR="00EB7016">
        <w:rPr>
          <w:rFonts w:ascii="Times New Roman" w:hAnsi="Times New Roman" w:cs="Times New Roman"/>
          <w:sz w:val="22"/>
        </w:rPr>
        <w:fldChar w:fldCharType="begin">
          <w:fldData xml:space="preserve">PEVuZE5vdGU+PENpdGU+PEF1dGhvcj5Xb3JsZCBIZWFsdGggT3JnYW5pemF0aW9uPC9BdXRob3I+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</w:fldData>
        </w:fldChar>
      </w:r>
      <w:r w:rsidR="00EB7016">
        <w:rPr>
          <w:rFonts w:ascii="Times New Roman" w:hAnsi="Times New Roman" w:cs="Times New Roman"/>
          <w:sz w:val="22"/>
        </w:rPr>
        <w:instrText xml:space="preserve"> ADDIN EN.CITE.DATA </w:instrText>
      </w:r>
      <w:r w:rsidR="00EB7016">
        <w:rPr>
          <w:rFonts w:ascii="Times New Roman" w:hAnsi="Times New Roman" w:cs="Times New Roman"/>
          <w:sz w:val="22"/>
        </w:rPr>
      </w:r>
      <w:r w:rsidR="00EB7016">
        <w:rPr>
          <w:rFonts w:ascii="Times New Roman" w:hAnsi="Times New Roman" w:cs="Times New Roman"/>
          <w:sz w:val="22"/>
        </w:rPr>
        <w:fldChar w:fldCharType="end"/>
      </w:r>
      <w:r w:rsidRPr="00FD545F">
        <w:rPr>
          <w:rFonts w:ascii="Times New Roman" w:hAnsi="Times New Roman" w:cs="Times New Roman"/>
          <w:sz w:val="22"/>
        </w:rPr>
      </w:r>
      <w:r w:rsidRPr="00FD545F">
        <w:rPr>
          <w:rFonts w:ascii="Times New Roman" w:hAnsi="Times New Roman" w:cs="Times New Roman"/>
          <w:sz w:val="22"/>
        </w:rPr>
        <w:fldChar w:fldCharType="separate"/>
      </w:r>
      <w:r w:rsidR="00EB7016">
        <w:rPr>
          <w:rFonts w:ascii="Times New Roman" w:hAnsi="Times New Roman" w:cs="Times New Roman"/>
          <w:noProof/>
          <w:sz w:val="22"/>
        </w:rPr>
        <w:t>[2, 3]</w:t>
      </w:r>
      <w:r w:rsidRPr="00FD545F">
        <w:rPr>
          <w:rFonts w:ascii="Times New Roman" w:hAnsi="Times New Roman" w:cs="Times New Roman"/>
          <w:sz w:val="22"/>
        </w:rPr>
        <w:fldChar w:fldCharType="end"/>
      </w:r>
      <w:r w:rsidR="00483EF6">
        <w:rPr>
          <w:rFonts w:ascii="Times New Roman" w:hAnsi="Times New Roman" w:cs="Times New Roman"/>
          <w:sz w:val="22"/>
        </w:rPr>
        <w:t>.</w:t>
      </w:r>
      <w:r w:rsidRPr="00FD545F">
        <w:rPr>
          <w:rFonts w:ascii="Times New Roman" w:hAnsi="Times New Roman" w:cs="Times New Roman"/>
          <w:sz w:val="22"/>
        </w:rPr>
        <w:t xml:space="preserve"> Total consumption expenditure of the household was used as effective income since it is a more accurate reflection of purchasing power than income reported in household surveys</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fldData xml:space="preserve">PEVuZE5vdGU+PENpdGU+PEF1dGhvcj5YdTwvQXV0aG9yPjxZZWFyPjIwMDM8L1llYXI+PElEVGV4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</w:fldData>
        </w:fldChar>
      </w:r>
      <w:r w:rsidR="00513940">
        <w:rPr>
          <w:rFonts w:ascii="Times New Roman" w:hAnsi="Times New Roman" w:cs="Times New Roman"/>
          <w:sz w:val="22"/>
        </w:rPr>
        <w:instrText xml:space="preserve"> ADDIN EN.CITE </w:instrText>
      </w:r>
      <w:r w:rsidR="00513940">
        <w:rPr>
          <w:rFonts w:ascii="Times New Roman" w:hAnsi="Times New Roman" w:cs="Times New Roman"/>
          <w:sz w:val="22"/>
        </w:rPr>
        <w:fldChar w:fldCharType="begin">
          <w:fldData xml:space="preserve">PEVuZE5vdGU+PENpdGU+PEF1dGhvcj5YdTwvQXV0aG9yPjxZZWFyPjIwMDM8L1llYXI+PElEVGV4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</w:fldData>
        </w:fldChar>
      </w:r>
      <w:r w:rsidR="00513940">
        <w:rPr>
          <w:rFonts w:ascii="Times New Roman" w:hAnsi="Times New Roman" w:cs="Times New Roman"/>
          <w:sz w:val="22"/>
        </w:rPr>
        <w:instrText xml:space="preserve"> ADDIN EN.CITE.DATA </w:instrText>
      </w:r>
      <w:r w:rsidR="00513940">
        <w:rPr>
          <w:rFonts w:ascii="Times New Roman" w:hAnsi="Times New Roman" w:cs="Times New Roman"/>
          <w:sz w:val="22"/>
        </w:rPr>
      </w:r>
      <w:r w:rsidR="00513940">
        <w:rPr>
          <w:rFonts w:ascii="Times New Roman" w:hAnsi="Times New Roman" w:cs="Times New Roman"/>
          <w:sz w:val="22"/>
        </w:rPr>
        <w:fldChar w:fldCharType="end"/>
      </w:r>
      <w:r w:rsidRPr="00FD545F">
        <w:rPr>
          <w:rFonts w:ascii="Times New Roman" w:hAnsi="Times New Roman" w:cs="Times New Roman"/>
          <w:sz w:val="22"/>
        </w:rPr>
      </w:r>
      <w:r w:rsidRPr="00FD545F">
        <w:rPr>
          <w:rFonts w:ascii="Times New Roman" w:hAnsi="Times New Roman" w:cs="Times New Roman"/>
          <w:sz w:val="22"/>
        </w:rPr>
        <w:fldChar w:fldCharType="separate"/>
      </w:r>
      <w:r w:rsidR="00513940">
        <w:rPr>
          <w:rFonts w:ascii="Times New Roman" w:hAnsi="Times New Roman" w:cs="Times New Roman"/>
          <w:noProof/>
          <w:sz w:val="22"/>
        </w:rPr>
        <w:t>[9, 10]</w:t>
      </w:r>
      <w:r w:rsidRPr="00FD545F">
        <w:rPr>
          <w:rFonts w:ascii="Times New Roman" w:hAnsi="Times New Roman" w:cs="Times New Roman"/>
          <w:sz w:val="22"/>
        </w:rPr>
        <w:fldChar w:fldCharType="end"/>
      </w:r>
      <w:r w:rsidR="00483EF6">
        <w:rPr>
          <w:rFonts w:ascii="Times New Roman" w:hAnsi="Times New Roman" w:cs="Times New Roman"/>
          <w:sz w:val="22"/>
        </w:rPr>
        <w:t>.</w:t>
      </w:r>
      <w:r w:rsidRPr="00FD545F">
        <w:rPr>
          <w:rFonts w:ascii="Times New Roman" w:hAnsi="Times New Roman" w:cs="Times New Roman"/>
          <w:sz w:val="22"/>
        </w:rPr>
        <w:t xml:space="preserve"> For each household, an equivalised per capita expenditure was estimated by dividing the total expenditure consumption by the equivalent household size</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r>
      <w:r w:rsidR="00EB7016">
        <w:rPr>
          <w:rFonts w:ascii="Times New Roman" w:hAnsi="Times New Roman" w:cs="Times New Roman"/>
          <w:sz w:val="22"/>
        </w:rPr>
        <w:instrText xml:space="preserve"> ADDIN EN.CITE &lt;EndNote&gt;&lt;Cite&gt;&lt;Author&gt;World Health Organization&lt;/Author&gt;&lt;Year&gt;2005&lt;/Year&gt;&lt;IDText&gt;Distribution of health payments and catastrophic expenditures Methodology / by Ke Xu&lt;/IDText&gt;&lt;DisplayText&gt;[3]&lt;/DisplayText&gt;&lt;record&gt;&lt;dates&gt;&lt;pub-dates&gt;&lt;date&gt;2005&lt;/date&gt;&lt;/pub-dates&gt;&lt;year&gt;2005&lt;/year&gt;&lt;/dates&gt;&lt;keywords&gt;&lt;keyword&gt;Insurance, Major Medical&lt;/keyword&gt;&lt;keyword&gt;Socioeconomic Factors&lt;/keyword&gt;&lt;keyword&gt;Economics&lt;/keyword&gt;&lt;keyword&gt;Data Collection&lt;/keyword&gt;&lt;keyword&gt;methods&lt;/keyword&gt;&lt;/keywords&gt;&lt;urls&gt;&lt;related-urls&gt;&lt;url&gt;https://apps.who.int/iris/handle/10665/69030&lt;/url&gt;&lt;/related-urls&gt;&lt;/urls&gt;&lt;titles&gt;&lt;title&gt;Distribution of health payments and catastrophic expenditures Methodology / by Ke Xu&lt;/title&gt;&lt;alt-title&gt;Distribución del gasto en salud y gastos catastróficos: metodología&lt;/alt-title&gt;&lt;tertiary-title&gt;FER/EIP discussion paper ; no.2&lt;/tertiary-title&gt;&lt;/titles&gt;&lt;number&gt;EIP/FER/DP.05.2&lt;/number&gt;&lt;contributors&gt;&lt;authors&gt;&lt;author&gt;World Health Organization,&lt;/author&gt;&lt;/authors&gt;&lt;/contributors&gt;&lt;section&gt;EIP/FER/DP.05.2&amp;#xD;11 p.&amp;#xD;English-Online-&lt;/section&gt;&lt;language&gt;en&lt;/language&gt;&lt;added-date format="utc"&gt;1608509247&lt;/added-date&gt;&lt;pub-location&gt;Geneva&lt;/pub-location&gt;&lt;ref-type name="Generic"&gt;13&lt;/ref-type&gt;&lt;remote-database-provider&gt;http://apps.who.int/iris/&lt;/remote-database-provider&gt;&lt;rec-number&gt;1095&lt;/rec-number&gt;&lt;publisher&gt;World Health Organization&lt;/publisher&gt;&lt;last-updated-date format="utc"&gt;1608897964&lt;/last-updated-date&gt;&lt;remote-database-name&gt;WHO IRIS&lt;/remote-database-name&gt;&lt;/record&gt;&lt;/Cite&gt;&lt;/EndNote&gt;</w:instrText>
      </w:r>
      <w:r w:rsidRPr="00FD545F">
        <w:rPr>
          <w:rFonts w:ascii="Times New Roman" w:hAnsi="Times New Roman" w:cs="Times New Roman"/>
          <w:sz w:val="22"/>
        </w:rPr>
        <w:fldChar w:fldCharType="separate"/>
      </w:r>
      <w:r w:rsidR="00EB7016">
        <w:rPr>
          <w:rFonts w:ascii="Times New Roman" w:hAnsi="Times New Roman" w:cs="Times New Roman"/>
          <w:noProof/>
          <w:sz w:val="22"/>
        </w:rPr>
        <w:t>[3]</w:t>
      </w:r>
      <w:r w:rsidRPr="00FD545F">
        <w:rPr>
          <w:rFonts w:ascii="Times New Roman" w:hAnsi="Times New Roman" w:cs="Times New Roman"/>
          <w:sz w:val="22"/>
        </w:rPr>
        <w:fldChar w:fldCharType="end"/>
      </w:r>
      <w:r w:rsidR="00483EF6">
        <w:rPr>
          <w:rFonts w:ascii="Times New Roman" w:hAnsi="Times New Roman" w:cs="Times New Roman"/>
          <w:sz w:val="22"/>
        </w:rPr>
        <w:t>.</w:t>
      </w:r>
      <w:r w:rsidRPr="00FD545F">
        <w:rPr>
          <w:rFonts w:ascii="Times New Roman" w:hAnsi="Times New Roman" w:cs="Times New Roman"/>
          <w:sz w:val="22"/>
        </w:rPr>
        <w:t xml:space="preserve"> Households were ranked into quintiles based on the equivalised per capita expenditure. The lowest 20% was regarded as the poorest quintile (Q1) and the highest 20% as the richest (Q5)</w:t>
      </w:r>
      <w:r w:rsidR="00483EF6">
        <w:rPr>
          <w:rFonts w:ascii="Times New Roman" w:hAnsi="Times New Roman" w:cs="Times New Roman"/>
          <w:sz w:val="22"/>
        </w:rPr>
        <w:t xml:space="preserve"> </w:t>
      </w:r>
      <w:r w:rsidRPr="00FD545F">
        <w:rPr>
          <w:rFonts w:ascii="Times New Roman" w:hAnsi="Times New Roman" w:cs="Times New Roman"/>
          <w:sz w:val="22"/>
        </w:rPr>
        <w:fldChar w:fldCharType="begin"/>
      </w:r>
      <w:r w:rsidR="00513940">
        <w:rPr>
          <w:rFonts w:ascii="Times New Roman" w:hAnsi="Times New Roman" w:cs="Times New Roman"/>
          <w:sz w:val="22"/>
        </w:rPr>
        <w:instrText xml:space="preserve"> ADDIN EN.CITE &lt;EndNote&gt;&lt;Cite&gt;&lt;Author&gt;Deaton&lt;/Author&gt;&lt;Year&gt;2002&lt;/Year&gt;&lt;IDText&gt;Guidelines for constructing consumption aggregates for welfare analysis (English)&lt;/IDText&gt;&lt;DisplayText&gt;[2, 11]&lt;/DisplayText&gt;&lt;record&gt;&lt;dates&gt;&lt;pub-dates&gt;&lt;date&gt;31 May&lt;/date&gt;&lt;/pub-dates&gt;&lt;year&gt;2002&lt;/year&gt;&lt;/dates&gt;&lt;urls&gt;&lt;related-urls&gt;&lt;url&gt;http://documents.worldbank.org/curated/en/206561468781153320/Guidelines-for-constructing-consumption-aggregates-for-welfare-analysis&lt;/url&gt;&lt;/related-urls&gt;&lt;/urls&gt;&lt;titles&gt;&lt;title&gt;Guidelines for constructing consumption aggregates for welfare analysis (English)&lt;/title&gt;&lt;secondary-title&gt;Living standards measurement study (LSMS) working paper&lt;/secondary-title&gt;&lt;/titles&gt;&lt;contributors&gt;&lt;authors&gt;&lt;author&gt;Deaton, Angus; Zaidi, Salman; Deaton, Angus Zaidi, Salman,&lt;/author&gt;&lt;/authors&gt;&lt;/contributors&gt;&lt;added-date format="utc"&gt;1575806646&lt;/added-date&gt;&lt;pub-location&gt;Washington, D.C&lt;/pub-location&gt;&lt;ref-type name="Generic"&gt;13&lt;/ref-type&gt;&lt;rec-number&gt;424&lt;/rec-number&gt;&lt;publisher&gt;The World Bank&lt;/publisher&gt;&lt;last-updated-date format="utc"&gt;1611380288&lt;/last-updated-date&gt;&lt;num-vols&gt;no. LSM 135.&lt;/num-vols&gt;&lt;/record&gt;&lt;/Cite&gt;&lt;Cite&gt;&lt;Author&gt;O&amp;apos;Donnell&lt;/Author&gt;&lt;Year&gt;2008&lt;/Year&gt;&lt;IDText&gt;Analyzing Health Equity Using Household Survey Data: A Guide to Techniques and Their Implementation&lt;/IDText&gt;&lt;record&gt;&lt;urls&gt;&lt;related-urls&gt;&lt;url&gt;https://openknowledge.worldbank.org/handle/10986/6896&lt;/url&gt;&lt;/related-urls&gt;&lt;/urls&gt;&lt;titles&gt;&lt;title&gt;Analyzing Health Equity Using Household Survey Data: A Guide to Techniques and Their Implementation&lt;/title&gt;&lt;/titles&gt;&lt;pages&gt;234&lt;/pages&gt;&lt;contributors&gt;&lt;authors&gt;&lt;author&gt;O&amp;apos;Donnell, Owen&lt;/author&gt;&lt;author&gt;van Doorslaer, Eddy&lt;/author&gt;&lt;author&gt;Wagstaff, Adam&lt;/author&gt;&lt;author&gt;Lindelow, Magnus&lt;/author&gt;&lt;/authors&gt;&lt;/contributors&gt;&lt;added-date format="utc"&gt;1575583492&lt;/added-date&gt;&lt;pub-location&gt;Washington, DC&lt;/pub-location&gt;&lt;ref-type name="Book"&gt;6&lt;/ref-type&gt;&lt;dates&gt;&lt;year&gt;2008&lt;/year&gt;&lt;/dates&gt;&lt;rec-number&gt;387&lt;/rec-number&gt;&lt;publisher&gt;The World Bank&lt;/publisher&gt;&lt;last-updated-date format="utc"&gt;1612349166&lt;/last-updated-date&gt;&lt;/record&gt;&lt;/Cite&gt;&lt;/EndNote&gt;</w:instrText>
      </w:r>
      <w:r w:rsidRPr="00FD545F">
        <w:rPr>
          <w:rFonts w:ascii="Times New Roman" w:hAnsi="Times New Roman" w:cs="Times New Roman"/>
          <w:sz w:val="22"/>
        </w:rPr>
        <w:fldChar w:fldCharType="separate"/>
      </w:r>
      <w:r w:rsidR="00513940">
        <w:rPr>
          <w:rFonts w:ascii="Times New Roman" w:hAnsi="Times New Roman" w:cs="Times New Roman"/>
          <w:noProof/>
          <w:sz w:val="22"/>
        </w:rPr>
        <w:t>[2, 11]</w:t>
      </w:r>
      <w:r w:rsidRPr="00FD545F">
        <w:rPr>
          <w:rFonts w:ascii="Times New Roman" w:hAnsi="Times New Roman" w:cs="Times New Roman"/>
          <w:sz w:val="22"/>
        </w:rPr>
        <w:fldChar w:fldCharType="end"/>
      </w:r>
      <w:r w:rsidR="00483EF6">
        <w:rPr>
          <w:rFonts w:ascii="Times New Roman" w:hAnsi="Times New Roman" w:cs="Times New Roman"/>
          <w:sz w:val="22"/>
        </w:rPr>
        <w:t>.</w:t>
      </w:r>
    </w:p>
    <w:p w14:paraId="237DCFF9" w14:textId="0FA49830" w:rsidR="007E4BD0" w:rsidRPr="00FD545F" w:rsidRDefault="007E4BD0" w:rsidP="00A84C5B">
      <w:pPr>
        <w:pStyle w:val="a3"/>
        <w:jc w:val="left"/>
        <w:rPr>
          <w:rFonts w:ascii="Times New Roman" w:hAnsi="Times New Roman" w:cs="Times New Roman"/>
          <w:sz w:val="22"/>
        </w:rPr>
      </w:pPr>
    </w:p>
    <w:p w14:paraId="3D702DF7" w14:textId="77777777" w:rsidR="005A2CC1" w:rsidRPr="00FD545F" w:rsidRDefault="005A2CC1">
      <w:pPr>
        <w:widowControl/>
        <w:jc w:val="left"/>
        <w:rPr>
          <w:rFonts w:ascii="Times New Roman" w:eastAsia="游ゴシック" w:hAnsi="Times New Roman" w:cs="Times New Roman"/>
          <w:b/>
          <w:bCs/>
          <w:color w:val="000000" w:themeColor="text1"/>
          <w:kern w:val="0"/>
          <w:sz w:val="24"/>
          <w:szCs w:val="24"/>
          <w:lang w:val="en-US"/>
        </w:rPr>
      </w:pPr>
      <w:r w:rsidRPr="00FD545F">
        <w:rPr>
          <w:rFonts w:ascii="Times New Roman" w:eastAsia="游ゴシック" w:hAnsi="Times New Roman" w:cs="Times New Roman"/>
          <w:b/>
          <w:bCs/>
          <w:color w:val="000000" w:themeColor="text1"/>
          <w:kern w:val="0"/>
          <w:sz w:val="24"/>
          <w:szCs w:val="24"/>
          <w:lang w:val="en-US"/>
        </w:rPr>
        <w:br w:type="page"/>
      </w:r>
    </w:p>
    <w:p w14:paraId="3C3C04A1" w14:textId="3383BEFC" w:rsidR="005A2CC1" w:rsidRPr="006E6F60" w:rsidRDefault="005A2CC1" w:rsidP="005A2CC1">
      <w:pPr>
        <w:widowControl/>
        <w:jc w:val="left"/>
        <w:rPr>
          <w:rFonts w:ascii="Times New Roman" w:hAnsi="Times New Roman" w:cs="Times New Roman"/>
          <w:b/>
          <w:bCs/>
          <w:color w:val="000000" w:themeColor="text1"/>
          <w:sz w:val="24"/>
          <w:szCs w:val="24"/>
        </w:rPr>
      </w:pPr>
      <w:r w:rsidRPr="00FD545F">
        <w:rPr>
          <w:rFonts w:ascii="Times New Roman" w:hAnsi="Times New Roman" w:cs="Times New Roman"/>
          <w:b/>
          <w:bCs/>
          <w:sz w:val="24"/>
          <w:szCs w:val="24"/>
        </w:rPr>
        <w:lastRenderedPageBreak/>
        <w:t>Appendix</w:t>
      </w:r>
      <w:r w:rsidRPr="00FD545F">
        <w:rPr>
          <w:rFonts w:ascii="Times New Roman" w:eastAsia="游ゴシック" w:hAnsi="Times New Roman" w:cs="Times New Roman"/>
          <w:b/>
          <w:bCs/>
          <w:color w:val="000000"/>
          <w:kern w:val="0"/>
          <w:sz w:val="24"/>
          <w:szCs w:val="24"/>
          <w:lang w:val="en-US"/>
        </w:rPr>
        <w:t xml:space="preserve"> section </w:t>
      </w:r>
      <w:r w:rsidR="00A94D17" w:rsidRPr="00FD545F">
        <w:rPr>
          <w:rFonts w:ascii="Times New Roman" w:eastAsia="游ゴシック" w:hAnsi="Times New Roman" w:cs="Times New Roman"/>
          <w:b/>
          <w:bCs/>
          <w:color w:val="000000"/>
          <w:kern w:val="0"/>
          <w:sz w:val="24"/>
          <w:szCs w:val="24"/>
          <w:lang w:val="en-US"/>
        </w:rPr>
        <w:t>6</w:t>
      </w:r>
      <w:r w:rsidRPr="00FD545F">
        <w:rPr>
          <w:rFonts w:ascii="Times New Roman" w:eastAsia="游ゴシック" w:hAnsi="Times New Roman" w:cs="Times New Roman"/>
          <w:b/>
          <w:bCs/>
          <w:color w:val="000000"/>
          <w:kern w:val="0"/>
          <w:sz w:val="24"/>
          <w:szCs w:val="24"/>
          <w:lang w:val="en-US"/>
        </w:rPr>
        <w:t xml:space="preserve">. </w:t>
      </w:r>
      <w:r w:rsidRPr="00FD545F">
        <w:rPr>
          <w:rFonts w:ascii="Times New Roman" w:hAnsi="Times New Roman" w:cs="Times New Roman"/>
          <w:b/>
          <w:bCs/>
          <w:color w:val="000000" w:themeColor="text1"/>
          <w:sz w:val="24"/>
          <w:szCs w:val="24"/>
        </w:rPr>
        <w:t>Statisti</w:t>
      </w:r>
      <w:r w:rsidRPr="006E6F60">
        <w:rPr>
          <w:rFonts w:ascii="Times New Roman" w:hAnsi="Times New Roman" w:cs="Times New Roman"/>
          <w:b/>
          <w:bCs/>
          <w:color w:val="000000" w:themeColor="text1"/>
          <w:sz w:val="24"/>
          <w:szCs w:val="24"/>
        </w:rPr>
        <w:t>cal analysis</w:t>
      </w:r>
    </w:p>
    <w:p w14:paraId="4E085B8A" w14:textId="702BE1F1" w:rsidR="005A2CC1" w:rsidRPr="006E6F60" w:rsidRDefault="005A2CC1" w:rsidP="005A2CC1">
      <w:pPr>
        <w:widowControl/>
        <w:jc w:val="left"/>
        <w:rPr>
          <w:rFonts w:ascii="Times New Roman" w:hAnsi="Times New Roman" w:cs="Times New Roman"/>
          <w:b/>
          <w:bCs/>
          <w:color w:val="000000" w:themeColor="text1"/>
          <w:sz w:val="22"/>
          <w:lang w:val="en-US"/>
        </w:rPr>
      </w:pPr>
    </w:p>
    <w:p w14:paraId="5E87DB5A" w14:textId="1CF6EED4" w:rsidR="00271C91" w:rsidRPr="006E6F60" w:rsidRDefault="00271C91" w:rsidP="005A2CC1">
      <w:pPr>
        <w:widowControl/>
        <w:jc w:val="left"/>
        <w:rPr>
          <w:rFonts w:ascii="Times New Roman" w:hAnsi="Times New Roman" w:cs="Times New Roman"/>
          <w:b/>
          <w:bCs/>
          <w:color w:val="000000" w:themeColor="text1"/>
          <w:sz w:val="22"/>
          <w:lang w:val="en-US"/>
        </w:rPr>
      </w:pPr>
      <w:r w:rsidRPr="006E6F60">
        <w:rPr>
          <w:rFonts w:ascii="Times New Roman" w:hAnsi="Times New Roman" w:cs="Times New Roman"/>
          <w:b/>
          <w:bCs/>
          <w:color w:val="000000" w:themeColor="text1"/>
          <w:sz w:val="22"/>
        </w:rPr>
        <w:t>Bayesian approach</w:t>
      </w:r>
    </w:p>
    <w:p w14:paraId="1959163C" w14:textId="56A61ABC" w:rsidR="00BC3858" w:rsidRPr="006E6F60" w:rsidRDefault="00C20A0B" w:rsidP="00BC3858">
      <w:pPr>
        <w:pStyle w:val="a3"/>
        <w:jc w:val="left"/>
        <w:rPr>
          <w:rFonts w:ascii="Times New Roman" w:hAnsi="Times New Roman" w:cs="Times New Roman"/>
          <w:color w:val="000000" w:themeColor="text1"/>
          <w:sz w:val="22"/>
        </w:rPr>
      </w:pPr>
      <w:r w:rsidRPr="006E6F60">
        <w:rPr>
          <w:rFonts w:ascii="Times New Roman" w:hAnsi="Times New Roman" w:cs="Times New Roman"/>
          <w:color w:val="000000" w:themeColor="text1"/>
          <w:sz w:val="22"/>
        </w:rPr>
        <w:t xml:space="preserve">Bayesian approach addresses the issues of limited data points across all provenances and </w:t>
      </w:r>
      <w:r w:rsidR="009D1971" w:rsidRPr="006E6F60">
        <w:rPr>
          <w:rFonts w:ascii="Times New Roman" w:hAnsi="Times New Roman" w:cs="Times New Roman"/>
          <w:color w:val="000000" w:themeColor="text1"/>
          <w:sz w:val="22"/>
        </w:rPr>
        <w:t xml:space="preserve">is used and favoured when we </w:t>
      </w:r>
      <w:r w:rsidRPr="006E6F60">
        <w:rPr>
          <w:rFonts w:ascii="Times New Roman" w:hAnsi="Times New Roman" w:cs="Times New Roman"/>
          <w:color w:val="000000" w:themeColor="text1"/>
          <w:sz w:val="22"/>
        </w:rPr>
        <w:t xml:space="preserve">aim to project probabilities. This unique advantage of Bayesian approach to produce probabilistic-oriented inferences was key </w:t>
      </w:r>
      <w:r w:rsidR="009D1971" w:rsidRPr="006E6F60">
        <w:rPr>
          <w:rFonts w:ascii="Times New Roman" w:hAnsi="Times New Roman" w:cs="Times New Roman"/>
          <w:color w:val="000000" w:themeColor="text1"/>
          <w:sz w:val="22"/>
        </w:rPr>
        <w:t>in</w:t>
      </w:r>
      <w:r w:rsidRPr="006E6F60">
        <w:rPr>
          <w:rFonts w:ascii="Times New Roman" w:hAnsi="Times New Roman" w:cs="Times New Roman"/>
          <w:color w:val="000000" w:themeColor="text1"/>
          <w:sz w:val="22"/>
        </w:rPr>
        <w:t xml:space="preserve"> conducting our study. Bayesian approach has been increasingly applied especially to ecological studies. Ecological modelling is characterised by high uncertainty because of complex and often unknown cause-effect relationships among variables. Therefore, a probabilistic approach is needed to yield distributions of possible outcomes. Bayesian method also has an ability to combine prior knowledge about parameters with evidence from data and is favoured for analysis of hierarchical models </w:t>
      </w:r>
      <w:r w:rsidRPr="006E6F60">
        <w:rPr>
          <w:rFonts w:ascii="Times New Roman" w:hAnsi="Times New Roman" w:cs="Times New Roman"/>
          <w:color w:val="000000" w:themeColor="text1"/>
          <w:sz w:val="22"/>
        </w:rPr>
        <w:fldChar w:fldCharType="begin"/>
      </w:r>
      <w:r w:rsidRPr="006E6F60">
        <w:rPr>
          <w:rFonts w:ascii="Times New Roman" w:hAnsi="Times New Roman" w:cs="Times New Roman"/>
          <w:color w:val="000000" w:themeColor="text1"/>
          <w:sz w:val="22"/>
        </w:rPr>
        <w:instrText xml:space="preserve"> ADDIN EN.CITE &lt;EndNote&gt;&lt;Cite&gt;&lt;Author&gt;Arhonditsis&lt;/Author&gt;&lt;Year&gt;2006&lt;/Year&gt;&lt;IDText&gt;Exploring ecological patterns with structural equation modeling and Bayesian analysis&lt;/IDText&gt;&lt;DisplayText&gt;[12]&lt;/DisplayText&gt;&lt;record&gt;&lt;dates&gt;&lt;pub-dates&gt;&lt;date&gt;2006/02/25/&lt;/date&gt;&lt;/pub-dates&gt;&lt;year&gt;2006&lt;/year&gt;&lt;/dates&gt;&lt;keywords&gt;&lt;keyword&gt;Structural equation modeling&lt;/keyword&gt;&lt;keyword&gt;Ecological patterns&lt;/keyword&gt;&lt;keyword&gt;Bayesian analysis&lt;/keyword&gt;&lt;keyword&gt;Phytoplankton dynamics&lt;/keyword&gt;&lt;keyword&gt;Water quality management&lt;/keyword&gt;&lt;/keywords&gt;&lt;urls&gt;&lt;related-urls&gt;&lt;url&gt;https://www.sciencedirect.com/science/article/pii/S0304380005003765&lt;/url&gt;&lt;/related-urls&gt;&lt;/urls&gt;&lt;isbn&gt;0304-3800&lt;/isbn&gt;&lt;titles&gt;&lt;title&gt;Exploring ecological patterns with structural equation modeling and Bayesian analysis&lt;/title&gt;&lt;secondary-title&gt;Ecological Modelling&lt;/secondary-title&gt;&lt;/titles&gt;&lt;pages&gt;385-409&lt;/pages&gt;&lt;number&gt;3&lt;/number&gt;&lt;contributors&gt;&lt;authors&gt;&lt;author&gt;Arhonditsis, G. B.&lt;/author&gt;&lt;author&gt;Stow, C. A.&lt;/author&gt;&lt;author&gt;Steinberg, L. J.&lt;/author&gt;&lt;author&gt;Kenney, M. A.&lt;/author&gt;&lt;author&gt;Lathrop, R. C.&lt;/author&gt;&lt;author&gt;McBride, S. J.&lt;/author&gt;&lt;author&gt;Reckhow, K. H.&lt;/author&gt;&lt;/authors&gt;&lt;/contributors&gt;&lt;added-date format="utc"&gt;1624730404&lt;/added-date&gt;&lt;ref-type name="Journal Article"&gt;17&lt;/ref-type&gt;&lt;rec-number&gt;1362&lt;/rec-number&gt;&lt;last-updated-date format="utc"&gt;1624730404&lt;/last-updated-date&gt;&lt;electronic-resource-num&gt;https://doi.org/10.1016/j.ecolmodel.2005.07.028&lt;/electronic-resource-num&gt;&lt;volume&gt;192&lt;/volume&gt;&lt;/record&gt;&lt;/Cite&gt;&lt;/EndNote&gt;</w:instrText>
      </w:r>
      <w:r w:rsidRPr="006E6F60">
        <w:rPr>
          <w:rFonts w:ascii="Times New Roman" w:hAnsi="Times New Roman" w:cs="Times New Roman"/>
          <w:color w:val="000000" w:themeColor="text1"/>
          <w:sz w:val="22"/>
        </w:rPr>
        <w:fldChar w:fldCharType="separate"/>
      </w:r>
      <w:r w:rsidRPr="006E6F60">
        <w:rPr>
          <w:rFonts w:ascii="Times New Roman" w:hAnsi="Times New Roman" w:cs="Times New Roman"/>
          <w:noProof/>
          <w:color w:val="000000" w:themeColor="text1"/>
          <w:sz w:val="22"/>
        </w:rPr>
        <w:t>[12]</w:t>
      </w:r>
      <w:r w:rsidRPr="006E6F60">
        <w:rPr>
          <w:rFonts w:ascii="Times New Roman" w:hAnsi="Times New Roman" w:cs="Times New Roman"/>
          <w:color w:val="000000" w:themeColor="text1"/>
          <w:sz w:val="22"/>
        </w:rPr>
        <w:fldChar w:fldCharType="end"/>
      </w:r>
      <w:r w:rsidR="00BC3858" w:rsidRPr="006E6F60">
        <w:rPr>
          <w:rFonts w:ascii="Times New Roman" w:hAnsi="Times New Roman" w:cs="Times New Roman"/>
          <w:color w:val="000000" w:themeColor="text1"/>
          <w:sz w:val="22"/>
        </w:rPr>
        <w:t>.</w:t>
      </w:r>
      <w:r w:rsidRPr="006E6F60">
        <w:rPr>
          <w:rFonts w:ascii="Times New Roman" w:hAnsi="Times New Roman" w:cs="Times New Roman"/>
          <w:color w:val="000000" w:themeColor="text1"/>
          <w:sz w:val="22"/>
        </w:rPr>
        <w:t xml:space="preserve"> It enables flexibility in specifying hierarchical structures of parameters using priors; ability to manage small samples and model misspecification; explicit handling of uncertainty; and intuitive interpretations of results (credible interval versus confidence interval) </w:t>
      </w:r>
      <w:r w:rsidRPr="006E6F60">
        <w:rPr>
          <w:rFonts w:ascii="Times New Roman" w:hAnsi="Times New Roman" w:cs="Times New Roman"/>
          <w:color w:val="000000" w:themeColor="text1"/>
          <w:sz w:val="22"/>
        </w:rPr>
        <w:fldChar w:fldCharType="begin"/>
      </w:r>
      <w:r w:rsidRPr="006E6F60">
        <w:rPr>
          <w:rFonts w:ascii="Times New Roman" w:hAnsi="Times New Roman" w:cs="Times New Roman"/>
          <w:color w:val="000000" w:themeColor="text1"/>
          <w:sz w:val="22"/>
        </w:rPr>
        <w:instrText xml:space="preserve"> ADDIN EN.CITE &lt;EndNote&gt;&lt;Cite&gt;&lt;Author&gt;Grzenda&lt;/Author&gt;&lt;Year&gt;2015&lt;/Year&gt;&lt;IDText&gt;The Advantages of Bayesian Methods over Classical Methods in the Context of Credible Intervals&lt;/IDText&gt;&lt;DisplayText&gt;[13]&lt;/DisplayText&gt;&lt;record&gt;&lt;urls&gt;&lt;related-urls&gt;&lt;url&gt;http://webcache.googleusercontent.com/search?q=cache:blLZxZW88cgJ:yadda.icm.edu.pl/yadda/element/bwmeta1.element.baztech-df752911-e9a2-40c6-a725-27d2d5f024ca/c/Grzenda_W..pdf+&amp;amp;cd=4&amp;amp;hl=ja&amp;amp;ct=clnk&amp;amp;gl=ci&lt;/url&gt;&lt;/related-urls&gt;&lt;/urls&gt;&lt;titles&gt;&lt;title&gt;The Advantages of Bayesian Methods over Classical Methods in the Context of Credible Intervals&lt;/title&gt;&lt;secondary-title&gt;Information Systems in Management&lt;/secondary-title&gt;&lt;/titles&gt;&lt;pages&gt;11&lt;/pages&gt;&lt;number&gt;1&lt;/number&gt;&lt;contributors&gt;&lt;authors&gt;&lt;author&gt;Grzenda, Wioletta&lt;/author&gt;&lt;/authors&gt;&lt;/contributors&gt;&lt;section&gt;53&lt;/section&gt;&lt;added-date format="utc"&gt;1624731648&lt;/added-date&gt;&lt;ref-type name="Journal Article"&gt;17&lt;/ref-type&gt;&lt;dates&gt;&lt;year&gt;2015&lt;/year&gt;&lt;/dates&gt;&lt;rec-number&gt;1363&lt;/rec-number&gt;&lt;last-updated-date format="utc"&gt;1624731928&lt;/last-updated-date&gt;&lt;volume&gt;4&lt;/volume&gt;&lt;/record&gt;&lt;/Cite&gt;&lt;/EndNote&gt;</w:instrText>
      </w:r>
      <w:r w:rsidRPr="006E6F60">
        <w:rPr>
          <w:rFonts w:ascii="Times New Roman" w:hAnsi="Times New Roman" w:cs="Times New Roman"/>
          <w:color w:val="000000" w:themeColor="text1"/>
          <w:sz w:val="22"/>
        </w:rPr>
        <w:fldChar w:fldCharType="separate"/>
      </w:r>
      <w:r w:rsidRPr="006E6F60">
        <w:rPr>
          <w:rFonts w:ascii="Times New Roman" w:hAnsi="Times New Roman" w:cs="Times New Roman"/>
          <w:noProof/>
          <w:color w:val="000000" w:themeColor="text1"/>
          <w:sz w:val="22"/>
        </w:rPr>
        <w:t>[13]</w:t>
      </w:r>
      <w:r w:rsidRPr="006E6F60">
        <w:rPr>
          <w:rFonts w:ascii="Times New Roman" w:hAnsi="Times New Roman" w:cs="Times New Roman"/>
          <w:color w:val="000000" w:themeColor="text1"/>
          <w:sz w:val="22"/>
        </w:rPr>
        <w:fldChar w:fldCharType="end"/>
      </w:r>
      <w:r w:rsidR="00BC3858" w:rsidRPr="006E6F60">
        <w:rPr>
          <w:rFonts w:ascii="Times New Roman" w:hAnsi="Times New Roman" w:cs="Times New Roman"/>
          <w:color w:val="000000" w:themeColor="text1"/>
          <w:sz w:val="22"/>
        </w:rPr>
        <w:t>.</w:t>
      </w:r>
    </w:p>
    <w:p w14:paraId="42184EF6" w14:textId="77777777" w:rsidR="00BC3858" w:rsidRPr="006E6F60" w:rsidRDefault="00BC3858" w:rsidP="00BC3858">
      <w:pPr>
        <w:pStyle w:val="a3"/>
        <w:jc w:val="left"/>
        <w:rPr>
          <w:rFonts w:ascii="Times New Roman" w:hAnsi="Times New Roman" w:cs="Times New Roman"/>
          <w:color w:val="000000" w:themeColor="text1"/>
          <w:sz w:val="22"/>
        </w:rPr>
      </w:pPr>
    </w:p>
    <w:p w14:paraId="0271A6B3" w14:textId="09B6BA5E" w:rsidR="005A2CC1" w:rsidRPr="00FD545F" w:rsidRDefault="005A2CC1" w:rsidP="00BC3858">
      <w:pPr>
        <w:pStyle w:val="a3"/>
        <w:jc w:val="left"/>
        <w:rPr>
          <w:rFonts w:ascii="Times New Roman" w:hAnsi="Times New Roman" w:cs="Times New Roman"/>
          <w:sz w:val="22"/>
        </w:rPr>
      </w:pPr>
      <w:r w:rsidRPr="006E6F60">
        <w:rPr>
          <w:rFonts w:ascii="Times New Roman" w:hAnsi="Times New Roman" w:cs="Times New Roman"/>
          <w:color w:val="000000" w:themeColor="text1"/>
          <w:sz w:val="22"/>
        </w:rPr>
        <w:t xml:space="preserve">Predictor variables used in the trend analysis </w:t>
      </w:r>
      <w:r w:rsidRPr="006E6F60">
        <w:rPr>
          <w:rFonts w:ascii="Times New Roman" w:hAnsi="Times New Roman" w:cs="Times New Roman"/>
          <w:sz w:val="22"/>
        </w:rPr>
        <w:t>were projected up to 2030 using a Bayesian hierarchical regression model:</w:t>
      </w:r>
    </w:p>
    <w:p w14:paraId="5D14DE18" w14:textId="77777777" w:rsidR="005A2CC1" w:rsidRPr="00FD545F" w:rsidRDefault="002120EE" w:rsidP="005A2CC1">
      <w:pPr>
        <w:jc w:val="left"/>
        <w:rPr>
          <w:rFonts w:ascii="Times New Roman" w:hAnsi="Times New Roman" w:cs="Times New Roman"/>
          <w:sz w:val="22"/>
        </w:rPr>
      </w:pPr>
      <m:oMathPara>
        <m:oMath>
          <m:sSub>
            <m:sSubPr>
              <m:ctrlPr>
                <w:rPr>
                  <w:rFonts w:ascii="Cambria Math" w:hAnsi="Cambria Math" w:cs="Times New Roman"/>
                  <w:i/>
                  <w:sz w:val="22"/>
                </w:rPr>
              </m:ctrlPr>
            </m:sSubPr>
            <m:e>
              <m:r>
                <w:rPr>
                  <w:rFonts w:ascii="Cambria Math" w:hAnsi="Cambria Math" w:cs="Times New Roman"/>
                  <w:sz w:val="22"/>
                </w:rPr>
                <m:t>y</m:t>
              </m:r>
            </m:e>
            <m:sub>
              <m:r>
                <w:rPr>
                  <w:rFonts w:ascii="Cambria Math" w:hAnsi="Cambria Math" w:cs="Times New Roman"/>
                  <w:sz w:val="22"/>
                </w:rPr>
                <m:t>ijk</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α</m:t>
              </m:r>
            </m:e>
            <m:sub>
              <m:r>
                <w:rPr>
                  <w:rFonts w:ascii="Cambria Math" w:hAnsi="Cambria Math" w:cs="Times New Roman"/>
                  <w:sz w:val="22"/>
                </w:rPr>
                <m:t>jk</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β</m:t>
              </m:r>
            </m:e>
            <m:sub>
              <m:r>
                <w:rPr>
                  <w:rFonts w:ascii="Cambria Math" w:hAnsi="Cambria Math" w:cs="Times New Roman"/>
                  <w:sz w:val="22"/>
                </w:rPr>
                <m:t>j</m:t>
              </m:r>
            </m:sub>
          </m:sSub>
          <m:sSub>
            <m:sSubPr>
              <m:ctrlPr>
                <w:rPr>
                  <w:rFonts w:ascii="Cambria Math" w:hAnsi="Cambria Math" w:cs="Times New Roman"/>
                  <w:i/>
                  <w:sz w:val="22"/>
                </w:rPr>
              </m:ctrlPr>
            </m:sSubPr>
            <m:e>
              <m:r>
                <w:rPr>
                  <w:rFonts w:ascii="Cambria Math" w:hAnsi="Cambria Math" w:cs="Times New Roman"/>
                  <w:sz w:val="22"/>
                </w:rPr>
                <m:t>year</m:t>
              </m:r>
            </m:e>
            <m:sub>
              <m:r>
                <w:rPr>
                  <w:rFonts w:ascii="Cambria Math" w:hAnsi="Cambria Math" w:cs="Times New Roman"/>
                  <w:sz w:val="22"/>
                </w:rPr>
                <m:t>i</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ε</m:t>
              </m:r>
            </m:e>
            <m:sub>
              <m:r>
                <w:rPr>
                  <w:rFonts w:ascii="Cambria Math" w:hAnsi="Cambria Math" w:cs="Times New Roman"/>
                  <w:sz w:val="22"/>
                </w:rPr>
                <m:t>ijk</m:t>
              </m:r>
            </m:sub>
          </m:sSub>
        </m:oMath>
      </m:oMathPara>
    </w:p>
    <w:p w14:paraId="049919FD" w14:textId="77777777" w:rsidR="005A2CC1" w:rsidRPr="00FD545F" w:rsidRDefault="005A2CC1" w:rsidP="005A2CC1">
      <w:pPr>
        <w:jc w:val="left"/>
        <w:rPr>
          <w:rFonts w:ascii="Times New Roman" w:hAnsi="Times New Roman" w:cs="Times New Roman"/>
          <w:sz w:val="22"/>
        </w:rPr>
      </w:pPr>
      <w:r w:rsidRPr="00FD545F">
        <w:rPr>
          <w:rFonts w:ascii="Times New Roman" w:hAnsi="Times New Roman" w:cs="Times New Roman"/>
          <w:sz w:val="22"/>
        </w:rPr>
        <w:t xml:space="preserve">where y is the logit-transformed probability of the population density, population movement, or total per-capita health expenditure variables for </w:t>
      </w:r>
      <w:r w:rsidRPr="00FD545F">
        <w:rPr>
          <w:rFonts w:ascii="Times New Roman" w:hAnsi="Times New Roman" w:cs="Times New Roman"/>
          <w:i/>
          <w:iCs/>
          <w:sz w:val="22"/>
        </w:rPr>
        <w:t>i:</w:t>
      </w:r>
      <w:r w:rsidRPr="00FD545F">
        <w:rPr>
          <w:rFonts w:ascii="Times New Roman" w:hAnsi="Times New Roman" w:cs="Times New Roman"/>
          <w:sz w:val="22"/>
        </w:rPr>
        <w:t xml:space="preserve">th year, </w:t>
      </w:r>
      <w:r w:rsidRPr="00FD545F">
        <w:rPr>
          <w:rFonts w:ascii="Times New Roman" w:hAnsi="Times New Roman" w:cs="Times New Roman"/>
          <w:i/>
          <w:iCs/>
          <w:sz w:val="22"/>
        </w:rPr>
        <w:t>j</w:t>
      </w:r>
      <w:r w:rsidRPr="00FD545F">
        <w:rPr>
          <w:rFonts w:ascii="Times New Roman" w:hAnsi="Times New Roman" w:cs="Times New Roman"/>
          <w:sz w:val="22"/>
        </w:rPr>
        <w:t xml:space="preserve">:th governorate and </w:t>
      </w:r>
      <w:r w:rsidRPr="00FD545F">
        <w:rPr>
          <w:rFonts w:ascii="Times New Roman" w:hAnsi="Times New Roman" w:cs="Times New Roman"/>
          <w:i/>
          <w:iCs/>
          <w:sz w:val="22"/>
        </w:rPr>
        <w:t>k</w:t>
      </w:r>
      <w:r w:rsidRPr="00FD545F">
        <w:rPr>
          <w:rFonts w:ascii="Times New Roman" w:hAnsi="Times New Roman" w:cs="Times New Roman"/>
          <w:sz w:val="22"/>
        </w:rPr>
        <w:t>:th region.</w:t>
      </w:r>
      <m:oMath>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α</m:t>
            </m:r>
          </m:e>
          <m:sub>
            <m:r>
              <w:rPr>
                <w:rFonts w:ascii="Cambria Math" w:hAnsi="Cambria Math" w:cs="Times New Roman"/>
                <w:sz w:val="22"/>
              </w:rPr>
              <m:t>jk</m:t>
            </m:r>
          </m:sub>
        </m:sSub>
      </m:oMath>
      <w:r w:rsidRPr="00FD545F">
        <w:rPr>
          <w:rFonts w:ascii="Times New Roman" w:hAnsi="Times New Roman" w:cs="Times New Roman"/>
          <w:sz w:val="22"/>
        </w:rPr>
        <w:t xml:space="preserve"> is the random component of the </w:t>
      </w:r>
      <w:r w:rsidRPr="00FD545F">
        <w:rPr>
          <w:rFonts w:ascii="Times New Roman" w:hAnsi="Times New Roman" w:cs="Times New Roman"/>
          <w:i/>
          <w:iCs/>
          <w:sz w:val="22"/>
        </w:rPr>
        <w:t>j:</w:t>
      </w:r>
      <w:r w:rsidRPr="00FD545F">
        <w:rPr>
          <w:rFonts w:ascii="Times New Roman" w:hAnsi="Times New Roman" w:cs="Times New Roman"/>
          <w:sz w:val="22"/>
        </w:rPr>
        <w:t xml:space="preserve">th governorate in </w:t>
      </w:r>
      <w:r w:rsidRPr="00FD545F">
        <w:rPr>
          <w:rFonts w:ascii="Times New Roman" w:hAnsi="Times New Roman" w:cs="Times New Roman"/>
          <w:i/>
          <w:iCs/>
          <w:sz w:val="22"/>
        </w:rPr>
        <w:t>k:</w:t>
      </w:r>
      <w:r w:rsidRPr="00FD545F">
        <w:rPr>
          <w:rFonts w:ascii="Times New Roman" w:hAnsi="Times New Roman" w:cs="Times New Roman"/>
          <w:sz w:val="22"/>
        </w:rPr>
        <w:t xml:space="preserve">th region. </w:t>
      </w:r>
      <m:oMath>
        <m:sSub>
          <m:sSubPr>
            <m:ctrlPr>
              <w:rPr>
                <w:rFonts w:ascii="Cambria Math" w:hAnsi="Cambria Math" w:cs="Times New Roman"/>
                <w:i/>
                <w:sz w:val="22"/>
              </w:rPr>
            </m:ctrlPr>
          </m:sSubPr>
          <m:e>
            <m:r>
              <w:rPr>
                <w:rFonts w:ascii="Cambria Math" w:hAnsi="Cambria Math" w:cs="Times New Roman"/>
                <w:sz w:val="22"/>
              </w:rPr>
              <m:t>β</m:t>
            </m:r>
          </m:e>
          <m:sub>
            <m:r>
              <w:rPr>
                <w:rFonts w:ascii="Cambria Math" w:hAnsi="Cambria Math" w:cs="Times New Roman"/>
                <w:sz w:val="22"/>
              </w:rPr>
              <m:t>j</m:t>
            </m:r>
          </m:sub>
        </m:sSub>
      </m:oMath>
      <w:r w:rsidRPr="00FD545F">
        <w:rPr>
          <w:rFonts w:ascii="Times New Roman" w:hAnsi="Times New Roman" w:cs="Times New Roman"/>
          <w:sz w:val="22"/>
        </w:rPr>
        <w:t xml:space="preserve"> is the random component of the time slopes (year) for </w:t>
      </w:r>
      <w:r w:rsidRPr="00FD545F">
        <w:rPr>
          <w:rFonts w:ascii="Times New Roman" w:hAnsi="Times New Roman" w:cs="Times New Roman"/>
          <w:i/>
          <w:iCs/>
          <w:sz w:val="22"/>
        </w:rPr>
        <w:t>j:</w:t>
      </w:r>
      <w:r w:rsidRPr="00FD545F">
        <w:rPr>
          <w:rFonts w:ascii="Times New Roman" w:hAnsi="Times New Roman" w:cs="Times New Roman"/>
          <w:sz w:val="22"/>
        </w:rPr>
        <w:t xml:space="preserve">th </w:t>
      </w:r>
      <w:proofErr w:type="gramStart"/>
      <w:r w:rsidRPr="00FD545F">
        <w:rPr>
          <w:rFonts w:ascii="Times New Roman" w:hAnsi="Times New Roman" w:cs="Times New Roman"/>
          <w:sz w:val="22"/>
        </w:rPr>
        <w:t>governorate.</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ε</m:t>
            </m:r>
          </m:e>
          <m:sub>
            <m:r>
              <w:rPr>
                <w:rFonts w:ascii="Cambria Math" w:hAnsi="Cambria Math" w:cs="Times New Roman"/>
                <w:sz w:val="22"/>
              </w:rPr>
              <m:t>ijk</m:t>
            </m:r>
          </m:sub>
        </m:sSub>
      </m:oMath>
      <w:r w:rsidRPr="00FD545F">
        <w:rPr>
          <w:rFonts w:ascii="Times New Roman" w:hAnsi="Times New Roman" w:cs="Times New Roman"/>
          <w:sz w:val="22"/>
        </w:rPr>
        <w:t xml:space="preserve"> is the residual of the hierarchical model. The projection estimates were merged with health service ind</w:t>
      </w:r>
      <w:proofErr w:type="spellStart"/>
      <w:r w:rsidRPr="00FD545F">
        <w:rPr>
          <w:rFonts w:ascii="Times New Roman" w:hAnsi="Times New Roman" w:cs="Times New Roman"/>
          <w:sz w:val="22"/>
        </w:rPr>
        <w:t>icators</w:t>
      </w:r>
      <w:proofErr w:type="spellEnd"/>
      <w:r w:rsidRPr="00FD545F">
        <w:rPr>
          <w:rFonts w:ascii="Times New Roman" w:hAnsi="Times New Roman" w:cs="Times New Roman"/>
          <w:sz w:val="22"/>
        </w:rPr>
        <w:t xml:space="preserve"> to develop the complete data set. </w:t>
      </w:r>
    </w:p>
    <w:p w14:paraId="0086AC2C" w14:textId="77777777" w:rsidR="005A2CC1" w:rsidRPr="00FD545F" w:rsidRDefault="005A2CC1" w:rsidP="005A2CC1">
      <w:pPr>
        <w:jc w:val="left"/>
        <w:rPr>
          <w:rFonts w:ascii="Times New Roman" w:hAnsi="Times New Roman" w:cs="Times New Roman"/>
          <w:sz w:val="22"/>
        </w:rPr>
      </w:pPr>
    </w:p>
    <w:p w14:paraId="4987BC5F" w14:textId="77777777" w:rsidR="005A2CC1" w:rsidRPr="00FD545F" w:rsidRDefault="005A2CC1" w:rsidP="005A2CC1">
      <w:pPr>
        <w:jc w:val="left"/>
        <w:rPr>
          <w:rFonts w:ascii="Times New Roman" w:hAnsi="Times New Roman" w:cs="Times New Roman"/>
          <w:color w:val="000000" w:themeColor="text1"/>
          <w:sz w:val="22"/>
        </w:rPr>
      </w:pPr>
      <w:r w:rsidRPr="00FD545F">
        <w:rPr>
          <w:rFonts w:ascii="Times New Roman" w:hAnsi="Times New Roman" w:cs="Times New Roman"/>
          <w:color w:val="000000" w:themeColor="text1"/>
          <w:sz w:val="22"/>
        </w:rPr>
        <w:t xml:space="preserve">Considering the hierarchical structure of the data, the Bayesian hierarchical linear regression model was developed with random intercepts and random slopes at governorate level. All individual observations were nested in their respective governorate and all governorates were again nested as a country. Our projection model was based on the assumption of the unchanged policy in the near future. </w:t>
      </w:r>
      <w:bookmarkStart w:id="6" w:name="_Hlk27761962"/>
      <w:r w:rsidRPr="00FD545F">
        <w:rPr>
          <w:rFonts w:ascii="Times New Roman" w:hAnsi="Times New Roman" w:cs="Times New Roman"/>
          <w:color w:val="000000" w:themeColor="text1"/>
          <w:sz w:val="22"/>
        </w:rPr>
        <w:t xml:space="preserve">The following model was used to estimate the trend in, and projection of, health service indicators up to 2030 at governorate level: </w:t>
      </w:r>
    </w:p>
    <w:p w14:paraId="77525EAD" w14:textId="77777777" w:rsidR="005A2CC1" w:rsidRPr="00FD545F" w:rsidRDefault="002120EE" w:rsidP="005A2CC1">
      <w:pPr>
        <w:rPr>
          <w:rFonts w:ascii="Times New Roman" w:hAnsi="Times New Roman" w:cs="Times New Roman"/>
          <w:sz w:val="22"/>
        </w:rPr>
      </w:pPr>
      <m:oMathPara>
        <m:oMath>
          <m:sSub>
            <m:sSubPr>
              <m:ctrlPr>
                <w:rPr>
                  <w:rFonts w:ascii="Cambria Math" w:hAnsi="Cambria Math" w:cs="Times New Roman"/>
                  <w:i/>
                  <w:sz w:val="22"/>
                </w:rPr>
              </m:ctrlPr>
            </m:sSubPr>
            <m:e>
              <m:r>
                <w:rPr>
                  <w:rFonts w:ascii="Cambria Math" w:hAnsi="Cambria Math" w:cs="Times New Roman"/>
                  <w:sz w:val="22"/>
                </w:rPr>
                <m:t>y</m:t>
              </m:r>
            </m:e>
            <m:sub>
              <m:r>
                <w:rPr>
                  <w:rFonts w:ascii="Cambria Math" w:hAnsi="Cambria Math" w:cs="Times New Roman"/>
                  <w:sz w:val="22"/>
                </w:rPr>
                <m:t>ijk</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α</m:t>
              </m:r>
            </m:e>
            <m:sub>
              <m:r>
                <w:rPr>
                  <w:rFonts w:ascii="Cambria Math" w:hAnsi="Cambria Math" w:cs="Times New Roman"/>
                  <w:sz w:val="22"/>
                </w:rPr>
                <m:t>jk</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β</m:t>
              </m:r>
            </m:e>
            <m:sub>
              <m:r>
                <w:rPr>
                  <w:rFonts w:ascii="Cambria Math" w:hAnsi="Cambria Math" w:cs="Times New Roman"/>
                  <w:sz w:val="22"/>
                </w:rPr>
                <m:t>j</m:t>
              </m:r>
            </m:sub>
          </m:sSub>
          <m:sSub>
            <m:sSubPr>
              <m:ctrlPr>
                <w:rPr>
                  <w:rFonts w:ascii="Cambria Math" w:hAnsi="Cambria Math" w:cs="Times New Roman"/>
                  <w:i/>
                  <w:sz w:val="22"/>
                </w:rPr>
              </m:ctrlPr>
            </m:sSubPr>
            <m:e>
              <m:r>
                <w:rPr>
                  <w:rFonts w:ascii="Cambria Math" w:hAnsi="Cambria Math" w:cs="Times New Roman"/>
                  <w:sz w:val="22"/>
                </w:rPr>
                <m:t>year</m:t>
              </m:r>
            </m:e>
            <m:sub>
              <m:r>
                <w:rPr>
                  <w:rFonts w:ascii="Cambria Math" w:hAnsi="Cambria Math" w:cs="Times New Roman"/>
                  <w:sz w:val="22"/>
                </w:rPr>
                <m:t>i</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δ</m:t>
              </m:r>
            </m:e>
            <m:sub>
              <m:r>
                <w:rPr>
                  <w:rFonts w:ascii="Cambria Math" w:hAnsi="Cambria Math" w:cs="Times New Roman"/>
                  <w:sz w:val="22"/>
                </w:rPr>
                <m:t>j1</m:t>
              </m:r>
            </m:sub>
          </m:sSub>
          <m:sSub>
            <m:sSubPr>
              <m:ctrlPr>
                <w:rPr>
                  <w:rFonts w:ascii="Cambria Math" w:hAnsi="Cambria Math" w:cs="Times New Roman"/>
                  <w:i/>
                  <w:sz w:val="22"/>
                </w:rPr>
              </m:ctrlPr>
            </m:sSubPr>
            <m:e>
              <m:r>
                <w:rPr>
                  <w:rFonts w:ascii="Cambria Math" w:hAnsi="Cambria Math" w:cs="Times New Roman"/>
                  <w:sz w:val="22"/>
                </w:rPr>
                <m:t>PD</m:t>
              </m:r>
            </m:e>
            <m:sub>
              <m:r>
                <w:rPr>
                  <w:rFonts w:ascii="Cambria Math" w:hAnsi="Cambria Math" w:cs="Times New Roman"/>
                  <w:sz w:val="22"/>
                </w:rPr>
                <m:t>ij</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δ</m:t>
              </m:r>
            </m:e>
            <m:sub>
              <m:r>
                <w:rPr>
                  <w:rFonts w:ascii="Cambria Math" w:hAnsi="Cambria Math" w:cs="Times New Roman"/>
                  <w:sz w:val="22"/>
                </w:rPr>
                <m:t>j2</m:t>
              </m:r>
            </m:sub>
          </m:sSub>
          <m:sSub>
            <m:sSubPr>
              <m:ctrlPr>
                <w:rPr>
                  <w:rFonts w:ascii="Cambria Math" w:hAnsi="Cambria Math" w:cs="Times New Roman"/>
                  <w:i/>
                  <w:sz w:val="22"/>
                </w:rPr>
              </m:ctrlPr>
            </m:sSubPr>
            <m:e>
              <m:r>
                <w:rPr>
                  <w:rFonts w:ascii="Cambria Math" w:hAnsi="Cambria Math" w:cs="Times New Roman"/>
                  <w:sz w:val="22"/>
                </w:rPr>
                <m:t>PM</m:t>
              </m:r>
            </m:e>
            <m:sub>
              <m:r>
                <w:rPr>
                  <w:rFonts w:ascii="Cambria Math" w:hAnsi="Cambria Math" w:cs="Times New Roman"/>
                  <w:sz w:val="22"/>
                </w:rPr>
                <m:t>ij</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γ</m:t>
              </m:r>
            </m:e>
            <m:sub>
              <m:r>
                <w:rPr>
                  <w:rFonts w:ascii="Cambria Math" w:hAnsi="Cambria Math" w:cs="Times New Roman"/>
                  <w:sz w:val="22"/>
                </w:rPr>
                <m:t>j</m:t>
              </m:r>
            </m:sub>
          </m:sSub>
          <m:sSub>
            <m:sSubPr>
              <m:ctrlPr>
                <w:rPr>
                  <w:rFonts w:ascii="Cambria Math" w:hAnsi="Cambria Math" w:cs="Times New Roman"/>
                  <w:i/>
                  <w:sz w:val="22"/>
                </w:rPr>
              </m:ctrlPr>
            </m:sSubPr>
            <m:e>
              <m:r>
                <w:rPr>
                  <w:rFonts w:ascii="Cambria Math" w:hAnsi="Cambria Math" w:cs="Times New Roman"/>
                  <w:sz w:val="22"/>
                </w:rPr>
                <m:t>THE</m:t>
              </m:r>
            </m:e>
            <m:sub>
              <m:r>
                <w:rPr>
                  <w:rFonts w:ascii="Cambria Math" w:hAnsi="Cambria Math" w:cs="Times New Roman"/>
                  <w:sz w:val="22"/>
                </w:rPr>
                <m:t>i</m:t>
              </m:r>
            </m:sub>
          </m:sSub>
          <m:r>
            <w:rPr>
              <w:rFonts w:ascii="Cambria Math" w:hAnsi="Cambria Math" w:cs="Times New Roman"/>
              <w:sz w:val="22"/>
            </w:rPr>
            <m:t xml:space="preserve">+ </m:t>
          </m:r>
          <m:sSub>
            <m:sSubPr>
              <m:ctrlPr>
                <w:rPr>
                  <w:rFonts w:ascii="Cambria Math" w:hAnsi="Cambria Math" w:cs="Times New Roman"/>
                  <w:i/>
                  <w:sz w:val="22"/>
                </w:rPr>
              </m:ctrlPr>
            </m:sSubPr>
            <m:e>
              <m:r>
                <w:rPr>
                  <w:rFonts w:ascii="Cambria Math" w:hAnsi="Cambria Math" w:cs="Times New Roman"/>
                  <w:sz w:val="22"/>
                </w:rPr>
                <m:t>ε</m:t>
              </m:r>
            </m:e>
            <m:sub>
              <m:r>
                <w:rPr>
                  <w:rFonts w:ascii="Cambria Math" w:hAnsi="Cambria Math" w:cs="Times New Roman"/>
                  <w:sz w:val="22"/>
                </w:rPr>
                <m:t>ijk</m:t>
              </m:r>
            </m:sub>
          </m:sSub>
        </m:oMath>
      </m:oMathPara>
    </w:p>
    <w:p w14:paraId="08967A1D" w14:textId="77777777" w:rsidR="00460920" w:rsidRDefault="005A2CC1" w:rsidP="005A2CC1">
      <w:pPr>
        <w:pStyle w:val="a3"/>
        <w:jc w:val="left"/>
        <w:rPr>
          <w:rFonts w:ascii="Times New Roman" w:hAnsi="Times New Roman" w:cs="Times New Roman"/>
          <w:sz w:val="22"/>
        </w:rPr>
      </w:pPr>
      <w:r w:rsidRPr="00FD545F">
        <w:rPr>
          <w:rFonts w:ascii="Times New Roman" w:hAnsi="Times New Roman" w:cs="Times New Roman"/>
          <w:color w:val="000000" w:themeColor="text1"/>
          <w:sz w:val="22"/>
        </w:rPr>
        <w:t xml:space="preserve">where y is the logit-transformed probability of health service indicator in </w:t>
      </w:r>
      <w:r w:rsidRPr="00FD545F">
        <w:rPr>
          <w:rFonts w:ascii="Times New Roman" w:hAnsi="Times New Roman" w:cs="Times New Roman"/>
          <w:i/>
          <w:iCs/>
          <w:color w:val="000000" w:themeColor="text1"/>
          <w:sz w:val="22"/>
        </w:rPr>
        <w:t>i</w:t>
      </w:r>
      <w:r w:rsidRPr="00FD545F">
        <w:rPr>
          <w:rFonts w:ascii="Times New Roman" w:hAnsi="Times New Roman" w:cs="Times New Roman"/>
          <w:color w:val="000000" w:themeColor="text1"/>
          <w:sz w:val="22"/>
        </w:rPr>
        <w:t xml:space="preserve">:th year for </w:t>
      </w:r>
      <w:r w:rsidRPr="00FD545F">
        <w:rPr>
          <w:rFonts w:ascii="Times New Roman" w:hAnsi="Times New Roman" w:cs="Times New Roman"/>
          <w:i/>
          <w:iCs/>
          <w:color w:val="000000" w:themeColor="text1"/>
          <w:sz w:val="22"/>
        </w:rPr>
        <w:t>j</w:t>
      </w:r>
      <w:r w:rsidRPr="00FD545F">
        <w:rPr>
          <w:rFonts w:ascii="Times New Roman" w:hAnsi="Times New Roman" w:cs="Times New Roman"/>
          <w:color w:val="000000" w:themeColor="text1"/>
          <w:sz w:val="22"/>
        </w:rPr>
        <w:t xml:space="preserve">:th governorate in </w:t>
      </w:r>
      <w:r w:rsidRPr="00FD545F">
        <w:rPr>
          <w:rFonts w:ascii="Times New Roman" w:hAnsi="Times New Roman" w:cs="Times New Roman"/>
          <w:i/>
          <w:iCs/>
          <w:color w:val="000000" w:themeColor="text1"/>
          <w:sz w:val="22"/>
        </w:rPr>
        <w:t>k</w:t>
      </w:r>
      <w:r w:rsidRPr="00FD545F">
        <w:rPr>
          <w:rFonts w:ascii="Times New Roman" w:hAnsi="Times New Roman" w:cs="Times New Roman"/>
          <w:color w:val="000000" w:themeColor="text1"/>
          <w:sz w:val="22"/>
        </w:rPr>
        <w:t xml:space="preserve">:th region. </w:t>
      </w:r>
      <m:oMath>
        <m:sSub>
          <m:sSubPr>
            <m:ctrlPr>
              <w:rPr>
                <w:rFonts w:ascii="Cambria Math" w:hAnsi="Cambria Math" w:cs="Times New Roman"/>
                <w:i/>
                <w:sz w:val="22"/>
              </w:rPr>
            </m:ctrlPr>
          </m:sSubPr>
          <m:e>
            <m:r>
              <w:rPr>
                <w:rFonts w:ascii="Cambria Math" w:hAnsi="Cambria Math" w:cs="Times New Roman"/>
                <w:sz w:val="22"/>
              </w:rPr>
              <m:t>α</m:t>
            </m:r>
          </m:e>
          <m:sub>
            <m:r>
              <w:rPr>
                <w:rFonts w:ascii="Cambria Math" w:hAnsi="Cambria Math" w:cs="Times New Roman"/>
                <w:sz w:val="22"/>
              </w:rPr>
              <m:t>jk</m:t>
            </m:r>
          </m:sub>
        </m:sSub>
      </m:oMath>
      <w:r w:rsidRPr="00FD545F">
        <w:rPr>
          <w:rFonts w:ascii="Times New Roman" w:hAnsi="Times New Roman" w:cs="Times New Roman"/>
          <w:sz w:val="22"/>
        </w:rPr>
        <w:t xml:space="preserve"> is the random component of the </w:t>
      </w:r>
      <w:r w:rsidRPr="00FD545F">
        <w:rPr>
          <w:rFonts w:ascii="Times New Roman" w:hAnsi="Times New Roman" w:cs="Times New Roman"/>
          <w:i/>
          <w:iCs/>
          <w:sz w:val="22"/>
        </w:rPr>
        <w:t>j:</w:t>
      </w:r>
      <w:r w:rsidRPr="00FD545F">
        <w:rPr>
          <w:rFonts w:ascii="Times New Roman" w:hAnsi="Times New Roman" w:cs="Times New Roman"/>
          <w:sz w:val="22"/>
        </w:rPr>
        <w:t xml:space="preserve">th </w:t>
      </w:r>
      <w:r w:rsidRPr="00FD545F">
        <w:rPr>
          <w:rFonts w:ascii="Times New Roman" w:hAnsi="Times New Roman" w:cs="Times New Roman"/>
          <w:color w:val="000000" w:themeColor="text1"/>
          <w:sz w:val="22"/>
        </w:rPr>
        <w:t>governorate</w:t>
      </w:r>
      <w:r w:rsidRPr="00FD545F">
        <w:rPr>
          <w:rFonts w:ascii="Times New Roman" w:hAnsi="Times New Roman" w:cs="Times New Roman"/>
          <w:sz w:val="22"/>
        </w:rPr>
        <w:t xml:space="preserve"> in </w:t>
      </w:r>
      <w:r w:rsidRPr="00FD545F">
        <w:rPr>
          <w:rFonts w:ascii="Times New Roman" w:hAnsi="Times New Roman" w:cs="Times New Roman"/>
          <w:i/>
          <w:iCs/>
          <w:sz w:val="22"/>
        </w:rPr>
        <w:t>k:</w:t>
      </w:r>
      <w:r w:rsidRPr="00FD545F">
        <w:rPr>
          <w:rFonts w:ascii="Times New Roman" w:hAnsi="Times New Roman" w:cs="Times New Roman"/>
          <w:sz w:val="22"/>
        </w:rPr>
        <w:t xml:space="preserve">th </w:t>
      </w:r>
      <w:proofErr w:type="gramStart"/>
      <w:r w:rsidRPr="00FD545F">
        <w:rPr>
          <w:rFonts w:ascii="Times New Roman" w:hAnsi="Times New Roman" w:cs="Times New Roman"/>
          <w:sz w:val="22"/>
        </w:rPr>
        <w:t>region.</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β</m:t>
            </m:r>
          </m:e>
          <m:sub>
            <m:r>
              <w:rPr>
                <w:rFonts w:ascii="Cambria Math" w:hAnsi="Cambria Math" w:cs="Times New Roman"/>
                <w:sz w:val="22"/>
              </w:rPr>
              <m:t>j</m:t>
            </m:r>
          </m:sub>
        </m:sSub>
      </m:oMath>
      <w:r w:rsidRPr="00FD545F">
        <w:rPr>
          <w:rFonts w:ascii="Times New Roman" w:hAnsi="Times New Roman" w:cs="Times New Roman"/>
          <w:sz w:val="22"/>
        </w:rPr>
        <w:t xml:space="preserve"> is the random component of the time slopes (year) for </w:t>
      </w:r>
      <w:r w:rsidRPr="00FD545F">
        <w:rPr>
          <w:rFonts w:ascii="Times New Roman" w:hAnsi="Times New Roman" w:cs="Times New Roman"/>
          <w:i/>
          <w:iCs/>
          <w:sz w:val="22"/>
        </w:rPr>
        <w:t>j</w:t>
      </w:r>
      <w:r w:rsidRPr="00FD545F">
        <w:rPr>
          <w:rFonts w:ascii="Times New Roman" w:hAnsi="Times New Roman" w:cs="Times New Roman"/>
          <w:sz w:val="22"/>
        </w:rPr>
        <w:t xml:space="preserve">:th </w:t>
      </w:r>
      <w:proofErr w:type="gramStart"/>
      <w:r w:rsidRPr="00FD545F">
        <w:rPr>
          <w:rFonts w:ascii="Times New Roman" w:hAnsi="Times New Roman" w:cs="Times New Roman"/>
          <w:sz w:val="22"/>
        </w:rPr>
        <w:t>governorate.</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δ</m:t>
            </m:r>
          </m:e>
          <m:sub>
            <m:r>
              <w:rPr>
                <w:rFonts w:ascii="Cambria Math" w:hAnsi="Cambria Math" w:cs="Times New Roman"/>
                <w:sz w:val="22"/>
              </w:rPr>
              <m:t>j1</m:t>
            </m:r>
          </m:sub>
        </m:sSub>
      </m:oMath>
      <w:r w:rsidRPr="00FD545F">
        <w:rPr>
          <w:rFonts w:ascii="Times New Roman" w:hAnsi="Times New Roman" w:cs="Times New Roman"/>
          <w:sz w:val="22"/>
        </w:rPr>
        <w:t xml:space="preserve"> is the random coefficient of the population density (PD) in </w:t>
      </w:r>
      <w:r w:rsidRPr="00FD545F">
        <w:rPr>
          <w:rFonts w:ascii="Times New Roman" w:hAnsi="Times New Roman" w:cs="Times New Roman"/>
          <w:i/>
          <w:iCs/>
          <w:sz w:val="22"/>
        </w:rPr>
        <w:t>j</w:t>
      </w:r>
      <w:r w:rsidRPr="00FD545F">
        <w:rPr>
          <w:rFonts w:ascii="Times New Roman" w:hAnsi="Times New Roman" w:cs="Times New Roman"/>
          <w:sz w:val="22"/>
        </w:rPr>
        <w:t xml:space="preserve">:th </w:t>
      </w:r>
      <w:proofErr w:type="gramStart"/>
      <w:r w:rsidRPr="00FD545F">
        <w:rPr>
          <w:rFonts w:ascii="Times New Roman" w:hAnsi="Times New Roman" w:cs="Times New Roman"/>
          <w:color w:val="000000" w:themeColor="text1"/>
          <w:sz w:val="22"/>
        </w:rPr>
        <w:t>governorate.</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δ</m:t>
            </m:r>
          </m:e>
          <m:sub>
            <m:r>
              <w:rPr>
                <w:rFonts w:ascii="Cambria Math" w:hAnsi="Cambria Math" w:cs="Times New Roman"/>
                <w:sz w:val="22"/>
              </w:rPr>
              <m:t>j2</m:t>
            </m:r>
          </m:sub>
        </m:sSub>
      </m:oMath>
      <w:r w:rsidRPr="00FD545F">
        <w:rPr>
          <w:rFonts w:ascii="Times New Roman" w:hAnsi="Times New Roman" w:cs="Times New Roman"/>
          <w:sz w:val="22"/>
        </w:rPr>
        <w:t xml:space="preserve"> i</w:t>
      </w:r>
      <w:proofErr w:type="spellStart"/>
      <w:r w:rsidRPr="00FD545F">
        <w:rPr>
          <w:rFonts w:ascii="Times New Roman" w:hAnsi="Times New Roman" w:cs="Times New Roman"/>
          <w:sz w:val="22"/>
        </w:rPr>
        <w:t>s</w:t>
      </w:r>
      <w:proofErr w:type="spellEnd"/>
      <w:r w:rsidRPr="00FD545F">
        <w:rPr>
          <w:rFonts w:ascii="Times New Roman" w:hAnsi="Times New Roman" w:cs="Times New Roman"/>
          <w:sz w:val="22"/>
        </w:rPr>
        <w:t xml:space="preserve"> the random coefficient of the population movement (PM) in </w:t>
      </w:r>
      <w:r w:rsidRPr="00FD545F">
        <w:rPr>
          <w:rFonts w:ascii="Times New Roman" w:hAnsi="Times New Roman" w:cs="Times New Roman"/>
          <w:i/>
          <w:iCs/>
          <w:sz w:val="22"/>
        </w:rPr>
        <w:t>j</w:t>
      </w:r>
      <w:r w:rsidRPr="00FD545F">
        <w:rPr>
          <w:rFonts w:ascii="Times New Roman" w:hAnsi="Times New Roman" w:cs="Times New Roman"/>
          <w:sz w:val="22"/>
        </w:rPr>
        <w:t xml:space="preserve">:th </w:t>
      </w:r>
      <w:proofErr w:type="gramStart"/>
      <w:r w:rsidRPr="00FD545F">
        <w:rPr>
          <w:rFonts w:ascii="Times New Roman" w:hAnsi="Times New Roman" w:cs="Times New Roman"/>
          <w:color w:val="000000" w:themeColor="text1"/>
          <w:sz w:val="22"/>
        </w:rPr>
        <w:t>governorate.</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γ</m:t>
            </m:r>
          </m:e>
          <m:sub>
            <m:r>
              <w:rPr>
                <w:rFonts w:ascii="Cambria Math" w:hAnsi="Cambria Math" w:cs="Times New Roman"/>
                <w:sz w:val="22"/>
              </w:rPr>
              <m:t>j</m:t>
            </m:r>
          </m:sub>
        </m:sSub>
      </m:oMath>
      <w:r w:rsidRPr="00FD545F">
        <w:rPr>
          <w:rFonts w:ascii="Times New Roman" w:hAnsi="Times New Roman" w:cs="Times New Roman"/>
          <w:sz w:val="22"/>
        </w:rPr>
        <w:t xml:space="preserve"> is the random coefficient of total per-capita health expenditure (THE) for </w:t>
      </w:r>
      <w:r w:rsidRPr="00FD545F">
        <w:rPr>
          <w:rFonts w:ascii="Times New Roman" w:hAnsi="Times New Roman" w:cs="Times New Roman"/>
          <w:i/>
          <w:iCs/>
          <w:sz w:val="22"/>
        </w:rPr>
        <w:t>j</w:t>
      </w:r>
      <w:r w:rsidRPr="00FD545F">
        <w:rPr>
          <w:rFonts w:ascii="Times New Roman" w:hAnsi="Times New Roman" w:cs="Times New Roman"/>
          <w:sz w:val="22"/>
        </w:rPr>
        <w:t xml:space="preserve">:th </w:t>
      </w:r>
      <w:proofErr w:type="gramStart"/>
      <w:r w:rsidRPr="00FD545F">
        <w:rPr>
          <w:rFonts w:ascii="Times New Roman" w:hAnsi="Times New Roman" w:cs="Times New Roman"/>
          <w:color w:val="000000" w:themeColor="text1"/>
          <w:sz w:val="22"/>
        </w:rPr>
        <w:t>governorate.</w:t>
      </w:r>
      <w:proofErr w:type="gramEnd"/>
      <w:r w:rsidRPr="00FD545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ε</m:t>
            </m:r>
          </m:e>
          <m:sub>
            <m:r>
              <w:rPr>
                <w:rFonts w:ascii="Cambria Math" w:hAnsi="Cambria Math" w:cs="Times New Roman"/>
                <w:sz w:val="22"/>
              </w:rPr>
              <m:t>ijk</m:t>
            </m:r>
          </m:sub>
        </m:sSub>
      </m:oMath>
      <w:r w:rsidRPr="00FD545F">
        <w:rPr>
          <w:rFonts w:ascii="Times New Roman" w:hAnsi="Times New Roman" w:cs="Times New Roman"/>
          <w:sz w:val="22"/>
        </w:rPr>
        <w:t xml:space="preserve"> is the residual of the hierarchical model. </w:t>
      </w:r>
      <w:r w:rsidR="00460920">
        <w:rPr>
          <w:rFonts w:ascii="Times New Roman" w:hAnsi="Times New Roman" w:cs="Times New Roman"/>
          <w:sz w:val="22"/>
        </w:rPr>
        <w:t>T</w:t>
      </w:r>
      <w:r w:rsidR="00460920" w:rsidRPr="00460920">
        <w:rPr>
          <w:rFonts w:ascii="Times New Roman" w:hAnsi="Times New Roman" w:cs="Times New Roman"/>
          <w:sz w:val="22"/>
        </w:rPr>
        <w:t>he other health service indicators were developed separately by using the urban-rural and wealth-quintile</w:t>
      </w:r>
      <w:r w:rsidR="00460920">
        <w:rPr>
          <w:rFonts w:ascii="Times New Roman" w:hAnsi="Times New Roman" w:cs="Times New Roman"/>
          <w:sz w:val="22"/>
        </w:rPr>
        <w:t xml:space="preserve"> </w:t>
      </w:r>
      <w:r w:rsidR="00460920" w:rsidRPr="00460920">
        <w:rPr>
          <w:rFonts w:ascii="Times New Roman" w:hAnsi="Times New Roman" w:cs="Times New Roman"/>
          <w:sz w:val="22"/>
        </w:rPr>
        <w:t>specific health service indicators. In the models, the same covariates included in the previous model were applied.</w:t>
      </w:r>
      <w:r w:rsidR="00460920">
        <w:rPr>
          <w:rFonts w:ascii="Times New Roman" w:hAnsi="Times New Roman" w:cs="Times New Roman"/>
          <w:sz w:val="22"/>
        </w:rPr>
        <w:t xml:space="preserve"> </w:t>
      </w:r>
    </w:p>
    <w:p w14:paraId="2E071A2B" w14:textId="63CD2F1E" w:rsidR="005A2CC1" w:rsidRPr="00FD545F" w:rsidRDefault="00460920" w:rsidP="005A2CC1">
      <w:pPr>
        <w:pStyle w:val="a3"/>
        <w:jc w:val="left"/>
        <w:rPr>
          <w:rFonts w:ascii="Times New Roman" w:hAnsi="Times New Roman" w:cs="Times New Roman"/>
          <w:bCs/>
          <w:color w:val="000000" w:themeColor="text1"/>
          <w:sz w:val="22"/>
        </w:rPr>
      </w:pPr>
      <w:r w:rsidRPr="00460920">
        <w:rPr>
          <w:rFonts w:ascii="Times New Roman" w:hAnsi="Times New Roman" w:cs="Times New Roman"/>
          <w:color w:val="000000" w:themeColor="text1"/>
          <w:sz w:val="22"/>
        </w:rPr>
        <w:lastRenderedPageBreak/>
        <w:t>The governorate-level mean, residence-level mean, and quintile-level mean were assumed to be normally distributed and non-informative prior was applied.</w:t>
      </w:r>
      <w:r>
        <w:rPr>
          <w:rFonts w:ascii="Times New Roman" w:hAnsi="Times New Roman" w:cs="Times New Roman"/>
          <w:color w:val="000000" w:themeColor="text1"/>
          <w:sz w:val="22"/>
        </w:rPr>
        <w:t xml:space="preserve"> </w:t>
      </w:r>
      <w:r w:rsidR="005A2CC1" w:rsidRPr="00FD545F">
        <w:rPr>
          <w:rFonts w:ascii="Times New Roman" w:hAnsi="Times New Roman" w:cs="Times New Roman"/>
          <w:color w:val="000000" w:themeColor="text1"/>
          <w:sz w:val="22"/>
        </w:rPr>
        <w:t xml:space="preserve">The model assumed that the effects of predictors were the same across governorates. </w:t>
      </w:r>
      <w:r w:rsidR="005A2CC1" w:rsidRPr="00FD545F">
        <w:rPr>
          <w:rFonts w:ascii="Times New Roman" w:hAnsi="Times New Roman" w:cs="Times New Roman"/>
          <w:sz w:val="22"/>
        </w:rPr>
        <w:t xml:space="preserve">The predictor variables were determined based on the previous literature, correlation, and Deviance Information Criteria (DIC). </w:t>
      </w:r>
      <w:bookmarkEnd w:id="6"/>
    </w:p>
    <w:p w14:paraId="6183BF42" w14:textId="77777777" w:rsidR="005A2CC1" w:rsidRPr="00FD545F" w:rsidRDefault="005A2CC1" w:rsidP="005A2CC1">
      <w:pPr>
        <w:pStyle w:val="a3"/>
        <w:jc w:val="left"/>
        <w:rPr>
          <w:rFonts w:ascii="Times New Roman" w:hAnsi="Times New Roman" w:cs="Times New Roman"/>
          <w:color w:val="000000" w:themeColor="text1"/>
          <w:sz w:val="22"/>
        </w:rPr>
      </w:pPr>
    </w:p>
    <w:p w14:paraId="164D2670" w14:textId="4834FA68" w:rsidR="0024516D" w:rsidRDefault="005A2CC1" w:rsidP="005A2CC1">
      <w:pPr>
        <w:pStyle w:val="a3"/>
        <w:jc w:val="left"/>
        <w:rPr>
          <w:rFonts w:ascii="Times New Roman" w:hAnsi="Times New Roman" w:cs="Times New Roman"/>
          <w:color w:val="000000" w:themeColor="text1"/>
          <w:sz w:val="22"/>
        </w:rPr>
      </w:pPr>
      <w:r w:rsidRPr="00FD545F">
        <w:rPr>
          <w:rFonts w:ascii="Times New Roman" w:hAnsi="Times New Roman" w:cs="Times New Roman"/>
          <w:color w:val="000000" w:themeColor="text1"/>
          <w:sz w:val="22"/>
        </w:rPr>
        <w:t>Trace plots were checked visually to assess convergence of Markov chain Monte Carlo (</w:t>
      </w:r>
      <w:r w:rsidRPr="00FD545F">
        <w:rPr>
          <w:rFonts w:ascii="Times New Roman" w:hAnsi="Times New Roman" w:cs="Times New Roman"/>
          <w:color w:val="262626" w:themeColor="text1" w:themeTint="D9"/>
          <w:sz w:val="22"/>
        </w:rPr>
        <w:t>MCMC)</w:t>
      </w:r>
      <w:r w:rsidRPr="00FD545F">
        <w:rPr>
          <w:rFonts w:ascii="Times New Roman" w:hAnsi="Times New Roman" w:cs="Times New Roman"/>
          <w:color w:val="000000" w:themeColor="text1"/>
          <w:sz w:val="22"/>
        </w:rPr>
        <w:t xml:space="preserve"> output for each of the Bayesian models. When the outputs from two chains adjoined, the posterior samples were considered to have converged</w:t>
      </w:r>
      <w:r w:rsidR="00483EF6">
        <w:rPr>
          <w:rFonts w:ascii="Times New Roman" w:hAnsi="Times New Roman" w:cs="Times New Roman"/>
          <w:color w:val="000000" w:themeColor="text1"/>
          <w:sz w:val="22"/>
        </w:rPr>
        <w:t xml:space="preserve"> </w:t>
      </w:r>
      <w:r w:rsidR="00914E01" w:rsidRPr="00FD545F">
        <w:rPr>
          <w:rFonts w:ascii="Times New Roman" w:hAnsi="Times New Roman" w:cs="Times New Roman"/>
          <w:color w:val="000000" w:themeColor="text1"/>
          <w:sz w:val="22"/>
        </w:rPr>
        <w:fldChar w:fldCharType="begin"/>
      </w:r>
      <w:r w:rsidR="00C20A0B">
        <w:rPr>
          <w:rFonts w:ascii="Times New Roman" w:hAnsi="Times New Roman" w:cs="Times New Roman"/>
          <w:color w:val="000000" w:themeColor="text1"/>
          <w:sz w:val="22"/>
        </w:rPr>
        <w:instrText xml:space="preserve"> ADDIN EN.CITE &lt;EndNote&gt;&lt;Cite&gt;&lt;Author&gt;Gelman A&lt;/Author&gt;&lt;Year&gt;2013&lt;/Year&gt;&lt;IDText&gt;Bayesian Data Analysis&lt;/IDText&gt;&lt;DisplayText&gt;[14]&lt;/DisplayText&gt;&lt;record&gt;&lt;dates&gt;&lt;pub-dates&gt;&lt;date&gt;5 November&lt;/date&gt;&lt;/pub-dates&gt;&lt;year&gt;2013&lt;/year&gt;&lt;/dates&gt;&lt;titles&gt;&lt;title&gt;Bayesian Data Analysis&lt;/title&gt;&lt;/titles&gt;&lt;contributors&gt;&lt;authors&gt;&lt;author&gt;Gelman A, Carlin JB, Stern HS, Rubin DB.&lt;/author&gt;&lt;/authors&gt;&lt;/contributors&gt;&lt;edition&gt;Third Edition&lt;/edition&gt;&lt;added-date format="utc"&gt;1575471899&lt;/added-date&gt;&lt;pub-location&gt;USA&lt;/pub-location&gt;&lt;ref-type name="Book"&gt;6&lt;/ref-type&gt;&lt;rec-number&gt;370&lt;/rec-number&gt;&lt;publisher&gt;Chapman and Hall/CRC&lt;/publisher&gt;&lt;last-updated-date format="utc"&gt;1600415914&lt;/last-updated-date&gt;&lt;/record&gt;&lt;/Cite&gt;&lt;/EndNote&gt;</w:instrText>
      </w:r>
      <w:r w:rsidR="00914E01" w:rsidRPr="00FD545F">
        <w:rPr>
          <w:rFonts w:ascii="Times New Roman" w:hAnsi="Times New Roman" w:cs="Times New Roman"/>
          <w:color w:val="000000" w:themeColor="text1"/>
          <w:sz w:val="22"/>
        </w:rPr>
        <w:fldChar w:fldCharType="separate"/>
      </w:r>
      <w:r w:rsidR="00C20A0B">
        <w:rPr>
          <w:rFonts w:ascii="Times New Roman" w:hAnsi="Times New Roman" w:cs="Times New Roman"/>
          <w:noProof/>
          <w:color w:val="000000" w:themeColor="text1"/>
          <w:sz w:val="22"/>
        </w:rPr>
        <w:t>[14]</w:t>
      </w:r>
      <w:r w:rsidR="00914E01" w:rsidRPr="00FD545F">
        <w:rPr>
          <w:rFonts w:ascii="Times New Roman" w:hAnsi="Times New Roman" w:cs="Times New Roman"/>
          <w:color w:val="000000" w:themeColor="text1"/>
          <w:sz w:val="22"/>
        </w:rPr>
        <w:fldChar w:fldCharType="end"/>
      </w:r>
      <w:r w:rsidR="00483EF6">
        <w:rPr>
          <w:rFonts w:ascii="Times New Roman" w:hAnsi="Times New Roman" w:cs="Times New Roman"/>
          <w:color w:val="000000" w:themeColor="text1"/>
          <w:sz w:val="22"/>
        </w:rPr>
        <w:t>.</w:t>
      </w:r>
      <w:r w:rsidRPr="00FD545F">
        <w:rPr>
          <w:rFonts w:ascii="Times New Roman" w:hAnsi="Times New Roman" w:cs="Times New Roman"/>
          <w:color w:val="000000" w:themeColor="text1"/>
          <w:sz w:val="22"/>
        </w:rPr>
        <w:t xml:space="preserve"> A potential scale reduction factor (PSRF) is used in the Gelman-Rubin diagnostic, where a PSRF value close to 1 indicated convergence, and a PSRF value less than 1.02 identified convergence failure</w:t>
      </w:r>
      <w:r w:rsidR="00483EF6">
        <w:rPr>
          <w:rFonts w:ascii="Times New Roman" w:hAnsi="Times New Roman" w:cs="Times New Roman"/>
          <w:color w:val="000000" w:themeColor="text1"/>
          <w:sz w:val="22"/>
        </w:rPr>
        <w:t xml:space="preserve"> </w:t>
      </w:r>
      <w:r w:rsidR="00914E01" w:rsidRPr="00FD545F">
        <w:rPr>
          <w:rFonts w:ascii="Times New Roman" w:hAnsi="Times New Roman" w:cs="Times New Roman"/>
          <w:color w:val="000000" w:themeColor="text1"/>
          <w:sz w:val="22"/>
        </w:rPr>
        <w:fldChar w:fldCharType="begin"/>
      </w:r>
      <w:r w:rsidR="00C20A0B">
        <w:rPr>
          <w:rFonts w:ascii="Times New Roman" w:hAnsi="Times New Roman" w:cs="Times New Roman"/>
          <w:color w:val="000000" w:themeColor="text1"/>
          <w:sz w:val="22"/>
        </w:rPr>
        <w:instrText xml:space="preserve"> ADDIN EN.CITE &lt;EndNote&gt;&lt;Cite&gt;&lt;Author&gt;Gelman A&lt;/Author&gt;&lt;Year&gt;2013&lt;/Year&gt;&lt;IDText&gt;Bayesian Data Analysis&lt;/IDText&gt;&lt;DisplayText&gt;[14]&lt;/DisplayText&gt;&lt;record&gt;&lt;dates&gt;&lt;pub-dates&gt;&lt;date&gt;5 November&lt;/date&gt;&lt;/pub-dates&gt;&lt;year&gt;2013&lt;/year&gt;&lt;/dates&gt;&lt;titles&gt;&lt;title&gt;Bayesian Data Analysis&lt;/title&gt;&lt;/titles&gt;&lt;contributors&gt;&lt;authors&gt;&lt;author&gt;Gelman A, Carlin JB, Stern HS, Rubin DB.&lt;/author&gt;&lt;/authors&gt;&lt;/contributors&gt;&lt;edition&gt;Third Edition&lt;/edition&gt;&lt;added-date format="utc"&gt;1575471899&lt;/added-date&gt;&lt;pub-location&gt;USA&lt;/pub-location&gt;&lt;ref-type name="Book"&gt;6&lt;/ref-type&gt;&lt;rec-number&gt;370&lt;/rec-number&gt;&lt;publisher&gt;Chapman and Hall/CRC&lt;/publisher&gt;&lt;last-updated-date format="utc"&gt;1600415914&lt;/last-updated-date&gt;&lt;/record&gt;&lt;/Cite&gt;&lt;/EndNote&gt;</w:instrText>
      </w:r>
      <w:r w:rsidR="00914E01" w:rsidRPr="00FD545F">
        <w:rPr>
          <w:rFonts w:ascii="Times New Roman" w:hAnsi="Times New Roman" w:cs="Times New Roman"/>
          <w:color w:val="000000" w:themeColor="text1"/>
          <w:sz w:val="22"/>
        </w:rPr>
        <w:fldChar w:fldCharType="separate"/>
      </w:r>
      <w:r w:rsidR="00C20A0B">
        <w:rPr>
          <w:rFonts w:ascii="Times New Roman" w:hAnsi="Times New Roman" w:cs="Times New Roman"/>
          <w:noProof/>
          <w:color w:val="000000" w:themeColor="text1"/>
          <w:sz w:val="22"/>
        </w:rPr>
        <w:t>[14]</w:t>
      </w:r>
      <w:r w:rsidR="00914E01" w:rsidRPr="00FD545F">
        <w:rPr>
          <w:rFonts w:ascii="Times New Roman" w:hAnsi="Times New Roman" w:cs="Times New Roman"/>
          <w:color w:val="000000" w:themeColor="text1"/>
          <w:sz w:val="22"/>
        </w:rPr>
        <w:fldChar w:fldCharType="end"/>
      </w:r>
      <w:r w:rsidR="00483EF6">
        <w:rPr>
          <w:rFonts w:ascii="Times New Roman" w:hAnsi="Times New Roman" w:cs="Times New Roman"/>
          <w:color w:val="000000" w:themeColor="text1"/>
          <w:sz w:val="22"/>
        </w:rPr>
        <w:t>.</w:t>
      </w:r>
      <w:r w:rsidRPr="00FD545F">
        <w:rPr>
          <w:rFonts w:ascii="Times New Roman" w:hAnsi="Times New Roman" w:cs="Times New Roman"/>
          <w:color w:val="000000" w:themeColor="text1"/>
          <w:sz w:val="22"/>
        </w:rPr>
        <w:t xml:space="preserve"> To examine the validity of the models, we plotted our predictions versus the observed data across governorates and by year. We calculated bias (mean error), total variance (root-mean-square error), and 95% data coverage within prediction intervals. </w:t>
      </w:r>
    </w:p>
    <w:p w14:paraId="337734E2" w14:textId="6A1F128C" w:rsidR="00271C91" w:rsidRDefault="00271C91" w:rsidP="005A2CC1">
      <w:pPr>
        <w:pStyle w:val="a3"/>
        <w:jc w:val="left"/>
        <w:rPr>
          <w:rFonts w:ascii="Times New Roman" w:hAnsi="Times New Roman" w:cs="Times New Roman"/>
          <w:color w:val="000000" w:themeColor="text1"/>
          <w:sz w:val="22"/>
        </w:rPr>
      </w:pPr>
    </w:p>
    <w:p w14:paraId="451779AC" w14:textId="77777777" w:rsidR="002E53F8" w:rsidRDefault="002E53F8" w:rsidP="005A2CC1">
      <w:pPr>
        <w:pStyle w:val="a3"/>
        <w:jc w:val="left"/>
        <w:rPr>
          <w:rFonts w:ascii="Times New Roman" w:hAnsi="Times New Roman" w:cs="Times New Roman"/>
          <w:color w:val="000000" w:themeColor="text1"/>
          <w:sz w:val="22"/>
        </w:rPr>
      </w:pPr>
    </w:p>
    <w:p w14:paraId="04910E91" w14:textId="55C2F85F" w:rsidR="00271C91" w:rsidRPr="00C02B71" w:rsidRDefault="00271C91" w:rsidP="00271C91">
      <w:pPr>
        <w:pStyle w:val="a3"/>
        <w:jc w:val="left"/>
        <w:rPr>
          <w:rFonts w:ascii="Times New Roman" w:hAnsi="Times New Roman" w:cs="Times New Roman"/>
          <w:b/>
          <w:bCs/>
          <w:color w:val="000000" w:themeColor="text1"/>
          <w:sz w:val="22"/>
        </w:rPr>
      </w:pPr>
      <w:r w:rsidRPr="00C02B71">
        <w:rPr>
          <w:rFonts w:ascii="Times New Roman" w:hAnsi="Times New Roman" w:cs="Times New Roman"/>
          <w:b/>
          <w:bCs/>
          <w:color w:val="000000" w:themeColor="text1"/>
          <w:sz w:val="22"/>
        </w:rPr>
        <w:t>Wealth-based inequalit</w:t>
      </w:r>
      <w:r>
        <w:rPr>
          <w:rFonts w:ascii="Times New Roman" w:hAnsi="Times New Roman" w:cs="Times New Roman"/>
          <w:b/>
          <w:bCs/>
          <w:color w:val="000000" w:themeColor="text1"/>
          <w:sz w:val="22"/>
        </w:rPr>
        <w:t>y</w:t>
      </w:r>
    </w:p>
    <w:p w14:paraId="1FC8244E" w14:textId="286CB941" w:rsidR="00271C91" w:rsidRDefault="00271C91" w:rsidP="00271C91">
      <w:pPr>
        <w:pStyle w:val="a3"/>
        <w:jc w:val="left"/>
        <w:rPr>
          <w:rFonts w:ascii="Times New Roman" w:hAnsi="Times New Roman" w:cs="Times New Roman"/>
          <w:color w:val="000000" w:themeColor="text1"/>
          <w:sz w:val="22"/>
        </w:rPr>
      </w:pPr>
      <w:r w:rsidRPr="00271C91">
        <w:rPr>
          <w:rFonts w:ascii="Times New Roman" w:hAnsi="Times New Roman" w:cs="Times New Roman"/>
          <w:color w:val="000000" w:themeColor="text1"/>
          <w:sz w:val="22"/>
        </w:rPr>
        <w:t>Wealth-based inequalities in health service coverage and incidence of catastrophic health expenditure were performed using slope index of ineq</w:t>
      </w:r>
      <w:r w:rsidRPr="006E6F60">
        <w:rPr>
          <w:rFonts w:ascii="Times New Roman" w:hAnsi="Times New Roman" w:cs="Times New Roman"/>
          <w:color w:val="000000" w:themeColor="text1"/>
          <w:sz w:val="22"/>
        </w:rPr>
        <w:t>uality (SII) and relative index of inequality (RII). SII measures the absolute difference in intervention coverage or catastrophic health expenditure between the richest households and the poorest households.</w:t>
      </w:r>
      <w:r w:rsidR="007C2B61" w:rsidRPr="006E6F60">
        <w:rPr>
          <w:rFonts w:ascii="Times New Roman" w:hAnsi="Times New Roman" w:cs="Times New Roman"/>
          <w:color w:val="000000" w:themeColor="text1"/>
          <w:sz w:val="22"/>
        </w:rPr>
        <w:t xml:space="preserve"> A weighted sample of the entire population was ranked from the poorest quintile to the richest quintile. The outcomes of health service and financial risk protection indicators were regressed against the midpoint value for quintile groups by using regression model. </w:t>
      </w:r>
      <w:r w:rsidRPr="006E6F60">
        <w:rPr>
          <w:rFonts w:ascii="Times New Roman" w:hAnsi="Times New Roman" w:cs="Times New Roman"/>
          <w:color w:val="000000" w:themeColor="text1"/>
          <w:sz w:val="22"/>
        </w:rPr>
        <w:t>The difference between the estimated values at the richest households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1) and the poorest households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 xml:space="preserve">0) generates the SII value: </w:t>
      </w:r>
      <w:r w:rsidRPr="006E6F60">
        <w:rPr>
          <w:rFonts w:ascii="Cambria Math" w:hAnsi="Cambria Math" w:cs="Cambria Math"/>
          <w:color w:val="000000" w:themeColor="text1"/>
          <w:sz w:val="22"/>
        </w:rPr>
        <w:t>𝑆𝐼𝐼</w:t>
      </w:r>
      <w:r w:rsidRPr="006E6F60">
        <w:rPr>
          <w:rFonts w:ascii="Times New Roman" w:hAnsi="Times New Roman" w:cs="Times New Roman"/>
          <w:color w:val="000000" w:themeColor="text1"/>
          <w:sz w:val="22"/>
        </w:rPr>
        <w:t xml:space="preserve"> =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 xml:space="preserve">1 −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 xml:space="preserve">0 </w:t>
      </w:r>
      <w:r w:rsidR="00BB363E" w:rsidRPr="006E6F60">
        <w:rPr>
          <w:rFonts w:ascii="Times New Roman" w:hAnsi="Times New Roman" w:cs="Times New Roman"/>
          <w:color w:val="000000" w:themeColor="text1"/>
          <w:sz w:val="22"/>
        </w:rPr>
        <w:fldChar w:fldCharType="begin"/>
      </w:r>
      <w:r w:rsidR="00BB363E" w:rsidRPr="006E6F60">
        <w:rPr>
          <w:rFonts w:ascii="Times New Roman" w:hAnsi="Times New Roman" w:cs="Times New Roman"/>
          <w:color w:val="000000" w:themeColor="text1"/>
          <w:sz w:val="22"/>
        </w:rPr>
        <w:instrText xml:space="preserve"> ADDIN EN.CITE &lt;EndNote&gt;&lt;Cite&gt;&lt;Author&gt;World Health Organisation&lt;/Author&gt;&lt;Year&gt;2017&lt;/Year&gt;&lt;IDText&gt;Health Equity Assessment Toolkit (HEAT): Software for exploring and comparing health inequalities in countries&lt;/IDText&gt;&lt;DisplayText&gt;[15]&lt;/DisplayText&gt;&lt;record&gt;&lt;urls&gt;&lt;related-urls&gt;&lt;url&gt;https://www.who.int/gho/health_equity/heat_technical_notes.pdf&lt;/url&gt;&lt;/related-urls&gt;&lt;/urls&gt;&lt;titles&gt;&lt;title&gt;Health Equity Assessment Toolkit (HEAT): Software for exploring and comparing health inequalities in countries&lt;/title&gt;&lt;/titles&gt;&lt;access-date&gt;30 October 2019&lt;/access-date&gt;&lt;contributors&gt;&lt;authors&gt;&lt;author&gt;World Health Organisation,&lt;/author&gt;&lt;/authors&gt;&lt;/contributors&gt;&lt;edition&gt;Built-in Database Edition&lt;/edition&gt;&lt;added-date format="utc"&gt;1571998527&lt;/added-date&gt;&lt;pub-location&gt;Geneva&lt;/pub-location&gt;&lt;ref-type name="Report"&gt;27&lt;/ref-type&gt;&lt;dates&gt;&lt;year&gt;2017&lt;/year&gt;&lt;/dates&gt;&lt;rec-number&gt;329&lt;/rec-number&gt;&lt;last-updated-date format="utc"&gt;1624138491&lt;/last-updated-date&gt;&lt;/record&gt;&lt;/Cite&gt;&lt;/EndNote&gt;</w:instrText>
      </w:r>
      <w:r w:rsidR="00BB363E" w:rsidRPr="006E6F60">
        <w:rPr>
          <w:rFonts w:ascii="Times New Roman" w:hAnsi="Times New Roman" w:cs="Times New Roman"/>
          <w:color w:val="000000" w:themeColor="text1"/>
          <w:sz w:val="22"/>
        </w:rPr>
        <w:fldChar w:fldCharType="separate"/>
      </w:r>
      <w:r w:rsidR="00BB363E" w:rsidRPr="006E6F60">
        <w:rPr>
          <w:rFonts w:ascii="Times New Roman" w:hAnsi="Times New Roman" w:cs="Times New Roman"/>
          <w:noProof/>
          <w:color w:val="000000" w:themeColor="text1"/>
          <w:sz w:val="22"/>
        </w:rPr>
        <w:t>[15]</w:t>
      </w:r>
      <w:r w:rsidR="00BB363E" w:rsidRPr="006E6F60">
        <w:rPr>
          <w:rFonts w:ascii="Times New Roman" w:hAnsi="Times New Roman" w:cs="Times New Roman"/>
          <w:color w:val="000000" w:themeColor="text1"/>
          <w:sz w:val="22"/>
        </w:rPr>
        <w:fldChar w:fldCharType="end"/>
      </w:r>
      <w:r w:rsidRPr="006E6F60">
        <w:rPr>
          <w:rFonts w:ascii="Times New Roman" w:hAnsi="Times New Roman" w:cs="Times New Roman"/>
          <w:color w:val="000000" w:themeColor="text1"/>
          <w:sz w:val="22"/>
        </w:rPr>
        <w:t>. A positive SII value indicates that rich households have either higher intervention coverage or higher financial catastrophe than poor households. RII is a weighted measure of inequality which represents the ratio of estimated values of a health indicator of the richest households to the poorest households. The ratio of the estimated values at the richest households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1) to the poorest households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 xml:space="preserve">0) generates the RII value: </w:t>
      </w:r>
      <w:r w:rsidRPr="006E6F60">
        <w:rPr>
          <w:rFonts w:ascii="Cambria Math" w:hAnsi="Cambria Math" w:cs="Cambria Math"/>
          <w:color w:val="000000" w:themeColor="text1"/>
          <w:sz w:val="22"/>
        </w:rPr>
        <w:t>𝑅𝐼𝐼</w:t>
      </w:r>
      <w:r w:rsidRPr="006E6F60">
        <w:rPr>
          <w:rFonts w:ascii="Times New Roman" w:hAnsi="Times New Roman" w:cs="Times New Roman"/>
          <w:color w:val="000000" w:themeColor="text1"/>
          <w:sz w:val="22"/>
        </w:rPr>
        <w:t xml:space="preserve"> = </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1/</w:t>
      </w:r>
      <w:r w:rsidRPr="006E6F60">
        <w:rPr>
          <w:rFonts w:ascii="Cambria Math" w:hAnsi="Cambria Math" w:cs="Cambria Math"/>
          <w:color w:val="000000" w:themeColor="text1"/>
          <w:sz w:val="22"/>
        </w:rPr>
        <w:t>𝑣</w:t>
      </w:r>
      <w:r w:rsidRPr="006E6F60">
        <w:rPr>
          <w:rFonts w:ascii="Times New Roman" w:hAnsi="Times New Roman" w:cs="Times New Roman"/>
          <w:color w:val="000000" w:themeColor="text1"/>
          <w:sz w:val="22"/>
        </w:rPr>
        <w:t xml:space="preserve">0 </w:t>
      </w:r>
      <w:r w:rsidR="002E53F8" w:rsidRPr="006E6F60">
        <w:rPr>
          <w:rFonts w:ascii="Times New Roman" w:hAnsi="Times New Roman" w:cs="Times New Roman"/>
          <w:color w:val="000000" w:themeColor="text1"/>
          <w:sz w:val="22"/>
        </w:rPr>
        <w:fldChar w:fldCharType="begin"/>
      </w:r>
      <w:r w:rsidR="002E53F8" w:rsidRPr="006E6F60">
        <w:rPr>
          <w:rFonts w:ascii="Times New Roman" w:hAnsi="Times New Roman" w:cs="Times New Roman"/>
          <w:color w:val="000000" w:themeColor="text1"/>
          <w:sz w:val="22"/>
        </w:rPr>
        <w:instrText xml:space="preserve"> ADDIN EN.CITE &lt;EndNote&gt;&lt;Cite&gt;&lt;Author&gt;World Health Organisation&lt;/Author&gt;&lt;Year&gt;2017&lt;/Year&gt;&lt;IDText&gt;Health Equity Assessment Toolkit (HEAT): Software for exploring and comparing health inequalities in countries&lt;/IDText&gt;&lt;DisplayText&gt;[15]&lt;/DisplayText&gt;&lt;record&gt;&lt;urls&gt;&lt;related-urls&gt;&lt;url&gt;https://www.who.int/gho/health_equity/heat_technical_notes.pdf&lt;/url&gt;&lt;/related-urls&gt;&lt;/urls&gt;&lt;titles&gt;&lt;title&gt;Health Equity Assessment Toolkit (HEAT): Software for exploring and comparing health inequalities in countries&lt;/title&gt;&lt;/titles&gt;&lt;access-date&gt;30 October 2019&lt;/access-date&gt;&lt;contributors&gt;&lt;authors&gt;&lt;author&gt;World Health Organisation,&lt;/author&gt;&lt;/authors&gt;&lt;/contributors&gt;&lt;edition&gt;Built-in Database Edition&lt;/edition&gt;&lt;added-date format="utc"&gt;1571998527&lt;/added-date&gt;&lt;pub-location&gt;Geneva&lt;/pub-location&gt;&lt;ref-type name="Report"&gt;27&lt;/ref-type&gt;&lt;dates&gt;&lt;year&gt;2017&lt;/year&gt;&lt;/dates&gt;&lt;rec-number&gt;329&lt;/rec-number&gt;&lt;last-updated-date format="utc"&gt;1624138491&lt;/last-updated-date&gt;&lt;/record&gt;&lt;/Cite&gt;&lt;/EndNote&gt;</w:instrText>
      </w:r>
      <w:r w:rsidR="002E53F8" w:rsidRPr="006E6F60">
        <w:rPr>
          <w:rFonts w:ascii="Times New Roman" w:hAnsi="Times New Roman" w:cs="Times New Roman"/>
          <w:color w:val="000000" w:themeColor="text1"/>
          <w:sz w:val="22"/>
        </w:rPr>
        <w:fldChar w:fldCharType="separate"/>
      </w:r>
      <w:r w:rsidR="002E53F8" w:rsidRPr="006E6F60">
        <w:rPr>
          <w:rFonts w:ascii="Times New Roman" w:hAnsi="Times New Roman" w:cs="Times New Roman"/>
          <w:noProof/>
          <w:color w:val="000000" w:themeColor="text1"/>
          <w:sz w:val="22"/>
        </w:rPr>
        <w:t>[15]</w:t>
      </w:r>
      <w:r w:rsidR="002E53F8" w:rsidRPr="006E6F60">
        <w:rPr>
          <w:rFonts w:ascii="Times New Roman" w:hAnsi="Times New Roman" w:cs="Times New Roman"/>
          <w:color w:val="000000" w:themeColor="text1"/>
          <w:sz w:val="22"/>
        </w:rPr>
        <w:fldChar w:fldCharType="end"/>
      </w:r>
      <w:r w:rsidRPr="006E6F60">
        <w:rPr>
          <w:rFonts w:ascii="Times New Roman" w:hAnsi="Times New Roman" w:cs="Times New Roman"/>
          <w:color w:val="000000" w:themeColor="text1"/>
          <w:sz w:val="22"/>
        </w:rPr>
        <w:t>.</w:t>
      </w:r>
      <w:r w:rsidR="00BB363E" w:rsidRPr="006E6F60">
        <w:rPr>
          <w:rFonts w:ascii="Times New Roman" w:hAnsi="Times New Roman" w:cs="Times New Roman"/>
          <w:color w:val="000000" w:themeColor="text1"/>
          <w:sz w:val="22"/>
        </w:rPr>
        <w:t xml:space="preserve"> </w:t>
      </w:r>
      <w:r w:rsidR="007C2B61" w:rsidRPr="006E6F60">
        <w:rPr>
          <w:rFonts w:ascii="Times New Roman" w:hAnsi="Times New Roman" w:cs="Times New Roman"/>
          <w:color w:val="000000" w:themeColor="text1"/>
          <w:sz w:val="22"/>
        </w:rPr>
        <w:t xml:space="preserve">When there is no inequality, RII takes the value 1. </w:t>
      </w:r>
      <w:r w:rsidRPr="006E6F60">
        <w:rPr>
          <w:rFonts w:ascii="Times New Roman" w:hAnsi="Times New Roman" w:cs="Times New Roman"/>
          <w:color w:val="000000" w:themeColor="text1"/>
          <w:sz w:val="22"/>
        </w:rPr>
        <w:t>An RII value greater than 1 indicates pro-rich inequality and a value smaller than 1 indicates pro-poor inequality.</w:t>
      </w:r>
    </w:p>
    <w:p w14:paraId="54B43D7A" w14:textId="147F7EFD" w:rsidR="0024516D" w:rsidRDefault="0024516D">
      <w:pPr>
        <w:widowControl/>
        <w:jc w:val="left"/>
        <w:rPr>
          <w:rFonts w:ascii="Times New Roman" w:hAnsi="Times New Roman" w:cs="Times New Roman"/>
          <w:color w:val="000000" w:themeColor="text1"/>
          <w:sz w:val="22"/>
        </w:rPr>
      </w:pPr>
      <w:r>
        <w:rPr>
          <w:rFonts w:ascii="Times New Roman" w:hAnsi="Times New Roman" w:cs="Times New Roman"/>
          <w:color w:val="000000" w:themeColor="text1"/>
          <w:sz w:val="22"/>
        </w:rPr>
        <w:br w:type="page"/>
      </w:r>
    </w:p>
    <w:p w14:paraId="74F01FDE" w14:textId="0A365D0C" w:rsidR="00846220" w:rsidRPr="00FD545F" w:rsidRDefault="00846220" w:rsidP="006024C5">
      <w:pPr>
        <w:widowControl/>
        <w:jc w:val="left"/>
        <w:rPr>
          <w:rFonts w:ascii="Times New Roman" w:hAnsi="Times New Roman" w:cs="Times New Roman"/>
          <w:b/>
          <w:bCs/>
          <w:sz w:val="24"/>
          <w:szCs w:val="24"/>
        </w:rPr>
      </w:pPr>
      <w:r w:rsidRPr="00FD545F">
        <w:rPr>
          <w:rFonts w:ascii="Times New Roman" w:eastAsia="游ゴシック" w:hAnsi="Times New Roman" w:cs="Times New Roman"/>
          <w:b/>
          <w:bCs/>
          <w:color w:val="000000"/>
          <w:kern w:val="0"/>
          <w:sz w:val="24"/>
          <w:szCs w:val="24"/>
          <w:lang w:val="en-US"/>
        </w:rPr>
        <w:lastRenderedPageBreak/>
        <w:t xml:space="preserve">Appendix section </w:t>
      </w:r>
      <w:r w:rsidR="00A94D17" w:rsidRPr="00FD545F">
        <w:rPr>
          <w:rFonts w:ascii="Times New Roman" w:eastAsia="游ゴシック" w:hAnsi="Times New Roman" w:cs="Times New Roman"/>
          <w:b/>
          <w:bCs/>
          <w:color w:val="000000"/>
          <w:kern w:val="0"/>
          <w:sz w:val="24"/>
          <w:szCs w:val="24"/>
          <w:lang w:val="en-US"/>
        </w:rPr>
        <w:t>7</w:t>
      </w:r>
      <w:r w:rsidRPr="00FD545F">
        <w:rPr>
          <w:rFonts w:ascii="Times New Roman" w:eastAsia="游ゴシック" w:hAnsi="Times New Roman" w:cs="Times New Roman"/>
          <w:b/>
          <w:bCs/>
          <w:color w:val="000000"/>
          <w:kern w:val="0"/>
          <w:sz w:val="24"/>
          <w:szCs w:val="24"/>
          <w:lang w:val="en-US"/>
        </w:rPr>
        <w:t>. National-</w:t>
      </w:r>
      <w:r w:rsidRPr="00FD545F">
        <w:rPr>
          <w:rFonts w:ascii="Times New Roman" w:hAnsi="Times New Roman" w:cs="Times New Roman"/>
          <w:b/>
          <w:bCs/>
          <w:sz w:val="24"/>
          <w:szCs w:val="24"/>
        </w:rPr>
        <w:t>level</w:t>
      </w:r>
      <w:r w:rsidRPr="00FD545F">
        <w:rPr>
          <w:rFonts w:ascii="Times New Roman" w:hAnsi="Times New Roman" w:cs="Times New Roman"/>
          <w:b/>
          <w:bCs/>
          <w:sz w:val="24"/>
          <w:szCs w:val="24"/>
          <w:lang w:val="en-US"/>
        </w:rPr>
        <w:t xml:space="preserve"> health service coverage </w:t>
      </w:r>
      <w:r w:rsidRPr="00FD545F">
        <w:rPr>
          <w:rFonts w:ascii="Times New Roman" w:hAnsi="Times New Roman" w:cs="Times New Roman"/>
          <w:b/>
          <w:bCs/>
          <w:sz w:val="24"/>
          <w:szCs w:val="24"/>
        </w:rPr>
        <w:t xml:space="preserve">by wealth quintile </w:t>
      </w:r>
      <w:r w:rsidRPr="00FD545F">
        <w:rPr>
          <w:rFonts w:ascii="Times New Roman" w:hAnsi="Times New Roman" w:cs="Times New Roman"/>
          <w:b/>
          <w:bCs/>
          <w:sz w:val="24"/>
          <w:szCs w:val="24"/>
          <w:lang w:val="en-US"/>
        </w:rPr>
        <w:t xml:space="preserve">and slope index of inequality </w:t>
      </w:r>
    </w:p>
    <w:p w14:paraId="5484F468" w14:textId="77777777" w:rsidR="00846220" w:rsidRPr="00FD545F" w:rsidRDefault="00846220" w:rsidP="007E4BD0">
      <w:pPr>
        <w:rPr>
          <w:rFonts w:ascii="Times New Roman" w:eastAsia="游ゴシック" w:hAnsi="Times New Roman" w:cs="Times New Roman"/>
          <w:b/>
          <w:bCs/>
          <w:color w:val="000000" w:themeColor="text1"/>
          <w:kern w:val="0"/>
          <w:sz w:val="24"/>
          <w:szCs w:val="24"/>
          <w:lang w:val="en-US"/>
        </w:rPr>
      </w:pPr>
    </w:p>
    <w:p w14:paraId="6F04D3FC" w14:textId="10925FD4" w:rsidR="007E4BD0" w:rsidRPr="00FD545F" w:rsidRDefault="00A12BEC" w:rsidP="007E4BD0">
      <w:pPr>
        <w:rPr>
          <w:rFonts w:ascii="Times New Roman" w:hAnsi="Times New Roman" w:cs="Times New Roman"/>
          <w:b/>
          <w:bCs/>
          <w:color w:val="000000" w:themeColor="text1"/>
          <w:sz w:val="24"/>
          <w:szCs w:val="24"/>
        </w:rPr>
      </w:pPr>
      <w:r>
        <w:rPr>
          <w:rFonts w:ascii="Times New Roman" w:eastAsia="游ゴシック" w:hAnsi="Times New Roman" w:cs="Times New Roman"/>
          <w:b/>
          <w:bCs/>
          <w:color w:val="000000" w:themeColor="text1"/>
          <w:kern w:val="0"/>
          <w:sz w:val="24"/>
          <w:szCs w:val="24"/>
          <w:lang w:val="en-US"/>
        </w:rPr>
        <w:t>Table</w:t>
      </w:r>
      <w:r w:rsidR="00050FF5" w:rsidRPr="00FD545F">
        <w:rPr>
          <w:rFonts w:ascii="Times New Roman" w:eastAsia="游ゴシック" w:hAnsi="Times New Roman" w:cs="Times New Roman"/>
          <w:b/>
          <w:bCs/>
          <w:color w:val="000000" w:themeColor="text1"/>
          <w:kern w:val="0"/>
          <w:sz w:val="24"/>
          <w:szCs w:val="24"/>
          <w:lang w:val="en-US"/>
        </w:rPr>
        <w:t xml:space="preserve"> A</w:t>
      </w:r>
      <w:r w:rsidR="00A94D17" w:rsidRPr="00FD545F">
        <w:rPr>
          <w:rFonts w:ascii="Times New Roman" w:eastAsia="游ゴシック" w:hAnsi="Times New Roman" w:cs="Times New Roman"/>
          <w:b/>
          <w:bCs/>
          <w:color w:val="000000" w:themeColor="text1"/>
          <w:kern w:val="0"/>
          <w:sz w:val="24"/>
          <w:szCs w:val="24"/>
          <w:lang w:val="en-US"/>
        </w:rPr>
        <w:t>7</w:t>
      </w:r>
      <w:r w:rsidR="007E4BD0" w:rsidRPr="00FD545F">
        <w:rPr>
          <w:rFonts w:ascii="Times New Roman" w:eastAsia="游ゴシック" w:hAnsi="Times New Roman" w:cs="Times New Roman"/>
          <w:b/>
          <w:bCs/>
          <w:color w:val="000000" w:themeColor="text1"/>
          <w:kern w:val="0"/>
          <w:sz w:val="24"/>
          <w:szCs w:val="24"/>
          <w:lang w:val="en-US"/>
        </w:rPr>
        <w:t xml:space="preserve">: </w:t>
      </w:r>
      <w:r w:rsidR="007E4BD0" w:rsidRPr="00FD545F">
        <w:rPr>
          <w:rFonts w:ascii="Times New Roman" w:hAnsi="Times New Roman" w:cs="Times New Roman"/>
          <w:b/>
          <w:bCs/>
          <w:color w:val="000000" w:themeColor="text1"/>
          <w:sz w:val="24"/>
          <w:szCs w:val="24"/>
        </w:rPr>
        <w:t xml:space="preserve">Slope index of inequality of health service coverage at </w:t>
      </w:r>
      <w:r w:rsidR="00705F0C" w:rsidRPr="00FD545F">
        <w:rPr>
          <w:rFonts w:ascii="Times New Roman" w:hAnsi="Times New Roman" w:cs="Times New Roman"/>
          <w:b/>
          <w:bCs/>
          <w:color w:val="000000" w:themeColor="text1"/>
          <w:sz w:val="24"/>
          <w:szCs w:val="24"/>
        </w:rPr>
        <w:t xml:space="preserve">the </w:t>
      </w:r>
      <w:r w:rsidR="007E4BD0" w:rsidRPr="00FD545F">
        <w:rPr>
          <w:rFonts w:ascii="Times New Roman" w:hAnsi="Times New Roman" w:cs="Times New Roman"/>
          <w:b/>
          <w:bCs/>
          <w:color w:val="000000" w:themeColor="text1"/>
          <w:sz w:val="24"/>
          <w:szCs w:val="24"/>
        </w:rPr>
        <w:t>national level in Iraq, 2000-2030</w:t>
      </w:r>
    </w:p>
    <w:tbl>
      <w:tblPr>
        <w:tblW w:w="9085" w:type="dxa"/>
        <w:tblCellMar>
          <w:left w:w="99" w:type="dxa"/>
          <w:right w:w="99" w:type="dxa"/>
        </w:tblCellMar>
        <w:tblLook w:val="04A0" w:firstRow="1" w:lastRow="0" w:firstColumn="1" w:lastColumn="0" w:noHBand="0" w:noVBand="1"/>
      </w:tblPr>
      <w:tblGrid>
        <w:gridCol w:w="2268"/>
        <w:gridCol w:w="2268"/>
        <w:gridCol w:w="2268"/>
        <w:gridCol w:w="2268"/>
        <w:gridCol w:w="13"/>
      </w:tblGrid>
      <w:tr w:rsidR="007E4BD0" w:rsidRPr="00FD545F" w14:paraId="765ABF70" w14:textId="77777777" w:rsidTr="00C078CD">
        <w:trPr>
          <w:trHeight w:val="567"/>
        </w:trPr>
        <w:tc>
          <w:tcPr>
            <w:tcW w:w="2268" w:type="dxa"/>
            <w:vMerge w:val="restart"/>
            <w:tcBorders>
              <w:top w:val="single" w:sz="4" w:space="0" w:color="auto"/>
              <w:left w:val="nil"/>
              <w:bottom w:val="single" w:sz="4" w:space="0" w:color="auto"/>
              <w:right w:val="nil"/>
            </w:tcBorders>
            <w:vAlign w:val="center"/>
            <w:hideMark/>
          </w:tcPr>
          <w:p w14:paraId="274554F2" w14:textId="77777777" w:rsidR="007E4BD0" w:rsidRPr="00FD545F" w:rsidRDefault="007E4BD0" w:rsidP="00BB0B0C">
            <w:pPr>
              <w:widowControl/>
              <w:jc w:val="left"/>
              <w:rPr>
                <w:rFonts w:ascii="Times New Roman" w:eastAsia="游ゴシック" w:hAnsi="Times New Roman" w:cs="Times New Roman"/>
                <w:b/>
                <w:bCs/>
                <w:color w:val="000000"/>
                <w:kern w:val="0"/>
                <w:sz w:val="20"/>
                <w:szCs w:val="20"/>
                <w:lang w:val="en-US"/>
              </w:rPr>
            </w:pPr>
            <w:r w:rsidRPr="00FD545F">
              <w:rPr>
                <w:rFonts w:ascii="Times New Roman" w:eastAsia="游ゴシック" w:hAnsi="Times New Roman" w:cs="Times New Roman" w:hint="eastAsia"/>
                <w:b/>
                <w:bCs/>
                <w:color w:val="000000"/>
                <w:kern w:val="0"/>
                <w:sz w:val="20"/>
                <w:szCs w:val="20"/>
                <w:lang w:val="en-US"/>
              </w:rPr>
              <w:t>H</w:t>
            </w:r>
            <w:r w:rsidRPr="00FD545F">
              <w:rPr>
                <w:rFonts w:ascii="Times New Roman" w:eastAsia="游ゴシック" w:hAnsi="Times New Roman" w:cs="Times New Roman"/>
                <w:b/>
                <w:bCs/>
                <w:color w:val="000000"/>
                <w:kern w:val="0"/>
                <w:sz w:val="20"/>
                <w:szCs w:val="20"/>
                <w:lang w:val="en-US"/>
              </w:rPr>
              <w:t>ealth service indicators</w:t>
            </w:r>
          </w:p>
        </w:tc>
        <w:tc>
          <w:tcPr>
            <w:tcW w:w="6817" w:type="dxa"/>
            <w:gridSpan w:val="4"/>
            <w:tcBorders>
              <w:top w:val="single" w:sz="4" w:space="0" w:color="auto"/>
              <w:left w:val="nil"/>
              <w:bottom w:val="single" w:sz="4" w:space="0" w:color="auto"/>
              <w:right w:val="nil"/>
            </w:tcBorders>
            <w:shd w:val="clear" w:color="auto" w:fill="auto"/>
            <w:vAlign w:val="center"/>
          </w:tcPr>
          <w:p w14:paraId="29D89F0F" w14:textId="0E31412E" w:rsidR="007E4BD0" w:rsidRPr="00FD545F" w:rsidRDefault="007E4BD0" w:rsidP="00C078CD">
            <w:pPr>
              <w:widowControl/>
              <w:jc w:val="center"/>
              <w:rPr>
                <w:rFonts w:ascii="Times New Roman" w:eastAsia="游ゴシック" w:hAnsi="Times New Roman" w:cs="Times New Roman"/>
                <w:b/>
                <w:bCs/>
                <w:color w:val="000000"/>
                <w:kern w:val="0"/>
                <w:sz w:val="18"/>
                <w:szCs w:val="18"/>
                <w:lang w:val="en-US"/>
              </w:rPr>
            </w:pPr>
            <w:r w:rsidRPr="00FD545F">
              <w:rPr>
                <w:rFonts w:ascii="Times New Roman" w:eastAsia="游ゴシック" w:hAnsi="Times New Roman" w:cs="Times New Roman"/>
                <w:b/>
                <w:bCs/>
                <w:color w:val="000000"/>
                <w:kern w:val="0"/>
                <w:sz w:val="18"/>
                <w:szCs w:val="18"/>
                <w:lang w:val="en-US"/>
              </w:rPr>
              <w:t>SII (95% CI)</w:t>
            </w:r>
          </w:p>
        </w:tc>
      </w:tr>
      <w:tr w:rsidR="007E4BD0" w:rsidRPr="00FD545F" w14:paraId="4F0DEEBC" w14:textId="77777777" w:rsidTr="00C078CD">
        <w:trPr>
          <w:gridAfter w:val="1"/>
          <w:wAfter w:w="13" w:type="dxa"/>
          <w:trHeight w:val="567"/>
        </w:trPr>
        <w:tc>
          <w:tcPr>
            <w:tcW w:w="2268" w:type="dxa"/>
            <w:vMerge/>
            <w:tcBorders>
              <w:top w:val="single" w:sz="4" w:space="0" w:color="auto"/>
              <w:left w:val="nil"/>
              <w:bottom w:val="single" w:sz="4" w:space="0" w:color="auto"/>
              <w:right w:val="nil"/>
            </w:tcBorders>
            <w:vAlign w:val="center"/>
            <w:hideMark/>
          </w:tcPr>
          <w:p w14:paraId="126F2659" w14:textId="77777777" w:rsidR="007E4BD0" w:rsidRPr="00FD545F" w:rsidRDefault="007E4BD0" w:rsidP="00C078CD">
            <w:pPr>
              <w:widowControl/>
              <w:jc w:val="center"/>
              <w:rPr>
                <w:rFonts w:ascii="Times New Roman" w:eastAsia="游ゴシック" w:hAnsi="Times New Roman" w:cs="Times New Roman"/>
                <w:b/>
                <w:bCs/>
                <w:color w:val="000000"/>
                <w:kern w:val="0"/>
                <w:sz w:val="18"/>
                <w:szCs w:val="18"/>
                <w:lang w:val="en-US"/>
              </w:rPr>
            </w:pPr>
          </w:p>
        </w:tc>
        <w:tc>
          <w:tcPr>
            <w:tcW w:w="2268" w:type="dxa"/>
            <w:tcBorders>
              <w:top w:val="single" w:sz="4" w:space="0" w:color="auto"/>
              <w:left w:val="nil"/>
              <w:bottom w:val="single" w:sz="4" w:space="0" w:color="auto"/>
              <w:right w:val="nil"/>
            </w:tcBorders>
            <w:vAlign w:val="center"/>
            <w:hideMark/>
          </w:tcPr>
          <w:p w14:paraId="4D1EE525" w14:textId="77777777" w:rsidR="007E4BD0" w:rsidRPr="00FD545F" w:rsidRDefault="007E4BD0" w:rsidP="00C078CD">
            <w:pPr>
              <w:widowControl/>
              <w:jc w:val="center"/>
              <w:rPr>
                <w:rFonts w:ascii="Times New Roman" w:eastAsia="游ゴシック" w:hAnsi="Times New Roman" w:cs="Times New Roman"/>
                <w:b/>
                <w:bCs/>
                <w:color w:val="000000"/>
                <w:kern w:val="0"/>
                <w:sz w:val="18"/>
                <w:szCs w:val="18"/>
                <w:lang w:val="en-US"/>
              </w:rPr>
            </w:pPr>
            <w:r w:rsidRPr="00FD545F">
              <w:rPr>
                <w:rFonts w:ascii="Times New Roman" w:eastAsia="游ゴシック" w:hAnsi="Times New Roman" w:cs="Times New Roman"/>
                <w:b/>
                <w:bCs/>
                <w:color w:val="000000"/>
                <w:kern w:val="0"/>
                <w:sz w:val="18"/>
                <w:szCs w:val="18"/>
                <w:lang w:val="en-US"/>
              </w:rPr>
              <w:t>2000</w:t>
            </w:r>
          </w:p>
        </w:tc>
        <w:tc>
          <w:tcPr>
            <w:tcW w:w="2268" w:type="dxa"/>
            <w:tcBorders>
              <w:top w:val="single" w:sz="4" w:space="0" w:color="auto"/>
              <w:left w:val="nil"/>
              <w:bottom w:val="single" w:sz="4" w:space="0" w:color="auto"/>
              <w:right w:val="nil"/>
            </w:tcBorders>
            <w:vAlign w:val="center"/>
          </w:tcPr>
          <w:p w14:paraId="35499ADA" w14:textId="77777777" w:rsidR="007E4BD0" w:rsidRPr="00FD545F" w:rsidRDefault="007E4BD0" w:rsidP="00C078CD">
            <w:pPr>
              <w:widowControl/>
              <w:jc w:val="center"/>
              <w:rPr>
                <w:rFonts w:ascii="Times New Roman" w:eastAsia="游ゴシック" w:hAnsi="Times New Roman" w:cs="Times New Roman"/>
                <w:b/>
                <w:bCs/>
                <w:color w:val="000000"/>
                <w:kern w:val="0"/>
                <w:sz w:val="18"/>
                <w:szCs w:val="18"/>
                <w:lang w:val="en-US"/>
              </w:rPr>
            </w:pPr>
            <w:r w:rsidRPr="00FD545F">
              <w:rPr>
                <w:rFonts w:ascii="Times New Roman" w:eastAsia="游ゴシック" w:hAnsi="Times New Roman" w:cs="Times New Roman" w:hint="eastAsia"/>
                <w:b/>
                <w:bCs/>
                <w:color w:val="000000"/>
                <w:kern w:val="0"/>
                <w:sz w:val="18"/>
                <w:szCs w:val="18"/>
                <w:lang w:val="en-US"/>
              </w:rPr>
              <w:t>2</w:t>
            </w:r>
            <w:r w:rsidRPr="00FD545F">
              <w:rPr>
                <w:rFonts w:ascii="Times New Roman" w:eastAsia="游ゴシック" w:hAnsi="Times New Roman" w:cs="Times New Roman"/>
                <w:b/>
                <w:bCs/>
                <w:color w:val="000000"/>
                <w:kern w:val="0"/>
                <w:sz w:val="18"/>
                <w:szCs w:val="18"/>
                <w:lang w:val="en-US"/>
              </w:rPr>
              <w:t>018</w:t>
            </w:r>
          </w:p>
        </w:tc>
        <w:tc>
          <w:tcPr>
            <w:tcW w:w="2268" w:type="dxa"/>
            <w:tcBorders>
              <w:top w:val="single" w:sz="4" w:space="0" w:color="auto"/>
              <w:left w:val="nil"/>
              <w:bottom w:val="single" w:sz="4" w:space="0" w:color="auto"/>
              <w:right w:val="nil"/>
            </w:tcBorders>
            <w:vAlign w:val="center"/>
            <w:hideMark/>
          </w:tcPr>
          <w:p w14:paraId="63C671F0" w14:textId="77777777" w:rsidR="007E4BD0" w:rsidRPr="00FD545F" w:rsidRDefault="007E4BD0" w:rsidP="00C078CD">
            <w:pPr>
              <w:widowControl/>
              <w:jc w:val="center"/>
              <w:rPr>
                <w:rFonts w:ascii="Times New Roman" w:eastAsia="游ゴシック" w:hAnsi="Times New Roman" w:cs="Times New Roman"/>
                <w:b/>
                <w:bCs/>
                <w:color w:val="000000"/>
                <w:kern w:val="0"/>
                <w:sz w:val="18"/>
                <w:szCs w:val="18"/>
                <w:lang w:val="en-US"/>
              </w:rPr>
            </w:pPr>
            <w:r w:rsidRPr="00FD545F">
              <w:rPr>
                <w:rFonts w:ascii="Times New Roman" w:eastAsia="游ゴシック" w:hAnsi="Times New Roman" w:cs="Times New Roman"/>
                <w:b/>
                <w:bCs/>
                <w:color w:val="000000"/>
                <w:kern w:val="0"/>
                <w:sz w:val="18"/>
                <w:szCs w:val="18"/>
                <w:lang w:val="en-US"/>
              </w:rPr>
              <w:t>2030</w:t>
            </w:r>
          </w:p>
        </w:tc>
      </w:tr>
      <w:tr w:rsidR="007E4BD0" w:rsidRPr="00FD545F" w14:paraId="7D18CD7D" w14:textId="77777777" w:rsidTr="00C078CD">
        <w:trPr>
          <w:gridAfter w:val="1"/>
          <w:wAfter w:w="13" w:type="dxa"/>
          <w:trHeight w:val="578"/>
        </w:trPr>
        <w:tc>
          <w:tcPr>
            <w:tcW w:w="2268" w:type="dxa"/>
            <w:tcBorders>
              <w:top w:val="single" w:sz="4" w:space="0" w:color="auto"/>
            </w:tcBorders>
            <w:noWrap/>
            <w:vAlign w:val="center"/>
            <w:hideMark/>
          </w:tcPr>
          <w:p w14:paraId="648C8760" w14:textId="0E69A830" w:rsidR="007E4BD0" w:rsidRPr="00FD545F" w:rsidRDefault="00BB0B0C"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hint="eastAsia"/>
                <w:color w:val="000000"/>
                <w:kern w:val="0"/>
                <w:sz w:val="20"/>
                <w:szCs w:val="20"/>
                <w:lang w:val="en-US"/>
              </w:rPr>
              <w:t>A</w:t>
            </w:r>
            <w:r w:rsidRPr="00FD545F">
              <w:rPr>
                <w:rFonts w:ascii="Times New Roman" w:eastAsia="ＭＳ Ｐゴシック" w:hAnsi="Times New Roman" w:cs="Times New Roman"/>
                <w:color w:val="000000"/>
                <w:kern w:val="0"/>
                <w:sz w:val="20"/>
                <w:szCs w:val="20"/>
                <w:lang w:val="en-US"/>
              </w:rPr>
              <w:t>NC1</w:t>
            </w:r>
          </w:p>
        </w:tc>
        <w:tc>
          <w:tcPr>
            <w:tcW w:w="2268" w:type="dxa"/>
            <w:tcBorders>
              <w:top w:val="single" w:sz="4" w:space="0" w:color="auto"/>
            </w:tcBorders>
            <w:vAlign w:val="center"/>
            <w:hideMark/>
          </w:tcPr>
          <w:p w14:paraId="7E3248FC"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30.7 (11.6-49.8)</w:t>
            </w:r>
          </w:p>
        </w:tc>
        <w:tc>
          <w:tcPr>
            <w:tcW w:w="2268" w:type="dxa"/>
            <w:tcBorders>
              <w:top w:val="single" w:sz="4" w:space="0" w:color="auto"/>
            </w:tcBorders>
            <w:vAlign w:val="center"/>
          </w:tcPr>
          <w:p w14:paraId="6A26E6F4"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20.2 (14.9-25.4)</w:t>
            </w:r>
          </w:p>
        </w:tc>
        <w:tc>
          <w:tcPr>
            <w:tcW w:w="2268" w:type="dxa"/>
            <w:tcBorders>
              <w:top w:val="single" w:sz="4" w:space="0" w:color="auto"/>
            </w:tcBorders>
            <w:vAlign w:val="center"/>
            <w:hideMark/>
          </w:tcPr>
          <w:p w14:paraId="7176FEC5"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17.6 (12.5-22.7)</w:t>
            </w:r>
          </w:p>
        </w:tc>
      </w:tr>
      <w:tr w:rsidR="00BB0B0C" w:rsidRPr="00FD545F" w14:paraId="7999483F" w14:textId="77777777" w:rsidTr="00C078CD">
        <w:trPr>
          <w:gridAfter w:val="1"/>
          <w:wAfter w:w="13" w:type="dxa"/>
          <w:trHeight w:val="578"/>
        </w:trPr>
        <w:tc>
          <w:tcPr>
            <w:tcW w:w="2268" w:type="dxa"/>
            <w:noWrap/>
            <w:vAlign w:val="center"/>
            <w:hideMark/>
          </w:tcPr>
          <w:p w14:paraId="3B90336A" w14:textId="54388D40"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ANC4</w:t>
            </w:r>
          </w:p>
        </w:tc>
        <w:tc>
          <w:tcPr>
            <w:tcW w:w="2268" w:type="dxa"/>
            <w:vAlign w:val="center"/>
            <w:hideMark/>
          </w:tcPr>
          <w:p w14:paraId="26113EDA" w14:textId="77777777" w:rsidR="00BB0B0C" w:rsidRPr="00FD545F" w:rsidRDefault="00BB0B0C" w:rsidP="00BB0B0C">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28.9 (9.3-48.6)</w:t>
            </w:r>
          </w:p>
        </w:tc>
        <w:tc>
          <w:tcPr>
            <w:tcW w:w="2268" w:type="dxa"/>
            <w:vAlign w:val="center"/>
          </w:tcPr>
          <w:p w14:paraId="7EA506C3"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29.9 (22.2-37.7)</w:t>
            </w:r>
          </w:p>
        </w:tc>
        <w:tc>
          <w:tcPr>
            <w:tcW w:w="2268" w:type="dxa"/>
            <w:vAlign w:val="center"/>
            <w:hideMark/>
          </w:tcPr>
          <w:p w14:paraId="1C015151"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15.4 (9.4-21.3)</w:t>
            </w:r>
          </w:p>
        </w:tc>
      </w:tr>
      <w:tr w:rsidR="00BB0B0C" w:rsidRPr="00FD545F" w14:paraId="334A9E82" w14:textId="77777777" w:rsidTr="00C078CD">
        <w:trPr>
          <w:gridAfter w:val="1"/>
          <w:wAfter w:w="13" w:type="dxa"/>
          <w:trHeight w:val="578"/>
        </w:trPr>
        <w:tc>
          <w:tcPr>
            <w:tcW w:w="2268" w:type="dxa"/>
            <w:noWrap/>
            <w:vAlign w:val="center"/>
            <w:hideMark/>
          </w:tcPr>
          <w:p w14:paraId="08757F18" w14:textId="592CB528"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Institutional delivery</w:t>
            </w:r>
          </w:p>
        </w:tc>
        <w:tc>
          <w:tcPr>
            <w:tcW w:w="2268" w:type="dxa"/>
            <w:vAlign w:val="center"/>
          </w:tcPr>
          <w:p w14:paraId="1E9965E8" w14:textId="77777777" w:rsidR="00BB0B0C" w:rsidRPr="00FD545F" w:rsidRDefault="00BB0B0C" w:rsidP="00BB0B0C">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26.5 (4.8-48.2)</w:t>
            </w:r>
          </w:p>
        </w:tc>
        <w:tc>
          <w:tcPr>
            <w:tcW w:w="2268" w:type="dxa"/>
            <w:vAlign w:val="center"/>
          </w:tcPr>
          <w:p w14:paraId="7DE732DE"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8.8 (5.5-12.1)</w:t>
            </w:r>
          </w:p>
        </w:tc>
        <w:tc>
          <w:tcPr>
            <w:tcW w:w="2268" w:type="dxa"/>
            <w:vAlign w:val="center"/>
          </w:tcPr>
          <w:p w14:paraId="29977AB1"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2.8 (1.6-4.0)</w:t>
            </w:r>
          </w:p>
        </w:tc>
      </w:tr>
      <w:tr w:rsidR="00BB0B0C" w:rsidRPr="00FD545F" w14:paraId="5424EDD9" w14:textId="77777777" w:rsidTr="00C078CD">
        <w:trPr>
          <w:gridAfter w:val="1"/>
          <w:wAfter w:w="13" w:type="dxa"/>
          <w:trHeight w:val="578"/>
        </w:trPr>
        <w:tc>
          <w:tcPr>
            <w:tcW w:w="2268" w:type="dxa"/>
            <w:noWrap/>
            <w:vAlign w:val="center"/>
            <w:hideMark/>
          </w:tcPr>
          <w:p w14:paraId="50AFC2A2" w14:textId="50F1DE53"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Skilled birth attendance</w:t>
            </w:r>
          </w:p>
        </w:tc>
        <w:tc>
          <w:tcPr>
            <w:tcW w:w="2268" w:type="dxa"/>
            <w:vAlign w:val="center"/>
            <w:hideMark/>
          </w:tcPr>
          <w:p w14:paraId="01CA9FCA" w14:textId="77777777" w:rsidR="00BB0B0C" w:rsidRPr="00FD545F" w:rsidRDefault="00BB0B0C" w:rsidP="00BB0B0C">
            <w:pPr>
              <w:widowControl/>
              <w:spacing w:line="276" w:lineRule="auto"/>
              <w:jc w:val="center"/>
              <w:rPr>
                <w:rFonts w:ascii="Times New Roman" w:hAnsi="Times New Roman" w:cs="Times New Roman"/>
                <w:color w:val="000000" w:themeColor="text1"/>
                <w:sz w:val="20"/>
                <w:szCs w:val="20"/>
                <w:lang w:val="en-US"/>
              </w:rPr>
            </w:pPr>
            <w:r w:rsidRPr="00FD545F">
              <w:rPr>
                <w:rFonts w:ascii="Times New Roman" w:eastAsia="游ゴシック" w:hAnsi="Times New Roman" w:cs="Times New Roman"/>
                <w:color w:val="000000"/>
                <w:sz w:val="20"/>
                <w:szCs w:val="20"/>
              </w:rPr>
              <w:t>38.2 (21.2-55.3)</w:t>
            </w:r>
          </w:p>
        </w:tc>
        <w:tc>
          <w:tcPr>
            <w:tcW w:w="2268" w:type="dxa"/>
            <w:vAlign w:val="center"/>
          </w:tcPr>
          <w:p w14:paraId="5560C12D" w14:textId="77777777" w:rsidR="00BB0B0C" w:rsidRPr="00FD545F" w:rsidRDefault="00BB0B0C" w:rsidP="00BB0B0C">
            <w:pPr>
              <w:spacing w:line="276" w:lineRule="auto"/>
              <w:jc w:val="center"/>
              <w:rPr>
                <w:rFonts w:ascii="Times New Roman"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6.9 (3.4-10.3)</w:t>
            </w:r>
          </w:p>
        </w:tc>
        <w:tc>
          <w:tcPr>
            <w:tcW w:w="2268" w:type="dxa"/>
            <w:vAlign w:val="center"/>
            <w:hideMark/>
          </w:tcPr>
          <w:p w14:paraId="7BDFCF69" w14:textId="77777777" w:rsidR="00BB0B0C" w:rsidRPr="00FD545F" w:rsidRDefault="00BB0B0C" w:rsidP="00BB0B0C">
            <w:pPr>
              <w:spacing w:line="276" w:lineRule="auto"/>
              <w:jc w:val="center"/>
              <w:rPr>
                <w:rFonts w:ascii="Times New Roman"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1.8 (0.6-2.9)</w:t>
            </w:r>
          </w:p>
        </w:tc>
      </w:tr>
      <w:tr w:rsidR="007E4BD0" w:rsidRPr="00FD545F" w14:paraId="097483A5" w14:textId="77777777" w:rsidTr="00C078CD">
        <w:trPr>
          <w:gridAfter w:val="1"/>
          <w:wAfter w:w="13" w:type="dxa"/>
          <w:trHeight w:val="578"/>
        </w:trPr>
        <w:tc>
          <w:tcPr>
            <w:tcW w:w="2268" w:type="dxa"/>
            <w:noWrap/>
            <w:vAlign w:val="center"/>
            <w:hideMark/>
          </w:tcPr>
          <w:p w14:paraId="27C57DAB" w14:textId="1E10F20C" w:rsidR="007E4BD0" w:rsidRPr="00FD545F" w:rsidRDefault="00BB0B0C"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Full immunisation</w:t>
            </w:r>
          </w:p>
        </w:tc>
        <w:tc>
          <w:tcPr>
            <w:tcW w:w="2268" w:type="dxa"/>
            <w:vAlign w:val="center"/>
            <w:hideMark/>
          </w:tcPr>
          <w:p w14:paraId="5E72C8CF"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30.6 (12.1-12.1)</w:t>
            </w:r>
          </w:p>
        </w:tc>
        <w:tc>
          <w:tcPr>
            <w:tcW w:w="2268" w:type="dxa"/>
            <w:vAlign w:val="center"/>
          </w:tcPr>
          <w:p w14:paraId="748E962C"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38.9 (26.2-51.6)</w:t>
            </w:r>
          </w:p>
        </w:tc>
        <w:tc>
          <w:tcPr>
            <w:tcW w:w="2268" w:type="dxa"/>
            <w:vAlign w:val="center"/>
            <w:hideMark/>
          </w:tcPr>
          <w:p w14:paraId="1D24022F"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20.0 (20.0-20.0)</w:t>
            </w:r>
          </w:p>
        </w:tc>
      </w:tr>
      <w:tr w:rsidR="007E4BD0" w:rsidRPr="00FD545F" w14:paraId="3EABC9B2" w14:textId="77777777" w:rsidTr="00C078CD">
        <w:trPr>
          <w:gridAfter w:val="1"/>
          <w:wAfter w:w="13" w:type="dxa"/>
          <w:trHeight w:val="578"/>
        </w:trPr>
        <w:tc>
          <w:tcPr>
            <w:tcW w:w="2268" w:type="dxa"/>
            <w:noWrap/>
            <w:vAlign w:val="center"/>
            <w:hideMark/>
          </w:tcPr>
          <w:p w14:paraId="55EAF7C1" w14:textId="77777777" w:rsidR="007E4BD0" w:rsidRPr="00FD545F" w:rsidRDefault="007E4BD0"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BCG </w:t>
            </w:r>
          </w:p>
        </w:tc>
        <w:tc>
          <w:tcPr>
            <w:tcW w:w="2268" w:type="dxa"/>
            <w:vAlign w:val="center"/>
            <w:hideMark/>
          </w:tcPr>
          <w:p w14:paraId="322F8466"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11.1 (3.7-18.4)</w:t>
            </w:r>
          </w:p>
        </w:tc>
        <w:tc>
          <w:tcPr>
            <w:tcW w:w="2268" w:type="dxa"/>
            <w:vAlign w:val="center"/>
          </w:tcPr>
          <w:p w14:paraId="63F71C5D"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7.6 (3.6-11.5)</w:t>
            </w:r>
          </w:p>
        </w:tc>
        <w:tc>
          <w:tcPr>
            <w:tcW w:w="2268" w:type="dxa"/>
            <w:vAlign w:val="center"/>
            <w:hideMark/>
          </w:tcPr>
          <w:p w14:paraId="1A07F76D"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8.9 (8.9-12.2)</w:t>
            </w:r>
          </w:p>
        </w:tc>
      </w:tr>
      <w:tr w:rsidR="007E4BD0" w:rsidRPr="00FD545F" w14:paraId="543E0894" w14:textId="77777777" w:rsidTr="00C078CD">
        <w:trPr>
          <w:gridAfter w:val="1"/>
          <w:wAfter w:w="13" w:type="dxa"/>
          <w:trHeight w:val="578"/>
        </w:trPr>
        <w:tc>
          <w:tcPr>
            <w:tcW w:w="2268" w:type="dxa"/>
            <w:noWrap/>
            <w:vAlign w:val="center"/>
            <w:hideMark/>
          </w:tcPr>
          <w:p w14:paraId="5F6574E0" w14:textId="77777777" w:rsidR="007E4BD0" w:rsidRPr="00FD545F" w:rsidRDefault="007E4BD0"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DTP3</w:t>
            </w:r>
          </w:p>
        </w:tc>
        <w:tc>
          <w:tcPr>
            <w:tcW w:w="2268" w:type="dxa"/>
            <w:vAlign w:val="center"/>
            <w:hideMark/>
          </w:tcPr>
          <w:p w14:paraId="52418C97"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29.8 (13.3-46.3)</w:t>
            </w:r>
          </w:p>
        </w:tc>
        <w:tc>
          <w:tcPr>
            <w:tcW w:w="2268" w:type="dxa"/>
            <w:vAlign w:val="center"/>
          </w:tcPr>
          <w:p w14:paraId="37BB672E"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32.9 (22.7-43.0)</w:t>
            </w:r>
          </w:p>
        </w:tc>
        <w:tc>
          <w:tcPr>
            <w:tcW w:w="2268" w:type="dxa"/>
            <w:vAlign w:val="center"/>
            <w:hideMark/>
          </w:tcPr>
          <w:p w14:paraId="2B721FE3"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21.4 (16.7-26.1)</w:t>
            </w:r>
          </w:p>
        </w:tc>
      </w:tr>
      <w:tr w:rsidR="007E4BD0" w:rsidRPr="00FD545F" w14:paraId="06CE3CFC" w14:textId="77777777" w:rsidTr="00C078CD">
        <w:trPr>
          <w:gridAfter w:val="1"/>
          <w:wAfter w:w="13" w:type="dxa"/>
          <w:trHeight w:val="578"/>
        </w:trPr>
        <w:tc>
          <w:tcPr>
            <w:tcW w:w="2268" w:type="dxa"/>
            <w:noWrap/>
            <w:vAlign w:val="center"/>
            <w:hideMark/>
          </w:tcPr>
          <w:p w14:paraId="6ADBE9AF" w14:textId="77777777" w:rsidR="007E4BD0" w:rsidRPr="00FD545F" w:rsidRDefault="007E4BD0"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 xml:space="preserve">Polio3 </w:t>
            </w:r>
          </w:p>
        </w:tc>
        <w:tc>
          <w:tcPr>
            <w:tcW w:w="2268" w:type="dxa"/>
            <w:vAlign w:val="center"/>
            <w:hideMark/>
          </w:tcPr>
          <w:p w14:paraId="11A0C933"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29.4 (11.9-46.9)</w:t>
            </w:r>
          </w:p>
        </w:tc>
        <w:tc>
          <w:tcPr>
            <w:tcW w:w="2268" w:type="dxa"/>
            <w:vAlign w:val="center"/>
          </w:tcPr>
          <w:p w14:paraId="60536F49"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28.0 (16.0-39.9)</w:t>
            </w:r>
          </w:p>
        </w:tc>
        <w:tc>
          <w:tcPr>
            <w:tcW w:w="2268" w:type="dxa"/>
            <w:vAlign w:val="center"/>
            <w:hideMark/>
          </w:tcPr>
          <w:p w14:paraId="7BE1217A"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12.7 (7.8-17.5)</w:t>
            </w:r>
          </w:p>
        </w:tc>
      </w:tr>
      <w:tr w:rsidR="007E4BD0" w:rsidRPr="00FD545F" w14:paraId="358BC618" w14:textId="77777777" w:rsidTr="00C078CD">
        <w:trPr>
          <w:gridAfter w:val="1"/>
          <w:wAfter w:w="13" w:type="dxa"/>
          <w:trHeight w:val="578"/>
        </w:trPr>
        <w:tc>
          <w:tcPr>
            <w:tcW w:w="2268" w:type="dxa"/>
            <w:noWrap/>
            <w:vAlign w:val="center"/>
            <w:hideMark/>
          </w:tcPr>
          <w:p w14:paraId="3106462C" w14:textId="77777777" w:rsidR="007E4BD0" w:rsidRPr="00FD545F" w:rsidRDefault="007E4BD0" w:rsidP="00C078CD">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Measles</w:t>
            </w:r>
          </w:p>
        </w:tc>
        <w:tc>
          <w:tcPr>
            <w:tcW w:w="2268" w:type="dxa"/>
            <w:vAlign w:val="center"/>
            <w:hideMark/>
          </w:tcPr>
          <w:p w14:paraId="58BEC96B" w14:textId="77777777" w:rsidR="007E4BD0" w:rsidRPr="00FD545F" w:rsidRDefault="007E4BD0" w:rsidP="00C078CD">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25.6 (11.2-39.9)</w:t>
            </w:r>
          </w:p>
        </w:tc>
        <w:tc>
          <w:tcPr>
            <w:tcW w:w="2268" w:type="dxa"/>
            <w:vAlign w:val="center"/>
          </w:tcPr>
          <w:p w14:paraId="2A41F9FF"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28.2 (14.7-41.8)</w:t>
            </w:r>
          </w:p>
        </w:tc>
        <w:tc>
          <w:tcPr>
            <w:tcW w:w="2268" w:type="dxa"/>
            <w:vAlign w:val="center"/>
            <w:hideMark/>
          </w:tcPr>
          <w:p w14:paraId="4020633C" w14:textId="77777777" w:rsidR="007E4BD0" w:rsidRPr="00FD545F" w:rsidRDefault="007E4BD0" w:rsidP="00C078CD">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18.6 (14.3-23.0)</w:t>
            </w:r>
          </w:p>
        </w:tc>
      </w:tr>
      <w:tr w:rsidR="00BB0B0C" w:rsidRPr="00FD545F" w14:paraId="33CA2A93" w14:textId="77777777" w:rsidTr="00C078CD">
        <w:trPr>
          <w:gridAfter w:val="1"/>
          <w:wAfter w:w="13" w:type="dxa"/>
          <w:trHeight w:val="578"/>
        </w:trPr>
        <w:tc>
          <w:tcPr>
            <w:tcW w:w="2268" w:type="dxa"/>
            <w:noWrap/>
            <w:vAlign w:val="center"/>
          </w:tcPr>
          <w:p w14:paraId="4E3B63A1" w14:textId="5A04E745"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ARI treatment</w:t>
            </w:r>
          </w:p>
        </w:tc>
        <w:tc>
          <w:tcPr>
            <w:tcW w:w="2268" w:type="dxa"/>
            <w:vAlign w:val="center"/>
          </w:tcPr>
          <w:p w14:paraId="5769FA51" w14:textId="77777777" w:rsidR="00BB0B0C" w:rsidRPr="00FD545F" w:rsidRDefault="00BB0B0C" w:rsidP="00BB0B0C">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0.4 (-0.6-1.4)</w:t>
            </w:r>
          </w:p>
        </w:tc>
        <w:tc>
          <w:tcPr>
            <w:tcW w:w="2268" w:type="dxa"/>
            <w:vAlign w:val="center"/>
          </w:tcPr>
          <w:p w14:paraId="17B4E5AC"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36.0 (16.9-55.0)</w:t>
            </w:r>
          </w:p>
        </w:tc>
        <w:tc>
          <w:tcPr>
            <w:tcW w:w="2268" w:type="dxa"/>
            <w:vAlign w:val="center"/>
          </w:tcPr>
          <w:p w14:paraId="11DBAEB6"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7.7 (3.3-12.1)</w:t>
            </w:r>
          </w:p>
        </w:tc>
      </w:tr>
      <w:tr w:rsidR="00BB0B0C" w:rsidRPr="00FD545F" w14:paraId="2596F5C6" w14:textId="77777777" w:rsidTr="00BB0B0C">
        <w:trPr>
          <w:gridAfter w:val="1"/>
          <w:wAfter w:w="13" w:type="dxa"/>
          <w:trHeight w:val="578"/>
        </w:trPr>
        <w:tc>
          <w:tcPr>
            <w:tcW w:w="2268" w:type="dxa"/>
            <w:noWrap/>
            <w:vAlign w:val="center"/>
          </w:tcPr>
          <w:p w14:paraId="6DD0148E" w14:textId="09292DAB"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Oral rehydration therapy</w:t>
            </w:r>
          </w:p>
        </w:tc>
        <w:tc>
          <w:tcPr>
            <w:tcW w:w="2268" w:type="dxa"/>
            <w:vAlign w:val="center"/>
            <w:hideMark/>
          </w:tcPr>
          <w:p w14:paraId="62B16C8B" w14:textId="77777777" w:rsidR="00BB0B0C" w:rsidRPr="00FD545F" w:rsidRDefault="00BB0B0C" w:rsidP="00BB0B0C">
            <w:pPr>
              <w:widowControl/>
              <w:spacing w:line="276" w:lineRule="auto"/>
              <w:jc w:val="center"/>
              <w:rPr>
                <w:rFonts w:ascii="Times New Roman" w:eastAsia="游ゴシック" w:hAnsi="Times New Roman" w:cs="Times New Roman"/>
                <w:color w:val="000000" w:themeColor="text1"/>
                <w:sz w:val="20"/>
                <w:szCs w:val="20"/>
                <w:lang w:val="en-US"/>
              </w:rPr>
            </w:pPr>
            <w:r w:rsidRPr="00FD545F">
              <w:rPr>
                <w:rFonts w:ascii="Times New Roman" w:eastAsia="游ゴシック" w:hAnsi="Times New Roman" w:cs="Times New Roman"/>
                <w:color w:val="000000"/>
                <w:sz w:val="20"/>
                <w:szCs w:val="20"/>
              </w:rPr>
              <w:t>-2.1 (-3.7-0.4)</w:t>
            </w:r>
          </w:p>
        </w:tc>
        <w:tc>
          <w:tcPr>
            <w:tcW w:w="2268" w:type="dxa"/>
            <w:vAlign w:val="center"/>
          </w:tcPr>
          <w:p w14:paraId="4B9DEC22" w14:textId="13E7E329" w:rsidR="00BB0B0C" w:rsidRPr="00FD545F" w:rsidRDefault="00BB0B0C" w:rsidP="00BB0B0C">
            <w:pPr>
              <w:spacing w:line="276" w:lineRule="auto"/>
              <w:jc w:val="center"/>
              <w:rPr>
                <w:rFonts w:ascii="Times New Roman" w:eastAsia="游ゴシック"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36.2 (12.7-59.7)</w:t>
            </w:r>
          </w:p>
        </w:tc>
        <w:tc>
          <w:tcPr>
            <w:tcW w:w="2268" w:type="dxa"/>
            <w:vAlign w:val="center"/>
            <w:hideMark/>
          </w:tcPr>
          <w:p w14:paraId="0478B3D0" w14:textId="77777777" w:rsidR="00BB0B0C" w:rsidRPr="00FD545F" w:rsidRDefault="00BB0B0C" w:rsidP="00BB0B0C">
            <w:pPr>
              <w:spacing w:line="276" w:lineRule="auto"/>
              <w:jc w:val="center"/>
              <w:rPr>
                <w:rFonts w:ascii="Times New Roman" w:eastAsia="游ゴシック"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9.6 (4.4-14.7)</w:t>
            </w:r>
          </w:p>
        </w:tc>
      </w:tr>
      <w:tr w:rsidR="00BB0B0C" w:rsidRPr="00FD545F" w14:paraId="43AD269D" w14:textId="77777777" w:rsidTr="00BB0B0C">
        <w:trPr>
          <w:gridAfter w:val="1"/>
          <w:wAfter w:w="13" w:type="dxa"/>
          <w:trHeight w:val="578"/>
        </w:trPr>
        <w:tc>
          <w:tcPr>
            <w:tcW w:w="2268" w:type="dxa"/>
            <w:noWrap/>
            <w:vAlign w:val="center"/>
          </w:tcPr>
          <w:p w14:paraId="2B5F8426" w14:textId="0BC9A64E"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Improved water sources</w:t>
            </w:r>
          </w:p>
        </w:tc>
        <w:tc>
          <w:tcPr>
            <w:tcW w:w="2268" w:type="dxa"/>
            <w:vAlign w:val="center"/>
            <w:hideMark/>
          </w:tcPr>
          <w:p w14:paraId="0A5D69C5" w14:textId="77777777" w:rsidR="00BB0B0C" w:rsidRPr="00FD545F" w:rsidRDefault="00BB0B0C" w:rsidP="00BB0B0C">
            <w:pPr>
              <w:widowControl/>
              <w:spacing w:line="276" w:lineRule="auto"/>
              <w:jc w:val="center"/>
              <w:rPr>
                <w:rFonts w:ascii="Times New Roman" w:eastAsia="游ゴシック" w:hAnsi="Times New Roman" w:cs="Times New Roman"/>
                <w:color w:val="000000" w:themeColor="text1"/>
                <w:sz w:val="20"/>
                <w:szCs w:val="20"/>
                <w:lang w:val="en-US"/>
              </w:rPr>
            </w:pPr>
            <w:r w:rsidRPr="00FD545F">
              <w:rPr>
                <w:rFonts w:ascii="Times New Roman" w:eastAsia="游ゴシック" w:hAnsi="Times New Roman" w:cs="Times New Roman"/>
                <w:color w:val="000000"/>
                <w:sz w:val="20"/>
                <w:szCs w:val="20"/>
              </w:rPr>
              <w:t>66.5 (56.1-76.8)</w:t>
            </w:r>
          </w:p>
        </w:tc>
        <w:tc>
          <w:tcPr>
            <w:tcW w:w="2268" w:type="dxa"/>
            <w:vAlign w:val="center"/>
          </w:tcPr>
          <w:p w14:paraId="3CAF5460" w14:textId="77777777" w:rsidR="00BB0B0C" w:rsidRPr="00FD545F" w:rsidRDefault="00BB0B0C" w:rsidP="00BB0B0C">
            <w:pPr>
              <w:spacing w:line="276" w:lineRule="auto"/>
              <w:jc w:val="center"/>
              <w:rPr>
                <w:rFonts w:ascii="Times New Roman" w:eastAsia="游ゴシック"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2.7 (0.2-5.3)</w:t>
            </w:r>
          </w:p>
        </w:tc>
        <w:tc>
          <w:tcPr>
            <w:tcW w:w="2268" w:type="dxa"/>
            <w:vAlign w:val="center"/>
            <w:hideMark/>
          </w:tcPr>
          <w:p w14:paraId="2D44CE5A" w14:textId="77777777" w:rsidR="00BB0B0C" w:rsidRPr="00FD545F" w:rsidRDefault="00BB0B0C" w:rsidP="00BB0B0C">
            <w:pPr>
              <w:spacing w:line="276" w:lineRule="auto"/>
              <w:jc w:val="center"/>
              <w:rPr>
                <w:rFonts w:ascii="Times New Roman" w:eastAsia="游ゴシック" w:hAnsi="Times New Roman" w:cs="Times New Roman"/>
                <w:color w:val="000000" w:themeColor="text1"/>
                <w:sz w:val="20"/>
                <w:szCs w:val="20"/>
              </w:rPr>
            </w:pPr>
            <w:r w:rsidRPr="00FD545F">
              <w:rPr>
                <w:rFonts w:ascii="Times New Roman" w:eastAsia="游ゴシック" w:hAnsi="Times New Roman" w:cs="Times New Roman"/>
                <w:color w:val="000000"/>
                <w:sz w:val="20"/>
                <w:szCs w:val="20"/>
              </w:rPr>
              <w:t>4.9 (2.4-7.3)</w:t>
            </w:r>
          </w:p>
        </w:tc>
      </w:tr>
      <w:tr w:rsidR="00BB0B0C" w:rsidRPr="00FD545F" w14:paraId="67F2263A" w14:textId="77777777" w:rsidTr="00BB0B0C">
        <w:trPr>
          <w:gridAfter w:val="1"/>
          <w:wAfter w:w="13" w:type="dxa"/>
          <w:trHeight w:val="578"/>
        </w:trPr>
        <w:tc>
          <w:tcPr>
            <w:tcW w:w="2268" w:type="dxa"/>
            <w:noWrap/>
            <w:vAlign w:val="center"/>
          </w:tcPr>
          <w:p w14:paraId="64AF3FA8" w14:textId="51FDC61E" w:rsidR="00BB0B0C" w:rsidRPr="00FD545F" w:rsidRDefault="00BB0B0C" w:rsidP="00BB0B0C">
            <w:pPr>
              <w:widowControl/>
              <w:spacing w:line="276" w:lineRule="auto"/>
              <w:jc w:val="left"/>
              <w:rPr>
                <w:rFonts w:ascii="Times New Roman" w:eastAsia="ＭＳ Ｐゴシック" w:hAnsi="Times New Roman" w:cs="Times New Roman"/>
                <w:color w:val="000000"/>
                <w:kern w:val="0"/>
                <w:sz w:val="20"/>
                <w:szCs w:val="20"/>
                <w:lang w:val="en-US"/>
              </w:rPr>
            </w:pPr>
            <w:r w:rsidRPr="00FD545F">
              <w:rPr>
                <w:rFonts w:ascii="Times New Roman" w:eastAsia="ＭＳ Ｐゴシック" w:hAnsi="Times New Roman" w:cs="Times New Roman"/>
                <w:color w:val="000000"/>
                <w:kern w:val="0"/>
                <w:sz w:val="20"/>
                <w:szCs w:val="20"/>
                <w:lang w:val="en-US"/>
              </w:rPr>
              <w:t>Adequate sanitation</w:t>
            </w:r>
          </w:p>
        </w:tc>
        <w:tc>
          <w:tcPr>
            <w:tcW w:w="2268" w:type="dxa"/>
            <w:tcBorders>
              <w:top w:val="nil"/>
              <w:left w:val="nil"/>
              <w:right w:val="nil"/>
            </w:tcBorders>
            <w:shd w:val="clear" w:color="auto" w:fill="auto"/>
            <w:vAlign w:val="center"/>
            <w:hideMark/>
          </w:tcPr>
          <w:p w14:paraId="3229FC14" w14:textId="77777777" w:rsidR="00BB0B0C" w:rsidRPr="00FD545F" w:rsidRDefault="00BB0B0C" w:rsidP="00BB0B0C">
            <w:pPr>
              <w:widowControl/>
              <w:spacing w:line="276" w:lineRule="auto"/>
              <w:jc w:val="center"/>
              <w:rPr>
                <w:rFonts w:ascii="Times New Roman" w:hAnsi="Times New Roman" w:cs="Times New Roman"/>
                <w:sz w:val="20"/>
                <w:szCs w:val="20"/>
                <w:lang w:val="en-US"/>
              </w:rPr>
            </w:pPr>
            <w:r w:rsidRPr="00FD545F">
              <w:rPr>
                <w:rFonts w:ascii="Times New Roman" w:eastAsia="游ゴシック" w:hAnsi="Times New Roman" w:cs="Times New Roman"/>
                <w:color w:val="000000"/>
                <w:sz w:val="20"/>
                <w:szCs w:val="20"/>
              </w:rPr>
              <w:t>55.5 (37.9-73.1)</w:t>
            </w:r>
          </w:p>
        </w:tc>
        <w:tc>
          <w:tcPr>
            <w:tcW w:w="2268" w:type="dxa"/>
            <w:tcBorders>
              <w:top w:val="nil"/>
              <w:left w:val="nil"/>
              <w:right w:val="nil"/>
            </w:tcBorders>
            <w:shd w:val="clear" w:color="auto" w:fill="auto"/>
            <w:vAlign w:val="center"/>
          </w:tcPr>
          <w:p w14:paraId="0FB86243"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6.9 (1.1-12.6)</w:t>
            </w:r>
          </w:p>
        </w:tc>
        <w:tc>
          <w:tcPr>
            <w:tcW w:w="2268" w:type="dxa"/>
            <w:tcBorders>
              <w:top w:val="nil"/>
              <w:left w:val="nil"/>
              <w:right w:val="nil"/>
            </w:tcBorders>
            <w:shd w:val="clear" w:color="auto" w:fill="auto"/>
            <w:vAlign w:val="center"/>
            <w:hideMark/>
          </w:tcPr>
          <w:p w14:paraId="2F9E5365" w14:textId="77777777" w:rsidR="00BB0B0C" w:rsidRPr="00FD545F" w:rsidRDefault="00BB0B0C" w:rsidP="00BB0B0C">
            <w:pPr>
              <w:spacing w:line="276" w:lineRule="auto"/>
              <w:jc w:val="center"/>
              <w:rPr>
                <w:rFonts w:ascii="Times New Roman" w:hAnsi="Times New Roman" w:cs="Times New Roman"/>
                <w:sz w:val="20"/>
                <w:szCs w:val="20"/>
              </w:rPr>
            </w:pPr>
            <w:r w:rsidRPr="00FD545F">
              <w:rPr>
                <w:rFonts w:ascii="Times New Roman" w:eastAsia="游ゴシック" w:hAnsi="Times New Roman" w:cs="Times New Roman"/>
                <w:color w:val="000000"/>
                <w:sz w:val="20"/>
                <w:szCs w:val="20"/>
              </w:rPr>
              <w:t>0.0 (0.0-0.0)</w:t>
            </w:r>
          </w:p>
        </w:tc>
      </w:tr>
    </w:tbl>
    <w:p w14:paraId="386F31E5" w14:textId="3E561F24" w:rsidR="007E4BD0" w:rsidRPr="00FD545F" w:rsidRDefault="007E4BD0" w:rsidP="007E4BD0">
      <w:pPr>
        <w:widowControl/>
        <w:jc w:val="left"/>
        <w:rPr>
          <w:rFonts w:ascii="Times New Roman" w:hAnsi="Times New Roman" w:cs="Times New Roman"/>
          <w:sz w:val="20"/>
          <w:szCs w:val="20"/>
        </w:rPr>
      </w:pPr>
      <w:r w:rsidRPr="00FD545F">
        <w:rPr>
          <w:rFonts w:ascii="Times New Roman" w:hAnsi="Times New Roman" w:cs="Times New Roman"/>
          <w:sz w:val="20"/>
          <w:szCs w:val="20"/>
          <w:lang w:val="en-US"/>
        </w:rPr>
        <w:t xml:space="preserve">SII, slope index of inequality; CI, confidence interval; </w:t>
      </w:r>
      <w:r w:rsidRPr="00FD545F">
        <w:rPr>
          <w:rFonts w:ascii="Times New Roman" w:hAnsi="Times New Roman" w:cs="Times New Roman"/>
          <w:sz w:val="20"/>
          <w:szCs w:val="20"/>
        </w:rPr>
        <w:t>FPNS, family planning needs satisfied; ANC1, at least one antenatal care visit; ANC4, at least four antenatal care visits; ARI treatment, acute respiratory infection treatment for pneumonia</w:t>
      </w:r>
    </w:p>
    <w:p w14:paraId="08F57AA7" w14:textId="4C6F1296" w:rsidR="00F074DE" w:rsidRPr="00FD545F" w:rsidRDefault="00F074DE" w:rsidP="007E4BD0">
      <w:pPr>
        <w:widowControl/>
        <w:jc w:val="left"/>
        <w:rPr>
          <w:rFonts w:ascii="Times New Roman" w:hAnsi="Times New Roman" w:cs="Times New Roman"/>
          <w:sz w:val="20"/>
          <w:szCs w:val="20"/>
        </w:rPr>
      </w:pPr>
    </w:p>
    <w:p w14:paraId="5C28EDFD" w14:textId="59922080" w:rsidR="00F074DE" w:rsidRPr="00FD545F" w:rsidRDefault="00F074DE">
      <w:pPr>
        <w:widowControl/>
        <w:jc w:val="left"/>
        <w:rPr>
          <w:rFonts w:ascii="Times New Roman" w:hAnsi="Times New Roman" w:cs="Times New Roman"/>
          <w:sz w:val="20"/>
          <w:szCs w:val="20"/>
        </w:rPr>
      </w:pPr>
      <w:r w:rsidRPr="00FD545F">
        <w:rPr>
          <w:rFonts w:ascii="Times New Roman" w:hAnsi="Times New Roman" w:cs="Times New Roman"/>
          <w:sz w:val="20"/>
          <w:szCs w:val="20"/>
        </w:rPr>
        <w:br w:type="page"/>
      </w:r>
    </w:p>
    <w:p w14:paraId="1B1BF313" w14:textId="0FFE840E" w:rsidR="00436817" w:rsidRPr="00FD545F" w:rsidRDefault="00436817" w:rsidP="00436817">
      <w:pPr>
        <w:ind w:right="-2"/>
        <w:rPr>
          <w:rFonts w:ascii="Times New Roman" w:hAnsi="Times New Roman" w:cs="Times New Roman"/>
          <w:b/>
          <w:bCs/>
          <w:sz w:val="24"/>
          <w:szCs w:val="24"/>
          <w:lang w:val="en-US"/>
        </w:rPr>
      </w:pPr>
      <w:r w:rsidRPr="00FD545F">
        <w:rPr>
          <w:rFonts w:ascii="Times New Roman" w:eastAsia="游ゴシック" w:hAnsi="Times New Roman" w:cs="Times New Roman"/>
          <w:b/>
          <w:bCs/>
          <w:color w:val="000000"/>
          <w:kern w:val="0"/>
          <w:sz w:val="24"/>
          <w:szCs w:val="24"/>
          <w:lang w:val="en-US"/>
        </w:rPr>
        <w:lastRenderedPageBreak/>
        <w:t xml:space="preserve">Appendix section </w:t>
      </w:r>
      <w:r w:rsidR="00A94D17" w:rsidRPr="00FD545F">
        <w:rPr>
          <w:rFonts w:ascii="Times New Roman" w:eastAsia="游ゴシック" w:hAnsi="Times New Roman" w:cs="Times New Roman"/>
          <w:b/>
          <w:bCs/>
          <w:color w:val="000000"/>
          <w:kern w:val="0"/>
          <w:sz w:val="24"/>
          <w:szCs w:val="24"/>
          <w:lang w:val="en-US"/>
        </w:rPr>
        <w:t>8</w:t>
      </w:r>
      <w:r w:rsidRPr="00FD545F">
        <w:rPr>
          <w:rFonts w:ascii="Times New Roman" w:eastAsia="游ゴシック" w:hAnsi="Times New Roman" w:cs="Times New Roman"/>
          <w:b/>
          <w:bCs/>
          <w:color w:val="000000"/>
          <w:kern w:val="0"/>
          <w:sz w:val="24"/>
          <w:szCs w:val="24"/>
          <w:lang w:val="en-US"/>
        </w:rPr>
        <w:t xml:space="preserve">. </w:t>
      </w:r>
      <w:r w:rsidRPr="00FD545F">
        <w:rPr>
          <w:rFonts w:ascii="Times New Roman" w:hAnsi="Times New Roman" w:cs="Times New Roman"/>
          <w:b/>
          <w:bCs/>
          <w:sz w:val="24"/>
          <w:szCs w:val="24"/>
        </w:rPr>
        <w:t>Subnational-level</w:t>
      </w:r>
      <w:r w:rsidRPr="00FD545F">
        <w:rPr>
          <w:rFonts w:ascii="Times New Roman" w:hAnsi="Times New Roman" w:cs="Times New Roman"/>
          <w:b/>
          <w:bCs/>
          <w:sz w:val="24"/>
          <w:szCs w:val="24"/>
          <w:lang w:val="en-US"/>
        </w:rPr>
        <w:t xml:space="preserve"> catastrophic health expenditure </w:t>
      </w:r>
      <w:r w:rsidRPr="00FD545F">
        <w:rPr>
          <w:rFonts w:ascii="Times New Roman" w:hAnsi="Times New Roman" w:cs="Times New Roman"/>
          <w:b/>
          <w:bCs/>
          <w:sz w:val="24"/>
          <w:szCs w:val="24"/>
        </w:rPr>
        <w:t xml:space="preserve">by </w:t>
      </w:r>
      <w:r w:rsidR="00D367A3" w:rsidRPr="00FD545F">
        <w:rPr>
          <w:rFonts w:ascii="Times New Roman" w:hAnsi="Times New Roman" w:cs="Times New Roman"/>
          <w:b/>
          <w:bCs/>
          <w:sz w:val="24"/>
          <w:szCs w:val="24"/>
        </w:rPr>
        <w:t>place of residence</w:t>
      </w:r>
      <w:r w:rsidRPr="00FD545F">
        <w:rPr>
          <w:rFonts w:ascii="Times New Roman" w:hAnsi="Times New Roman" w:cs="Times New Roman"/>
          <w:b/>
          <w:bCs/>
          <w:sz w:val="24"/>
          <w:szCs w:val="24"/>
        </w:rPr>
        <w:t xml:space="preserve"> </w:t>
      </w:r>
    </w:p>
    <w:p w14:paraId="68A4352C" w14:textId="7E98D895" w:rsidR="00436817" w:rsidRPr="00FD545F" w:rsidRDefault="00436817" w:rsidP="00CF7EE7">
      <w:pPr>
        <w:ind w:right="-2"/>
        <w:rPr>
          <w:rFonts w:ascii="Times New Roman" w:eastAsia="游ゴシック" w:hAnsi="Times New Roman" w:cs="Times New Roman"/>
          <w:b/>
          <w:bCs/>
          <w:color w:val="000000"/>
          <w:kern w:val="0"/>
          <w:sz w:val="24"/>
          <w:szCs w:val="24"/>
          <w:lang w:val="en-US"/>
        </w:rPr>
      </w:pPr>
    </w:p>
    <w:p w14:paraId="1CCC3497" w14:textId="77777777" w:rsidR="00436817" w:rsidRPr="00FD545F" w:rsidRDefault="00436817" w:rsidP="00436817">
      <w:pPr>
        <w:ind w:rightChars="-405" w:right="-850" w:firstLine="1"/>
        <w:rPr>
          <w:rFonts w:ascii="Times New Roman" w:hAnsi="Times New Roman" w:cs="Times New Roman"/>
          <w:sz w:val="24"/>
          <w:szCs w:val="24"/>
          <w:lang w:val="en-US"/>
        </w:rPr>
      </w:pPr>
      <w:r w:rsidRPr="00FD545F">
        <w:rPr>
          <w:rFonts w:ascii="Times New Roman" w:hAnsi="Times New Roman" w:cs="Times New Roman"/>
          <w:noProof/>
          <w:sz w:val="24"/>
          <w:szCs w:val="24"/>
          <w:lang w:val="en-US" w:eastAsia="en-US"/>
        </w:rPr>
        <w:drawing>
          <wp:inline distT="0" distB="0" distL="0" distR="0" wp14:anchorId="6262CF98" wp14:editId="03C2EB70">
            <wp:extent cx="5768340" cy="3595404"/>
            <wp:effectExtent l="0" t="0" r="3810" b="508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5489" cy="3618559"/>
                    </a:xfrm>
                    <a:prstGeom prst="rect">
                      <a:avLst/>
                    </a:prstGeom>
                    <a:noFill/>
                    <a:ln>
                      <a:noFill/>
                    </a:ln>
                  </pic:spPr>
                </pic:pic>
              </a:graphicData>
            </a:graphic>
          </wp:inline>
        </w:drawing>
      </w:r>
    </w:p>
    <w:p w14:paraId="610A37A8" w14:textId="77777777" w:rsidR="00436817" w:rsidRPr="00FD545F" w:rsidRDefault="00436817" w:rsidP="00436817">
      <w:pPr>
        <w:ind w:rightChars="-405" w:right="-850" w:firstLine="1"/>
        <w:rPr>
          <w:rFonts w:ascii="Times New Roman" w:hAnsi="Times New Roman" w:cs="Times New Roman"/>
          <w:sz w:val="24"/>
          <w:szCs w:val="24"/>
          <w:lang w:val="en-US"/>
        </w:rPr>
      </w:pPr>
    </w:p>
    <w:p w14:paraId="600607B7" w14:textId="5164317A" w:rsidR="00436817" w:rsidRPr="00FD545F" w:rsidRDefault="00A12BEC" w:rsidP="00436817">
      <w:pPr>
        <w:ind w:right="-2"/>
        <w:rPr>
          <w:rFonts w:ascii="Times New Roman" w:hAnsi="Times New Roman" w:cs="Times New Roman"/>
          <w:b/>
          <w:bCs/>
          <w:sz w:val="24"/>
          <w:szCs w:val="24"/>
          <w:lang w:val="en-US"/>
        </w:rPr>
      </w:pPr>
      <w:r>
        <w:rPr>
          <w:rFonts w:ascii="Times New Roman" w:hAnsi="Times New Roman" w:cs="Times New Roman"/>
          <w:b/>
          <w:bCs/>
          <w:sz w:val="24"/>
          <w:szCs w:val="24"/>
        </w:rPr>
        <w:t>Figure</w:t>
      </w:r>
      <w:r w:rsidR="00436817" w:rsidRPr="00FD545F">
        <w:rPr>
          <w:rFonts w:ascii="Times New Roman" w:hAnsi="Times New Roman" w:cs="Times New Roman"/>
          <w:b/>
          <w:bCs/>
          <w:sz w:val="24"/>
          <w:szCs w:val="24"/>
        </w:rPr>
        <w:t xml:space="preserve"> </w:t>
      </w:r>
      <w:r w:rsidR="00050FF5" w:rsidRPr="00FD545F">
        <w:rPr>
          <w:rFonts w:ascii="Times New Roman" w:hAnsi="Times New Roman" w:cs="Times New Roman"/>
          <w:b/>
          <w:bCs/>
          <w:sz w:val="24"/>
          <w:szCs w:val="24"/>
        </w:rPr>
        <w:t>A</w:t>
      </w:r>
      <w:r w:rsidR="007408B3" w:rsidRPr="00FD545F">
        <w:rPr>
          <w:rFonts w:ascii="Times New Roman" w:hAnsi="Times New Roman" w:cs="Times New Roman"/>
          <w:b/>
          <w:bCs/>
          <w:sz w:val="24"/>
          <w:szCs w:val="24"/>
        </w:rPr>
        <w:t>8</w:t>
      </w:r>
      <w:r w:rsidR="00436817" w:rsidRPr="00FD545F">
        <w:rPr>
          <w:rFonts w:ascii="Times New Roman" w:hAnsi="Times New Roman" w:cs="Times New Roman"/>
          <w:b/>
          <w:bCs/>
          <w:sz w:val="24"/>
          <w:szCs w:val="24"/>
        </w:rPr>
        <w:t xml:space="preserve">: </w:t>
      </w:r>
      <w:r w:rsidR="00436817" w:rsidRPr="00FD545F">
        <w:rPr>
          <w:rFonts w:ascii="Times New Roman" w:hAnsi="Times New Roman" w:cs="Times New Roman"/>
          <w:b/>
          <w:bCs/>
          <w:sz w:val="24"/>
          <w:szCs w:val="24"/>
          <w:lang w:val="en-US"/>
        </w:rPr>
        <w:t>Residence-specific incidence of catastrophic health expenditure at the national and subnational level in Iraq, 2007 and 2012</w:t>
      </w:r>
    </w:p>
    <w:p w14:paraId="48B9D925" w14:textId="67CEECC5" w:rsidR="00436817" w:rsidRPr="00FD545F" w:rsidRDefault="00436817">
      <w:pPr>
        <w:widowControl/>
        <w:jc w:val="left"/>
        <w:rPr>
          <w:rFonts w:ascii="Times New Roman" w:eastAsia="游ゴシック" w:hAnsi="Times New Roman" w:cs="Times New Roman"/>
          <w:b/>
          <w:bCs/>
          <w:color w:val="000000"/>
          <w:kern w:val="0"/>
          <w:sz w:val="24"/>
          <w:szCs w:val="24"/>
          <w:lang w:val="en-US"/>
        </w:rPr>
      </w:pPr>
      <w:r w:rsidRPr="00FD545F">
        <w:rPr>
          <w:rFonts w:ascii="Times New Roman" w:eastAsia="游ゴシック" w:hAnsi="Times New Roman" w:cs="Times New Roman"/>
          <w:b/>
          <w:bCs/>
          <w:color w:val="000000"/>
          <w:kern w:val="0"/>
          <w:sz w:val="24"/>
          <w:szCs w:val="24"/>
          <w:lang w:val="en-US"/>
        </w:rPr>
        <w:br w:type="page"/>
      </w:r>
    </w:p>
    <w:p w14:paraId="45972A40" w14:textId="13EEC7AB" w:rsidR="003C6464" w:rsidRPr="00FD545F" w:rsidRDefault="00F074DE" w:rsidP="00436817">
      <w:pPr>
        <w:ind w:right="-2"/>
        <w:rPr>
          <w:rFonts w:ascii="Times New Roman" w:hAnsi="Times New Roman" w:cs="Times New Roman"/>
          <w:b/>
          <w:bCs/>
          <w:sz w:val="22"/>
        </w:rPr>
      </w:pPr>
      <w:r w:rsidRPr="00FD545F">
        <w:rPr>
          <w:rFonts w:ascii="Times New Roman" w:eastAsia="游ゴシック" w:hAnsi="Times New Roman" w:cs="Times New Roman"/>
          <w:b/>
          <w:bCs/>
          <w:color w:val="000000"/>
          <w:kern w:val="0"/>
          <w:sz w:val="24"/>
          <w:szCs w:val="24"/>
          <w:lang w:val="en-US"/>
        </w:rPr>
        <w:lastRenderedPageBreak/>
        <w:t xml:space="preserve">Appendix section </w:t>
      </w:r>
      <w:r w:rsidR="00A94D17" w:rsidRPr="00FD545F">
        <w:rPr>
          <w:rFonts w:ascii="Times New Roman" w:eastAsia="游ゴシック" w:hAnsi="Times New Roman" w:cs="Times New Roman"/>
          <w:b/>
          <w:bCs/>
          <w:color w:val="000000"/>
          <w:kern w:val="0"/>
          <w:sz w:val="24"/>
          <w:szCs w:val="24"/>
          <w:lang w:val="en-US"/>
        </w:rPr>
        <w:t>9</w:t>
      </w:r>
      <w:r w:rsidRPr="00FD545F">
        <w:rPr>
          <w:rFonts w:ascii="Times New Roman" w:eastAsia="游ゴシック" w:hAnsi="Times New Roman" w:cs="Times New Roman"/>
          <w:b/>
          <w:bCs/>
          <w:color w:val="000000"/>
          <w:kern w:val="0"/>
          <w:sz w:val="24"/>
          <w:szCs w:val="24"/>
          <w:lang w:val="en-US"/>
        </w:rPr>
        <w:t xml:space="preserve">. </w:t>
      </w:r>
      <w:r w:rsidR="00ED5A56" w:rsidRPr="00FD545F">
        <w:rPr>
          <w:rFonts w:ascii="Times New Roman" w:eastAsia="游ゴシック" w:hAnsi="Times New Roman" w:cs="Times New Roman"/>
          <w:b/>
          <w:bCs/>
          <w:color w:val="000000"/>
          <w:kern w:val="0"/>
          <w:sz w:val="24"/>
          <w:szCs w:val="24"/>
          <w:lang w:val="en-US"/>
        </w:rPr>
        <w:t>Sub</w:t>
      </w:r>
      <w:r w:rsidR="00ED5A56" w:rsidRPr="00FD545F">
        <w:rPr>
          <w:rFonts w:ascii="Times New Roman" w:hAnsi="Times New Roman" w:cs="Times New Roman"/>
          <w:b/>
          <w:bCs/>
          <w:sz w:val="24"/>
          <w:szCs w:val="24"/>
        </w:rPr>
        <w:t>national-level</w:t>
      </w:r>
      <w:r w:rsidR="00ED5A56" w:rsidRPr="00FD545F">
        <w:rPr>
          <w:rFonts w:ascii="Times New Roman" w:hAnsi="Times New Roman" w:cs="Times New Roman"/>
          <w:b/>
          <w:bCs/>
          <w:sz w:val="24"/>
          <w:szCs w:val="24"/>
          <w:lang w:val="en-US"/>
        </w:rPr>
        <w:t xml:space="preserve"> catastrophic health expenditure: </w:t>
      </w:r>
      <w:r w:rsidR="00ED5A56" w:rsidRPr="00FD545F">
        <w:rPr>
          <w:rFonts w:ascii="Times New Roman" w:hAnsi="Times New Roman" w:cs="Times New Roman"/>
          <w:b/>
          <w:bCs/>
          <w:sz w:val="24"/>
          <w:szCs w:val="24"/>
        </w:rPr>
        <w:t>s</w:t>
      </w:r>
      <w:r w:rsidR="00ED5A56" w:rsidRPr="00FD545F">
        <w:rPr>
          <w:rFonts w:ascii="Times New Roman" w:hAnsi="Times New Roman" w:cs="Times New Roman"/>
          <w:b/>
          <w:bCs/>
          <w:sz w:val="24"/>
          <w:szCs w:val="24"/>
          <w:lang w:val="en-US"/>
        </w:rPr>
        <w:t>lope index of inequality and wealth quintile-specific incidence</w:t>
      </w:r>
    </w:p>
    <w:p w14:paraId="28D95233" w14:textId="77777777" w:rsidR="00F074DE" w:rsidRPr="00FD545F" w:rsidRDefault="00F074DE" w:rsidP="00436817">
      <w:pPr>
        <w:ind w:rightChars="-405" w:right="-850"/>
        <w:rPr>
          <w:rFonts w:ascii="Times New Roman" w:hAnsi="Times New Roman" w:cs="Times New Roman"/>
          <w:b/>
          <w:bCs/>
          <w:sz w:val="22"/>
        </w:rPr>
      </w:pPr>
    </w:p>
    <w:p w14:paraId="523142CF" w14:textId="1512EB86" w:rsidR="001B3E18" w:rsidRPr="00FD545F" w:rsidRDefault="001B3E18" w:rsidP="00FC1EB6">
      <w:pPr>
        <w:widowControl/>
        <w:jc w:val="left"/>
        <w:rPr>
          <w:rFonts w:ascii="Times New Roman" w:hAnsi="Times New Roman" w:cs="Times New Roman"/>
          <w:sz w:val="18"/>
          <w:szCs w:val="18"/>
          <w:lang w:val="en-US"/>
        </w:rPr>
      </w:pPr>
      <w:r w:rsidRPr="00FD545F">
        <w:rPr>
          <w:rFonts w:ascii="Times New Roman" w:hAnsi="Times New Roman" w:cs="Times New Roman"/>
          <w:noProof/>
          <w:sz w:val="18"/>
          <w:szCs w:val="18"/>
          <w:lang w:val="en-US" w:eastAsia="en-US"/>
        </w:rPr>
        <w:drawing>
          <wp:inline distT="0" distB="0" distL="0" distR="0" wp14:anchorId="22651BF6" wp14:editId="4D6CF0F8">
            <wp:extent cx="4488180" cy="3418205"/>
            <wp:effectExtent l="0" t="0" r="7620" b="0"/>
            <wp:docPr id="21" name="図 8">
              <a:extLst xmlns:a="http://schemas.openxmlformats.org/drawingml/2006/main">
                <a:ext uri="{FF2B5EF4-FFF2-40B4-BE49-F238E27FC236}">
                  <a16:creationId xmlns:a16="http://schemas.microsoft.com/office/drawing/2014/main" id="{63BAB001-77CD-48A6-9F52-4F80D872E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63BAB001-77CD-48A6-9F52-4F80D872EAC5}"/>
                        </a:ext>
                      </a:extLst>
                    </pic:cNvPr>
                    <pic:cNvPicPr>
                      <a:picLocks noChangeAspect="1"/>
                    </pic:cNvPicPr>
                  </pic:nvPicPr>
                  <pic:blipFill>
                    <a:blip r:embed="rId9"/>
                    <a:stretch>
                      <a:fillRect/>
                    </a:stretch>
                  </pic:blipFill>
                  <pic:spPr>
                    <a:xfrm>
                      <a:off x="0" y="0"/>
                      <a:ext cx="4488501" cy="3418449"/>
                    </a:xfrm>
                    <a:prstGeom prst="rect">
                      <a:avLst/>
                    </a:prstGeom>
                  </pic:spPr>
                </pic:pic>
              </a:graphicData>
            </a:graphic>
          </wp:inline>
        </w:drawing>
      </w:r>
    </w:p>
    <w:p w14:paraId="2D554C13" w14:textId="77777777" w:rsidR="009F34B4" w:rsidRPr="00FD545F" w:rsidRDefault="009F34B4" w:rsidP="009F34B4">
      <w:pPr>
        <w:widowControl/>
        <w:ind w:firstLineChars="2200" w:firstLine="2640"/>
        <w:rPr>
          <w:rFonts w:ascii="Arial" w:hAnsi="Arial" w:cs="Arial"/>
          <w:bCs/>
          <w:sz w:val="16"/>
          <w:szCs w:val="16"/>
        </w:rPr>
      </w:pPr>
      <w:r w:rsidRPr="00FD545F">
        <w:rPr>
          <w:rFonts w:ascii="Arial" w:hAnsi="Arial" w:cs="Arial" w:hint="eastAsia"/>
          <w:bCs/>
          <w:color w:val="4472C4" w:themeColor="accent1"/>
          <w:sz w:val="12"/>
          <w:szCs w:val="12"/>
        </w:rPr>
        <w:t>●</w:t>
      </w:r>
      <w:r w:rsidRPr="00FD545F">
        <w:rPr>
          <w:rFonts w:ascii="Arial" w:hAnsi="Arial" w:cs="Arial"/>
          <w:bCs/>
          <w:sz w:val="16"/>
          <w:szCs w:val="16"/>
        </w:rPr>
        <w:t xml:space="preserve"> </w:t>
      </w:r>
      <w:r w:rsidRPr="00FD545F">
        <w:rPr>
          <w:rFonts w:ascii="Arial" w:hAnsi="Arial" w:cs="Arial"/>
          <w:b/>
          <w:sz w:val="14"/>
          <w:szCs w:val="14"/>
        </w:rPr>
        <w:t>2007</w:t>
      </w:r>
      <w:r w:rsidRPr="00FD545F">
        <w:rPr>
          <w:rFonts w:ascii="Arial" w:hAnsi="Arial" w:cs="Arial"/>
          <w:bCs/>
          <w:sz w:val="16"/>
          <w:szCs w:val="16"/>
        </w:rPr>
        <w:t xml:space="preserve"> </w:t>
      </w:r>
      <w:r w:rsidRPr="00FD545F">
        <w:rPr>
          <w:rFonts w:ascii="Arial" w:hAnsi="Arial" w:cs="Arial" w:hint="eastAsia"/>
          <w:bCs/>
          <w:sz w:val="16"/>
          <w:szCs w:val="16"/>
        </w:rPr>
        <w:t xml:space="preserve">　　</w:t>
      </w:r>
      <w:r w:rsidRPr="00FD545F">
        <w:rPr>
          <w:rFonts w:ascii="Arial" w:hAnsi="Arial" w:cs="Arial" w:hint="eastAsia"/>
          <w:bCs/>
          <w:color w:val="ED7D31" w:themeColor="accent2"/>
          <w:sz w:val="12"/>
          <w:szCs w:val="12"/>
        </w:rPr>
        <w:t>●</w:t>
      </w:r>
      <w:r w:rsidRPr="00FD545F">
        <w:rPr>
          <w:rFonts w:ascii="Arial" w:hAnsi="Arial" w:cs="Arial"/>
          <w:bCs/>
          <w:sz w:val="16"/>
          <w:szCs w:val="16"/>
        </w:rPr>
        <w:t xml:space="preserve"> </w:t>
      </w:r>
      <w:r w:rsidRPr="00FD545F">
        <w:rPr>
          <w:rFonts w:ascii="Arial" w:hAnsi="Arial" w:cs="Arial"/>
          <w:b/>
          <w:sz w:val="14"/>
          <w:szCs w:val="14"/>
        </w:rPr>
        <w:t>2012</w:t>
      </w:r>
    </w:p>
    <w:p w14:paraId="46DCDF08" w14:textId="73A99589" w:rsidR="00EA57D9" w:rsidRPr="00FD545F" w:rsidRDefault="00CA763A" w:rsidP="00FC1EB6">
      <w:pPr>
        <w:widowControl/>
        <w:jc w:val="left"/>
        <w:rPr>
          <w:rFonts w:ascii="Times New Roman" w:hAnsi="Times New Roman" w:cs="Times New Roman"/>
          <w:b/>
          <w:sz w:val="24"/>
          <w:szCs w:val="24"/>
        </w:rPr>
      </w:pPr>
      <w:r>
        <w:rPr>
          <w:rFonts w:ascii="Times New Roman" w:hAnsi="Times New Roman" w:cs="Times New Roman"/>
          <w:b/>
          <w:sz w:val="24"/>
          <w:szCs w:val="24"/>
        </w:rPr>
        <w:t>Figure</w:t>
      </w:r>
      <w:r w:rsidR="00050FF5" w:rsidRPr="00FD545F">
        <w:rPr>
          <w:rFonts w:ascii="Times New Roman" w:hAnsi="Times New Roman" w:cs="Times New Roman"/>
          <w:b/>
          <w:sz w:val="24"/>
          <w:szCs w:val="24"/>
        </w:rPr>
        <w:t xml:space="preserve"> </w:t>
      </w:r>
      <w:r w:rsidR="009F3445" w:rsidRPr="00FD545F">
        <w:rPr>
          <w:rFonts w:ascii="Times New Roman" w:hAnsi="Times New Roman" w:cs="Times New Roman"/>
          <w:b/>
          <w:sz w:val="24"/>
          <w:szCs w:val="24"/>
        </w:rPr>
        <w:t>A</w:t>
      </w:r>
      <w:r w:rsidR="007408B3" w:rsidRPr="00FD545F">
        <w:rPr>
          <w:rFonts w:ascii="Times New Roman" w:hAnsi="Times New Roman" w:cs="Times New Roman"/>
          <w:b/>
          <w:sz w:val="24"/>
          <w:szCs w:val="24"/>
        </w:rPr>
        <w:t>9</w:t>
      </w:r>
      <w:r w:rsidR="00170263" w:rsidRPr="00FD545F">
        <w:rPr>
          <w:rFonts w:ascii="Times New Roman" w:hAnsi="Times New Roman" w:cs="Times New Roman"/>
          <w:b/>
          <w:sz w:val="24"/>
          <w:szCs w:val="24"/>
        </w:rPr>
        <w:t>.1</w:t>
      </w:r>
      <w:r w:rsidR="001B3E18" w:rsidRPr="00FD545F">
        <w:rPr>
          <w:rFonts w:ascii="Times New Roman" w:hAnsi="Times New Roman" w:cs="Times New Roman"/>
          <w:b/>
          <w:sz w:val="24"/>
          <w:szCs w:val="24"/>
        </w:rPr>
        <w:t>: S</w:t>
      </w:r>
      <w:r w:rsidR="001B3E18" w:rsidRPr="00FD545F">
        <w:rPr>
          <w:rFonts w:ascii="Times New Roman" w:hAnsi="Times New Roman" w:cs="Times New Roman"/>
          <w:b/>
          <w:sz w:val="24"/>
          <w:szCs w:val="24"/>
          <w:lang w:val="en-US"/>
        </w:rPr>
        <w:t>lope index of inequality in the subnational</w:t>
      </w:r>
      <w:r w:rsidR="001B3E18" w:rsidRPr="00FD545F">
        <w:rPr>
          <w:rFonts w:ascii="Times New Roman" w:hAnsi="Times New Roman" w:cs="Times New Roman"/>
          <w:b/>
          <w:sz w:val="24"/>
          <w:szCs w:val="24"/>
        </w:rPr>
        <w:t>-level catastrophic health expenditure in Iraq, 2007 and 2012</w:t>
      </w:r>
    </w:p>
    <w:p w14:paraId="6510002A" w14:textId="77777777" w:rsidR="00EA57D9" w:rsidRPr="00FD545F" w:rsidRDefault="00EA57D9">
      <w:pPr>
        <w:widowControl/>
        <w:jc w:val="left"/>
        <w:rPr>
          <w:rFonts w:ascii="Times New Roman" w:hAnsi="Times New Roman" w:cs="Times New Roman"/>
          <w:b/>
          <w:sz w:val="24"/>
          <w:szCs w:val="24"/>
        </w:rPr>
      </w:pPr>
      <w:r w:rsidRPr="00FD545F">
        <w:rPr>
          <w:rFonts w:ascii="Times New Roman" w:hAnsi="Times New Roman" w:cs="Times New Roman"/>
          <w:b/>
          <w:sz w:val="24"/>
          <w:szCs w:val="24"/>
        </w:rPr>
        <w:br w:type="page"/>
      </w:r>
    </w:p>
    <w:p w14:paraId="66A1A049" w14:textId="77777777" w:rsidR="00A84C5B" w:rsidRPr="00FD545F" w:rsidRDefault="00A84C5B" w:rsidP="00FC1EB6">
      <w:pPr>
        <w:pStyle w:val="a3"/>
        <w:jc w:val="left"/>
        <w:rPr>
          <w:rFonts w:ascii="Times New Roman" w:hAnsi="Times New Roman" w:cs="Times New Roman"/>
          <w:noProof/>
          <w:sz w:val="24"/>
          <w:szCs w:val="24"/>
        </w:rPr>
      </w:pPr>
    </w:p>
    <w:p w14:paraId="36C51776" w14:textId="380DD54F" w:rsidR="00E11D7C" w:rsidRPr="00FD545F" w:rsidRDefault="00E11D7C" w:rsidP="00FC1EB6">
      <w:pPr>
        <w:pStyle w:val="a3"/>
        <w:jc w:val="left"/>
      </w:pPr>
      <w:r w:rsidRPr="00FD545F">
        <w:rPr>
          <w:rFonts w:ascii="Times New Roman" w:hAnsi="Times New Roman" w:cs="Times New Roman"/>
          <w:noProof/>
          <w:sz w:val="24"/>
          <w:szCs w:val="24"/>
          <w:lang w:val="en-US" w:eastAsia="en-US"/>
        </w:rPr>
        <w:drawing>
          <wp:inline distT="0" distB="0" distL="0" distR="0" wp14:anchorId="70A0833A" wp14:editId="58D72CD9">
            <wp:extent cx="5786943" cy="3494638"/>
            <wp:effectExtent l="0" t="0" r="444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9001" cy="3501919"/>
                    </a:xfrm>
                    <a:prstGeom prst="rect">
                      <a:avLst/>
                    </a:prstGeom>
                    <a:noFill/>
                    <a:ln>
                      <a:noFill/>
                    </a:ln>
                  </pic:spPr>
                </pic:pic>
              </a:graphicData>
            </a:graphic>
          </wp:inline>
        </w:drawing>
      </w:r>
    </w:p>
    <w:p w14:paraId="4221CC07" w14:textId="77777777" w:rsidR="00E11D7C" w:rsidRPr="00FD545F" w:rsidRDefault="00E11D7C" w:rsidP="00FC1EB6">
      <w:pPr>
        <w:widowControl/>
        <w:jc w:val="left"/>
        <w:rPr>
          <w:rFonts w:ascii="Times New Roman" w:hAnsi="Times New Roman" w:cs="Times New Roman"/>
          <w:b/>
          <w:bCs/>
          <w:sz w:val="20"/>
          <w:szCs w:val="20"/>
        </w:rPr>
      </w:pPr>
    </w:p>
    <w:p w14:paraId="31C8D080" w14:textId="6ADCDF72" w:rsidR="00737EE0" w:rsidRPr="00FD545F" w:rsidRDefault="00CA763A" w:rsidP="00737EE0">
      <w:pPr>
        <w:widowControl/>
        <w:jc w:val="left"/>
        <w:rPr>
          <w:rFonts w:ascii="Times New Roman" w:hAnsi="Times New Roman" w:cs="Times New Roman"/>
          <w:b/>
          <w:bCs/>
          <w:sz w:val="24"/>
          <w:szCs w:val="24"/>
          <w:lang w:val="en-US"/>
        </w:rPr>
      </w:pPr>
      <w:r>
        <w:rPr>
          <w:rFonts w:ascii="Times New Roman" w:hAnsi="Times New Roman" w:cs="Times New Roman"/>
          <w:b/>
          <w:bCs/>
          <w:sz w:val="24"/>
          <w:szCs w:val="24"/>
        </w:rPr>
        <w:t>Figure</w:t>
      </w:r>
      <w:r w:rsidR="004F43E0" w:rsidRPr="00FD545F">
        <w:rPr>
          <w:rFonts w:ascii="Times New Roman" w:hAnsi="Times New Roman" w:cs="Times New Roman"/>
          <w:b/>
          <w:bCs/>
          <w:sz w:val="24"/>
          <w:szCs w:val="24"/>
        </w:rPr>
        <w:t xml:space="preserve"> A</w:t>
      </w:r>
      <w:r w:rsidR="007408B3" w:rsidRPr="00FD545F">
        <w:rPr>
          <w:rFonts w:ascii="Times New Roman" w:hAnsi="Times New Roman" w:cs="Times New Roman"/>
          <w:b/>
          <w:bCs/>
          <w:sz w:val="24"/>
          <w:szCs w:val="24"/>
        </w:rPr>
        <w:t>9</w:t>
      </w:r>
      <w:r w:rsidR="00170263" w:rsidRPr="00FD545F">
        <w:rPr>
          <w:rFonts w:ascii="Times New Roman" w:hAnsi="Times New Roman" w:cs="Times New Roman"/>
          <w:b/>
          <w:bCs/>
          <w:sz w:val="24"/>
          <w:szCs w:val="24"/>
        </w:rPr>
        <w:t>.2</w:t>
      </w:r>
      <w:r w:rsidR="00E11D7C" w:rsidRPr="00FD545F">
        <w:rPr>
          <w:rFonts w:ascii="Times New Roman" w:hAnsi="Times New Roman" w:cs="Times New Roman"/>
          <w:b/>
          <w:bCs/>
          <w:sz w:val="24"/>
          <w:szCs w:val="24"/>
        </w:rPr>
        <w:t xml:space="preserve">: </w:t>
      </w:r>
      <w:r w:rsidR="00DF226D" w:rsidRPr="00FD545F">
        <w:rPr>
          <w:rFonts w:ascii="Times New Roman" w:hAnsi="Times New Roman" w:cs="Times New Roman"/>
          <w:b/>
          <w:bCs/>
          <w:sz w:val="24"/>
          <w:szCs w:val="24"/>
        </w:rPr>
        <w:t xml:space="preserve">Wealth </w:t>
      </w:r>
      <w:r w:rsidR="00DF226D" w:rsidRPr="00FD545F">
        <w:rPr>
          <w:rFonts w:ascii="Times New Roman" w:hAnsi="Times New Roman" w:cs="Times New Roman"/>
          <w:b/>
          <w:bCs/>
          <w:sz w:val="24"/>
          <w:szCs w:val="24"/>
          <w:lang w:val="en-US"/>
        </w:rPr>
        <w:t>quintile</w:t>
      </w:r>
      <w:r w:rsidR="00E11D7C" w:rsidRPr="00FD545F">
        <w:rPr>
          <w:rFonts w:ascii="Times New Roman" w:hAnsi="Times New Roman" w:cs="Times New Roman"/>
          <w:b/>
          <w:bCs/>
          <w:sz w:val="24"/>
          <w:szCs w:val="24"/>
          <w:lang w:val="en-US"/>
        </w:rPr>
        <w:t xml:space="preserve">-specific incidence of catastrophic health expenditure at </w:t>
      </w:r>
      <w:r w:rsidR="00705F0C" w:rsidRPr="00FD545F">
        <w:rPr>
          <w:rFonts w:ascii="Times New Roman" w:hAnsi="Times New Roman" w:cs="Times New Roman"/>
          <w:b/>
          <w:bCs/>
          <w:sz w:val="24"/>
          <w:szCs w:val="24"/>
          <w:lang w:val="en-US"/>
        </w:rPr>
        <w:t xml:space="preserve">the </w:t>
      </w:r>
      <w:r w:rsidR="00453D6F" w:rsidRPr="00FD545F">
        <w:rPr>
          <w:rFonts w:ascii="Times New Roman" w:hAnsi="Times New Roman" w:cs="Times New Roman"/>
          <w:b/>
          <w:bCs/>
          <w:sz w:val="24"/>
          <w:szCs w:val="24"/>
          <w:lang w:val="en-US"/>
        </w:rPr>
        <w:t xml:space="preserve">national and </w:t>
      </w:r>
      <w:r w:rsidR="00E11D7C" w:rsidRPr="00FD545F">
        <w:rPr>
          <w:rFonts w:ascii="Times New Roman" w:hAnsi="Times New Roman" w:cs="Times New Roman"/>
          <w:b/>
          <w:bCs/>
          <w:sz w:val="24"/>
          <w:szCs w:val="24"/>
          <w:lang w:val="en-US"/>
        </w:rPr>
        <w:t>subnational level in Iraq, 2007 and 2012</w:t>
      </w:r>
    </w:p>
    <w:p w14:paraId="3EE524EF" w14:textId="77777777" w:rsidR="001B56DC" w:rsidRPr="00FD545F" w:rsidRDefault="004A58DA" w:rsidP="00737EE0">
      <w:pPr>
        <w:widowControl/>
        <w:jc w:val="left"/>
        <w:rPr>
          <w:rFonts w:ascii="Times New Roman" w:hAnsi="Times New Roman" w:cs="Times New Roman"/>
          <w:b/>
          <w:bCs/>
          <w:sz w:val="24"/>
          <w:szCs w:val="24"/>
          <w:lang w:val="en-US"/>
        </w:rPr>
      </w:pPr>
      <w:r w:rsidRPr="00FD545F">
        <w:rPr>
          <w:rFonts w:ascii="Times New Roman" w:hAnsi="Times New Roman" w:cs="Times New Roman"/>
          <w:b/>
          <w:bCs/>
          <w:sz w:val="24"/>
          <w:szCs w:val="24"/>
          <w:lang w:val="en-US"/>
        </w:rPr>
        <w:br w:type="page"/>
      </w:r>
    </w:p>
    <w:p w14:paraId="3F79980F" w14:textId="4E13BD0B" w:rsidR="0027445F" w:rsidRPr="00FD545F" w:rsidRDefault="004A58DA" w:rsidP="00FC1EB6">
      <w:pPr>
        <w:widowControl/>
        <w:jc w:val="left"/>
        <w:rPr>
          <w:rFonts w:ascii="Times New Roman" w:hAnsi="Times New Roman" w:cs="Times New Roman"/>
          <w:b/>
          <w:bCs/>
          <w:sz w:val="24"/>
          <w:szCs w:val="24"/>
          <w:lang w:val="en-US"/>
        </w:rPr>
      </w:pPr>
      <w:r w:rsidRPr="00FD545F">
        <w:rPr>
          <w:rFonts w:ascii="Times New Roman" w:hAnsi="Times New Roman" w:cs="Times New Roman" w:hint="eastAsia"/>
          <w:b/>
          <w:bCs/>
          <w:sz w:val="24"/>
          <w:szCs w:val="24"/>
          <w:lang w:val="en-US"/>
        </w:rPr>
        <w:lastRenderedPageBreak/>
        <w:t>R</w:t>
      </w:r>
      <w:r w:rsidRPr="00FD545F">
        <w:rPr>
          <w:rFonts w:ascii="Times New Roman" w:hAnsi="Times New Roman" w:cs="Times New Roman"/>
          <w:b/>
          <w:bCs/>
          <w:sz w:val="24"/>
          <w:szCs w:val="24"/>
          <w:lang w:val="en-US"/>
        </w:rPr>
        <w:t>eferences</w:t>
      </w:r>
    </w:p>
    <w:p w14:paraId="310E8BA7" w14:textId="77777777" w:rsidR="004A58DA" w:rsidRPr="00FD545F" w:rsidRDefault="004A58DA" w:rsidP="00FC1EB6">
      <w:pPr>
        <w:widowControl/>
        <w:jc w:val="left"/>
        <w:rPr>
          <w:rFonts w:ascii="Times New Roman" w:hAnsi="Times New Roman" w:cs="Times New Roman"/>
          <w:b/>
          <w:bCs/>
          <w:sz w:val="24"/>
          <w:szCs w:val="24"/>
          <w:lang w:val="en-US"/>
        </w:rPr>
      </w:pPr>
    </w:p>
    <w:p w14:paraId="654CD488" w14:textId="77777777" w:rsidR="00BB363E" w:rsidRPr="00BB363E" w:rsidRDefault="0027445F" w:rsidP="00BB363E">
      <w:pPr>
        <w:pStyle w:val="EndNoteBibliography"/>
        <w:ind w:left="720" w:hanging="720"/>
      </w:pPr>
      <w:r w:rsidRPr="00FD545F">
        <w:rPr>
          <w:rFonts w:eastAsia="游ゴシック"/>
          <w:b/>
          <w:bCs/>
          <w:color w:val="000000"/>
          <w:kern w:val="0"/>
          <w:sz w:val="24"/>
          <w:szCs w:val="24"/>
          <w:lang w:val="en-US"/>
        </w:rPr>
        <w:fldChar w:fldCharType="begin"/>
      </w:r>
      <w:r w:rsidRPr="00FD545F">
        <w:rPr>
          <w:rFonts w:eastAsia="游ゴシック"/>
          <w:b/>
          <w:bCs/>
          <w:color w:val="000000"/>
          <w:kern w:val="0"/>
          <w:sz w:val="24"/>
          <w:szCs w:val="24"/>
          <w:lang w:val="en-US"/>
        </w:rPr>
        <w:instrText xml:space="preserve"> ADDIN EN.REFLIST </w:instrText>
      </w:r>
      <w:r w:rsidRPr="00FD545F">
        <w:rPr>
          <w:rFonts w:eastAsia="游ゴシック"/>
          <w:b/>
          <w:bCs/>
          <w:color w:val="000000"/>
          <w:kern w:val="0"/>
          <w:sz w:val="24"/>
          <w:szCs w:val="24"/>
          <w:lang w:val="en-US"/>
        </w:rPr>
        <w:fldChar w:fldCharType="separate"/>
      </w:r>
      <w:r w:rsidR="00BB363E" w:rsidRPr="00BB363E">
        <w:t>1.</w:t>
      </w:r>
      <w:r w:rsidR="00BB363E" w:rsidRPr="00BB363E">
        <w:tab/>
        <w:t xml:space="preserve">Central Organization for Statistics &amp; Information Technology and Kurdistan Regional Statistics Office: </w:t>
      </w:r>
      <w:r w:rsidR="00BB363E" w:rsidRPr="00BB363E">
        <w:rPr>
          <w:b/>
        </w:rPr>
        <w:t>Multiple Indicator Cluster Survey Iraq 2018.</w:t>
      </w:r>
      <w:r w:rsidR="00BB363E" w:rsidRPr="00BB363E">
        <w:t xml:space="preserve"> 2019.</w:t>
      </w:r>
    </w:p>
    <w:p w14:paraId="61B79C4B" w14:textId="77777777" w:rsidR="00BB363E" w:rsidRPr="00BB363E" w:rsidRDefault="00BB363E" w:rsidP="00BB363E">
      <w:pPr>
        <w:pStyle w:val="EndNoteBibliography"/>
        <w:ind w:left="720" w:hanging="720"/>
      </w:pPr>
      <w:r w:rsidRPr="00BB363E">
        <w:t>2.</w:t>
      </w:r>
      <w:r w:rsidRPr="00BB363E">
        <w:tab/>
        <w:t xml:space="preserve">O'Donnell O, van Doorslaer E, Wagstaff A, Lindelow M: </w:t>
      </w:r>
      <w:r w:rsidRPr="00BB363E">
        <w:rPr>
          <w:i/>
        </w:rPr>
        <w:t>Analyzing Health Equity Using Household Survey Data: A Guide to Techniques and Their Implementation.</w:t>
      </w:r>
      <w:r w:rsidRPr="00BB363E">
        <w:t xml:space="preserve"> Washington, DC: The World Bank; 2008.</w:t>
      </w:r>
    </w:p>
    <w:p w14:paraId="338CBDC6" w14:textId="77777777" w:rsidR="00BB363E" w:rsidRPr="00BB363E" w:rsidRDefault="00BB363E" w:rsidP="00BB363E">
      <w:pPr>
        <w:pStyle w:val="EndNoteBibliography"/>
        <w:ind w:left="720" w:hanging="720"/>
      </w:pPr>
      <w:r w:rsidRPr="00BB363E">
        <w:t>3.</w:t>
      </w:r>
      <w:r w:rsidRPr="00BB363E">
        <w:tab/>
        <w:t xml:space="preserve">World Health Organization: </w:t>
      </w:r>
      <w:r w:rsidRPr="00BB363E">
        <w:rPr>
          <w:b/>
        </w:rPr>
        <w:t>Distribution of health payments and catastrophic expenditures Methodology / by Ke Xu.</w:t>
      </w:r>
      <w:r w:rsidRPr="00BB363E">
        <w:t xml:space="preserve"> Geneva: World Health Organization; 2005.</w:t>
      </w:r>
    </w:p>
    <w:p w14:paraId="2D3EAEEC" w14:textId="77777777" w:rsidR="00BB363E" w:rsidRPr="00BB363E" w:rsidRDefault="00BB363E" w:rsidP="00BB363E">
      <w:pPr>
        <w:pStyle w:val="EndNoteBibliography"/>
        <w:ind w:left="720" w:hanging="720"/>
      </w:pPr>
      <w:r w:rsidRPr="00BB363E">
        <w:t>4.</w:t>
      </w:r>
      <w:r w:rsidRPr="00BB363E">
        <w:tab/>
        <w:t xml:space="preserve">World Health Organisation: </w:t>
      </w:r>
      <w:r w:rsidRPr="00BB363E">
        <w:rPr>
          <w:b/>
        </w:rPr>
        <w:t>Primary Health Care on the Road to Universal Health Coverage 2019 MONITORING REPORT.</w:t>
      </w:r>
      <w:r w:rsidRPr="00BB363E">
        <w:t xml:space="preserve"> Conference edition edition. pp. 162. Geneva: World Health Organisation; 2019:162.</w:t>
      </w:r>
    </w:p>
    <w:p w14:paraId="30E9D0BC" w14:textId="77777777" w:rsidR="00BB363E" w:rsidRPr="00BB363E" w:rsidRDefault="00BB363E" w:rsidP="00BB363E">
      <w:pPr>
        <w:pStyle w:val="EndNoteBibliography"/>
        <w:ind w:left="720" w:hanging="720"/>
      </w:pPr>
      <w:r w:rsidRPr="00BB363E">
        <w:t>5.</w:t>
      </w:r>
      <w:r w:rsidRPr="00BB363E">
        <w:tab/>
        <w:t xml:space="preserve">Wagstaff A, Neelsen S: </w:t>
      </w:r>
      <w:r w:rsidRPr="00BB363E">
        <w:rPr>
          <w:b/>
        </w:rPr>
        <w:t>A comprehensive assessment of universal health coverage in 111 countries: a retrospective observational study.</w:t>
      </w:r>
      <w:r w:rsidRPr="00BB363E">
        <w:t xml:space="preserve"> </w:t>
      </w:r>
      <w:r w:rsidRPr="00BB363E">
        <w:rPr>
          <w:i/>
        </w:rPr>
        <w:t xml:space="preserve">The Lancet Global Health </w:t>
      </w:r>
      <w:r w:rsidRPr="00BB363E">
        <w:t xml:space="preserve">2020, </w:t>
      </w:r>
      <w:r w:rsidRPr="00BB363E">
        <w:rPr>
          <w:b/>
        </w:rPr>
        <w:t>8:</w:t>
      </w:r>
      <w:r w:rsidRPr="00BB363E">
        <w:t>e39-e49.</w:t>
      </w:r>
    </w:p>
    <w:p w14:paraId="33640691" w14:textId="77777777" w:rsidR="00BB363E" w:rsidRPr="00BB363E" w:rsidRDefault="00BB363E" w:rsidP="00BB363E">
      <w:pPr>
        <w:pStyle w:val="EndNoteBibliography"/>
        <w:ind w:left="720" w:hanging="720"/>
      </w:pPr>
      <w:r w:rsidRPr="00BB363E">
        <w:t>6.</w:t>
      </w:r>
      <w:r w:rsidRPr="00BB363E">
        <w:tab/>
        <w:t xml:space="preserve">Wagstaff A, Flores G, Hsu J, Smitz M-F, Chepynoga K, Buisman LR, van Wilgenburg K, Eozenou P: </w:t>
      </w:r>
      <w:r w:rsidRPr="00BB363E">
        <w:rPr>
          <w:b/>
        </w:rPr>
        <w:t>Progress on catastrophic health spending in 133 countries: a retrospective observational study.</w:t>
      </w:r>
      <w:r w:rsidRPr="00BB363E">
        <w:t xml:space="preserve"> </w:t>
      </w:r>
      <w:r w:rsidRPr="00BB363E">
        <w:rPr>
          <w:i/>
        </w:rPr>
        <w:t xml:space="preserve">The Lancet Global Health </w:t>
      </w:r>
      <w:r w:rsidRPr="00BB363E">
        <w:t xml:space="preserve">2018, </w:t>
      </w:r>
      <w:r w:rsidRPr="00BB363E">
        <w:rPr>
          <w:b/>
        </w:rPr>
        <w:t>6:</w:t>
      </w:r>
      <w:r w:rsidRPr="00BB363E">
        <w:t>e169-e179.</w:t>
      </w:r>
    </w:p>
    <w:p w14:paraId="23F8F38F" w14:textId="77777777" w:rsidR="00BB363E" w:rsidRPr="00BB363E" w:rsidRDefault="00BB363E" w:rsidP="00BB363E">
      <w:pPr>
        <w:pStyle w:val="EndNoteBibliography"/>
        <w:ind w:left="720" w:hanging="720"/>
      </w:pPr>
      <w:r w:rsidRPr="00BB363E">
        <w:t>7.</w:t>
      </w:r>
      <w:r w:rsidRPr="00BB363E">
        <w:tab/>
        <w:t xml:space="preserve">Swe KT, Rahman MM, Rahman MS, Saito E, Abe SK, Gilmour S, Shibuya K: </w:t>
      </w:r>
      <w:r w:rsidRPr="00BB363E">
        <w:rPr>
          <w:b/>
        </w:rPr>
        <w:t>Cost and economic burden of illness over 15 years in Nepal: A comparative analysis.</w:t>
      </w:r>
      <w:r w:rsidRPr="00BB363E">
        <w:t xml:space="preserve"> </w:t>
      </w:r>
      <w:r w:rsidRPr="00BB363E">
        <w:rPr>
          <w:i/>
        </w:rPr>
        <w:t xml:space="preserve">PLoS One </w:t>
      </w:r>
      <w:r w:rsidRPr="00BB363E">
        <w:t xml:space="preserve">2018, </w:t>
      </w:r>
      <w:r w:rsidRPr="00BB363E">
        <w:rPr>
          <w:b/>
        </w:rPr>
        <w:t>13:</w:t>
      </w:r>
      <w:r w:rsidRPr="00BB363E">
        <w:t>e0194564.</w:t>
      </w:r>
    </w:p>
    <w:p w14:paraId="625D4031" w14:textId="13FD2132" w:rsidR="00BB363E" w:rsidRPr="00BB363E" w:rsidRDefault="00BB363E" w:rsidP="00BB363E">
      <w:pPr>
        <w:pStyle w:val="EndNoteBibliography"/>
        <w:ind w:left="720" w:hanging="720"/>
      </w:pPr>
      <w:r w:rsidRPr="00BB363E">
        <w:t>8.</w:t>
      </w:r>
      <w:r w:rsidRPr="00BB363E">
        <w:tab/>
      </w:r>
      <w:r w:rsidRPr="00BB363E">
        <w:rPr>
          <w:b/>
        </w:rPr>
        <w:t xml:space="preserve">Global Health Expenditure Database </w:t>
      </w:r>
      <w:r w:rsidRPr="00BB363E">
        <w:t>[</w:t>
      </w:r>
      <w:hyperlink r:id="rId11" w:history="1">
        <w:r w:rsidRPr="00BB363E">
          <w:rPr>
            <w:rStyle w:val="ab"/>
          </w:rPr>
          <w:t>https://apps.who.int/nha/database/ViewData/Indicators/en</w:t>
        </w:r>
      </w:hyperlink>
      <w:r w:rsidRPr="00BB363E">
        <w:t>]</w:t>
      </w:r>
    </w:p>
    <w:p w14:paraId="5563A500" w14:textId="77777777" w:rsidR="00BB363E" w:rsidRPr="00BB363E" w:rsidRDefault="00BB363E" w:rsidP="00BB363E">
      <w:pPr>
        <w:pStyle w:val="EndNoteBibliography"/>
        <w:ind w:left="720" w:hanging="720"/>
      </w:pPr>
      <w:r w:rsidRPr="00BB363E">
        <w:t>9.</w:t>
      </w:r>
      <w:r w:rsidRPr="00BB363E">
        <w:tab/>
        <w:t xml:space="preserve">Xu K, Klavus J, Kawabata K, Evans D, Hanvoravongchai P, Ortiz J, Zeramdini R, Murray C: </w:t>
      </w:r>
      <w:r w:rsidRPr="00BB363E">
        <w:rPr>
          <w:i/>
        </w:rPr>
        <w:t>Household Health System Contributions and Capacity to Pay: Definitional, Empirical, and Technical Challenges.</w:t>
      </w:r>
      <w:r w:rsidRPr="00BB363E">
        <w:t xml:space="preserve"> Geneva: World Health Organisation; 2003.</w:t>
      </w:r>
    </w:p>
    <w:p w14:paraId="2970415C" w14:textId="77777777" w:rsidR="00BB363E" w:rsidRPr="00BB363E" w:rsidRDefault="00BB363E" w:rsidP="00BB363E">
      <w:pPr>
        <w:pStyle w:val="EndNoteBibliography"/>
        <w:ind w:left="720" w:hanging="720"/>
      </w:pPr>
      <w:r w:rsidRPr="00BB363E">
        <w:t>10.</w:t>
      </w:r>
      <w:r w:rsidRPr="00BB363E">
        <w:tab/>
        <w:t xml:space="preserve">Xu K, Evans DB, Kawabata K, Zeramdini R, Klavus J, Murray CJ: </w:t>
      </w:r>
      <w:r w:rsidRPr="00BB363E">
        <w:rPr>
          <w:b/>
        </w:rPr>
        <w:t>Household catastrophic health expenditure: a multicountry analysis.</w:t>
      </w:r>
      <w:r w:rsidRPr="00BB363E">
        <w:t xml:space="preserve"> </w:t>
      </w:r>
      <w:r w:rsidRPr="00BB363E">
        <w:rPr>
          <w:i/>
        </w:rPr>
        <w:t xml:space="preserve">Lancet </w:t>
      </w:r>
      <w:r w:rsidRPr="00BB363E">
        <w:t xml:space="preserve">2003, </w:t>
      </w:r>
      <w:r w:rsidRPr="00BB363E">
        <w:rPr>
          <w:b/>
        </w:rPr>
        <w:t>362:</w:t>
      </w:r>
      <w:r w:rsidRPr="00BB363E">
        <w:t>111-117.</w:t>
      </w:r>
    </w:p>
    <w:p w14:paraId="77EC24C7" w14:textId="77777777" w:rsidR="00BB363E" w:rsidRPr="00BB363E" w:rsidRDefault="00BB363E" w:rsidP="00BB363E">
      <w:pPr>
        <w:pStyle w:val="EndNoteBibliography"/>
        <w:ind w:left="720" w:hanging="720"/>
      </w:pPr>
      <w:r w:rsidRPr="00BB363E">
        <w:t>11.</w:t>
      </w:r>
      <w:r w:rsidRPr="00BB363E">
        <w:tab/>
        <w:t xml:space="preserve">Deaton AZ, Salman; Deaton, Angus Zaidi, Salman,: </w:t>
      </w:r>
      <w:r w:rsidRPr="00BB363E">
        <w:rPr>
          <w:b/>
        </w:rPr>
        <w:t>Guidelines for constructing consumption aggregates for welfare analysis (English).</w:t>
      </w:r>
      <w:r w:rsidRPr="00BB363E">
        <w:t xml:space="preserve"> In </w:t>
      </w:r>
      <w:r w:rsidRPr="00BB363E">
        <w:rPr>
          <w:i/>
        </w:rPr>
        <w:t>Living standards measurement study (LSMS) working paper</w:t>
      </w:r>
      <w:r w:rsidRPr="00BB363E">
        <w:t>. Washington, D.C: The World Bank; 2002.</w:t>
      </w:r>
    </w:p>
    <w:p w14:paraId="2CB46BE4" w14:textId="77777777" w:rsidR="00BB363E" w:rsidRPr="00BB363E" w:rsidRDefault="00BB363E" w:rsidP="00BB363E">
      <w:pPr>
        <w:pStyle w:val="EndNoteBibliography"/>
        <w:ind w:left="720" w:hanging="720"/>
      </w:pPr>
      <w:r w:rsidRPr="00BB363E">
        <w:t>12.</w:t>
      </w:r>
      <w:r w:rsidRPr="00BB363E">
        <w:tab/>
        <w:t xml:space="preserve">Arhonditsis GB, Stow CA, Steinberg LJ, Kenney MA, Lathrop RC, McBride SJ, Reckhow KH: </w:t>
      </w:r>
      <w:r w:rsidRPr="00BB363E">
        <w:rPr>
          <w:b/>
        </w:rPr>
        <w:t>Exploring ecological patterns with structural equation modeling and Bayesian analysis.</w:t>
      </w:r>
      <w:r w:rsidRPr="00BB363E">
        <w:t xml:space="preserve"> </w:t>
      </w:r>
      <w:r w:rsidRPr="00BB363E">
        <w:rPr>
          <w:i/>
        </w:rPr>
        <w:t xml:space="preserve">Ecological Modelling </w:t>
      </w:r>
      <w:r w:rsidRPr="00BB363E">
        <w:t xml:space="preserve">2006, </w:t>
      </w:r>
      <w:r w:rsidRPr="00BB363E">
        <w:rPr>
          <w:b/>
        </w:rPr>
        <w:t>192:</w:t>
      </w:r>
      <w:r w:rsidRPr="00BB363E">
        <w:t>385-409.</w:t>
      </w:r>
    </w:p>
    <w:p w14:paraId="2F1DDD6F" w14:textId="77777777" w:rsidR="00BB363E" w:rsidRPr="00BB363E" w:rsidRDefault="00BB363E" w:rsidP="00BB363E">
      <w:pPr>
        <w:pStyle w:val="EndNoteBibliography"/>
        <w:ind w:left="720" w:hanging="720"/>
      </w:pPr>
      <w:r w:rsidRPr="00BB363E">
        <w:t>13.</w:t>
      </w:r>
      <w:r w:rsidRPr="00BB363E">
        <w:tab/>
        <w:t xml:space="preserve">Grzenda W: </w:t>
      </w:r>
      <w:r w:rsidRPr="00BB363E">
        <w:rPr>
          <w:b/>
        </w:rPr>
        <w:t>The Advantages of Bayesian Methods over Classical Methods in the Context of Credible Intervals.</w:t>
      </w:r>
      <w:r w:rsidRPr="00BB363E">
        <w:t xml:space="preserve"> </w:t>
      </w:r>
      <w:r w:rsidRPr="00BB363E">
        <w:rPr>
          <w:i/>
        </w:rPr>
        <w:t xml:space="preserve">Information Systems in Management </w:t>
      </w:r>
      <w:r w:rsidRPr="00BB363E">
        <w:t xml:space="preserve">2015, </w:t>
      </w:r>
      <w:r w:rsidRPr="00BB363E">
        <w:rPr>
          <w:b/>
        </w:rPr>
        <w:t>4:</w:t>
      </w:r>
      <w:r w:rsidRPr="00BB363E">
        <w:t>11.</w:t>
      </w:r>
    </w:p>
    <w:p w14:paraId="3FE14F8E" w14:textId="77777777" w:rsidR="00BB363E" w:rsidRPr="00BB363E" w:rsidRDefault="00BB363E" w:rsidP="00BB363E">
      <w:pPr>
        <w:pStyle w:val="EndNoteBibliography"/>
        <w:ind w:left="720" w:hanging="720"/>
      </w:pPr>
      <w:r w:rsidRPr="00BB363E">
        <w:t>14.</w:t>
      </w:r>
      <w:r w:rsidRPr="00BB363E">
        <w:tab/>
        <w:t xml:space="preserve">Gelman A CJ, Stern HS, Rubin DB.: </w:t>
      </w:r>
      <w:r w:rsidRPr="00BB363E">
        <w:rPr>
          <w:i/>
        </w:rPr>
        <w:t>Bayesian Data Analysis.</w:t>
      </w:r>
      <w:r w:rsidRPr="00BB363E">
        <w:t xml:space="preserve"> Third Edition edn. USA: Chapman and Hall/CRC; 2013.</w:t>
      </w:r>
    </w:p>
    <w:p w14:paraId="3232700D" w14:textId="77777777" w:rsidR="00BB363E" w:rsidRPr="00BB363E" w:rsidRDefault="00BB363E" w:rsidP="00BB363E">
      <w:pPr>
        <w:pStyle w:val="EndNoteBibliography"/>
        <w:ind w:left="720" w:hanging="720"/>
      </w:pPr>
      <w:r w:rsidRPr="00BB363E">
        <w:t>15.</w:t>
      </w:r>
      <w:r w:rsidRPr="00BB363E">
        <w:tab/>
        <w:t xml:space="preserve">World Health Organisation: </w:t>
      </w:r>
      <w:r w:rsidRPr="00BB363E">
        <w:rPr>
          <w:b/>
        </w:rPr>
        <w:t>Health Equity Assessment Toolkit (HEAT): Software for exploring and comparing health inequalities in countries.</w:t>
      </w:r>
      <w:r w:rsidRPr="00BB363E">
        <w:t xml:space="preserve"> Built-in Database Edition edition. Geneva; 2017.</w:t>
      </w:r>
    </w:p>
    <w:p w14:paraId="68866802" w14:textId="772A70B3" w:rsidR="00EA70EA" w:rsidRPr="00885BDC" w:rsidRDefault="0027445F" w:rsidP="00885BDC">
      <w:pPr>
        <w:pStyle w:val="EndNoteBibliography"/>
        <w:rPr>
          <w:rFonts w:eastAsia="游ゴシック"/>
          <w:b/>
          <w:bCs/>
          <w:color w:val="000000"/>
          <w:kern w:val="0"/>
          <w:sz w:val="24"/>
          <w:szCs w:val="24"/>
          <w:lang w:val="en-US"/>
        </w:rPr>
      </w:pPr>
      <w:r w:rsidRPr="00FD545F">
        <w:rPr>
          <w:rFonts w:eastAsia="游ゴシック"/>
          <w:b/>
          <w:bCs/>
          <w:color w:val="000000"/>
          <w:kern w:val="0"/>
          <w:sz w:val="24"/>
          <w:szCs w:val="24"/>
          <w:lang w:val="en-US"/>
        </w:rPr>
        <w:fldChar w:fldCharType="end"/>
      </w:r>
    </w:p>
    <w:sectPr w:rsidR="00EA70EA" w:rsidRPr="00885BDC" w:rsidSect="00846220">
      <w:footerReference w:type="default" r:id="rId12"/>
      <w:pgSz w:w="11906" w:h="16838"/>
      <w:pgMar w:top="1418" w:right="1418" w:bottom="1418" w:left="1418" w:header="851" w:footer="53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44E72" w14:textId="77777777" w:rsidR="002120EE" w:rsidRDefault="002120EE" w:rsidP="00B14E8D">
      <w:r>
        <w:separator/>
      </w:r>
    </w:p>
  </w:endnote>
  <w:endnote w:type="continuationSeparator" w:id="0">
    <w:p w14:paraId="1C857F03" w14:textId="77777777" w:rsidR="002120EE" w:rsidRDefault="002120EE" w:rsidP="00B1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70119"/>
      <w:docPartObj>
        <w:docPartGallery w:val="Page Numbers (Bottom of Page)"/>
        <w:docPartUnique/>
      </w:docPartObj>
    </w:sdtPr>
    <w:sdtEndPr/>
    <w:sdtContent>
      <w:p w14:paraId="6AB94E15" w14:textId="1FD080BF" w:rsidR="00460920" w:rsidRDefault="00460920">
        <w:pPr>
          <w:pStyle w:val="a7"/>
          <w:jc w:val="center"/>
        </w:pPr>
        <w:r>
          <w:fldChar w:fldCharType="begin"/>
        </w:r>
        <w:r>
          <w:instrText>PAGE   \* MERGEFORMAT</w:instrText>
        </w:r>
        <w:r>
          <w:fldChar w:fldCharType="separate"/>
        </w:r>
        <w:r w:rsidR="00690BF1" w:rsidRPr="00690BF1">
          <w:rPr>
            <w:noProof/>
            <w:lang w:val="ja-JP"/>
          </w:rPr>
          <w:t>1</w:t>
        </w:r>
        <w:r>
          <w:fldChar w:fldCharType="end"/>
        </w:r>
      </w:p>
    </w:sdtContent>
  </w:sdt>
  <w:p w14:paraId="6FC44AD2" w14:textId="77777777" w:rsidR="00460920" w:rsidRPr="00B14E8D" w:rsidRDefault="00460920" w:rsidP="00B14E8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070FD" w14:textId="77777777" w:rsidR="002120EE" w:rsidRDefault="002120EE" w:rsidP="00B14E8D">
      <w:r>
        <w:separator/>
      </w:r>
    </w:p>
  </w:footnote>
  <w:footnote w:type="continuationSeparator" w:id="0">
    <w:p w14:paraId="3114BB98" w14:textId="77777777" w:rsidR="002120EE" w:rsidRDefault="002120EE" w:rsidP="00B14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B1428"/>
    <w:multiLevelType w:val="hybridMultilevel"/>
    <w:tmpl w:val="A6D0F6CE"/>
    <w:lvl w:ilvl="0" w:tplc="44F6E9C4">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B07B68"/>
    <w:multiLevelType w:val="hybridMultilevel"/>
    <w:tmpl w:val="2E88A058"/>
    <w:lvl w:ilvl="0" w:tplc="4B4C28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5F78B1"/>
    <w:multiLevelType w:val="hybridMultilevel"/>
    <w:tmpl w:val="345AD38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A24E97"/>
    <w:multiLevelType w:val="hybridMultilevel"/>
    <w:tmpl w:val="17243976"/>
    <w:lvl w:ilvl="0" w:tplc="2910B4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ED50B8"/>
    <w:multiLevelType w:val="hybridMultilevel"/>
    <w:tmpl w:val="D762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B2742"/>
    <w:multiLevelType w:val="hybridMultilevel"/>
    <w:tmpl w:val="9FA619BC"/>
    <w:lvl w:ilvl="0" w:tplc="918040C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6CB5066"/>
    <w:multiLevelType w:val="hybridMultilevel"/>
    <w:tmpl w:val="54C0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12488"/>
    <w:multiLevelType w:val="hybridMultilevel"/>
    <w:tmpl w:val="74FED990"/>
    <w:lvl w:ilvl="0" w:tplc="9DA2CCA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B7E5F2F"/>
    <w:multiLevelType w:val="hybridMultilevel"/>
    <w:tmpl w:val="2D625824"/>
    <w:lvl w:ilvl="0" w:tplc="AEB02F48">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50B4048"/>
    <w:multiLevelType w:val="hybridMultilevel"/>
    <w:tmpl w:val="8BA4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15B1B"/>
    <w:multiLevelType w:val="hybridMultilevel"/>
    <w:tmpl w:val="E32CBD7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694C6F"/>
    <w:multiLevelType w:val="hybridMultilevel"/>
    <w:tmpl w:val="F7F4DB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E524348"/>
    <w:multiLevelType w:val="hybridMultilevel"/>
    <w:tmpl w:val="BB60F738"/>
    <w:lvl w:ilvl="0" w:tplc="918040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EF952FA"/>
    <w:multiLevelType w:val="hybridMultilevel"/>
    <w:tmpl w:val="789ED1B0"/>
    <w:lvl w:ilvl="0" w:tplc="153603F8">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536131"/>
    <w:multiLevelType w:val="hybridMultilevel"/>
    <w:tmpl w:val="7CAC733C"/>
    <w:lvl w:ilvl="0" w:tplc="4B4C287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306714E"/>
    <w:multiLevelType w:val="hybridMultilevel"/>
    <w:tmpl w:val="3F58A4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9422689"/>
    <w:multiLevelType w:val="hybridMultilevel"/>
    <w:tmpl w:val="B30A3A02"/>
    <w:lvl w:ilvl="0" w:tplc="EFF662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6"/>
  </w:num>
  <w:num w:numId="2">
    <w:abstractNumId w:val="2"/>
  </w:num>
  <w:num w:numId="3">
    <w:abstractNumId w:val="15"/>
  </w:num>
  <w:num w:numId="4">
    <w:abstractNumId w:val="3"/>
  </w:num>
  <w:num w:numId="5">
    <w:abstractNumId w:val="11"/>
  </w:num>
  <w:num w:numId="6">
    <w:abstractNumId w:val="10"/>
  </w:num>
  <w:num w:numId="7">
    <w:abstractNumId w:val="14"/>
  </w:num>
  <w:num w:numId="8">
    <w:abstractNumId w:val="1"/>
  </w:num>
  <w:num w:numId="9">
    <w:abstractNumId w:val="13"/>
  </w:num>
  <w:num w:numId="10">
    <w:abstractNumId w:val="7"/>
  </w:num>
  <w:num w:numId="11">
    <w:abstractNumId w:val="5"/>
  </w:num>
  <w:num w:numId="12">
    <w:abstractNumId w:val="12"/>
  </w:num>
  <w:num w:numId="13">
    <w:abstractNumId w:val="8"/>
  </w:num>
  <w:num w:numId="14">
    <w:abstractNumId w:val="4"/>
  </w:num>
  <w:num w:numId="15">
    <w:abstractNumId w:val="9"/>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3sTQ0Mjc2MbIwsjRW0lEKTi0uzszPAykwNqoFAFuipnwtAAAA"/>
    <w:docVar w:name="EN.InstantFormat" w:val="&lt;ENInstantFormat&gt;&lt;Enabled&gt;1&lt;/Enabled&gt;&lt;ScanUnformatted&gt;1&lt;/ScanUnformatted&gt;&lt;ScanChanges&gt;1&lt;/ScanChanges&gt;&lt;Suspended&gt;0&lt;/Suspended&gt;&lt;/ENInstantFormat&gt;"/>
    <w:docVar w:name="EN.Layout" w:val="&lt;ENLayout&gt;&lt;Style&gt;Intl J Equity in Heal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Total_Editing_Time" w:val="2394"/>
  </w:docVars>
  <w:rsids>
    <w:rsidRoot w:val="0019380A"/>
    <w:rsid w:val="000008AF"/>
    <w:rsid w:val="0000446B"/>
    <w:rsid w:val="00040ED8"/>
    <w:rsid w:val="00041118"/>
    <w:rsid w:val="00050FF5"/>
    <w:rsid w:val="0006441D"/>
    <w:rsid w:val="0006523B"/>
    <w:rsid w:val="00067F21"/>
    <w:rsid w:val="00084FB0"/>
    <w:rsid w:val="00085BA0"/>
    <w:rsid w:val="00091334"/>
    <w:rsid w:val="000A2C0E"/>
    <w:rsid w:val="000B64E1"/>
    <w:rsid w:val="000B7393"/>
    <w:rsid w:val="000D00FE"/>
    <w:rsid w:val="000E4351"/>
    <w:rsid w:val="000E5C89"/>
    <w:rsid w:val="000F6AFE"/>
    <w:rsid w:val="00114562"/>
    <w:rsid w:val="001251FE"/>
    <w:rsid w:val="00141B00"/>
    <w:rsid w:val="00161875"/>
    <w:rsid w:val="001632A9"/>
    <w:rsid w:val="00170263"/>
    <w:rsid w:val="00174860"/>
    <w:rsid w:val="001918F5"/>
    <w:rsid w:val="0019380A"/>
    <w:rsid w:val="001B3E18"/>
    <w:rsid w:val="001B56DC"/>
    <w:rsid w:val="001C6C48"/>
    <w:rsid w:val="001C751E"/>
    <w:rsid w:val="001F22E2"/>
    <w:rsid w:val="001F5151"/>
    <w:rsid w:val="002064D1"/>
    <w:rsid w:val="00210038"/>
    <w:rsid w:val="002120EE"/>
    <w:rsid w:val="00217CD1"/>
    <w:rsid w:val="00221B9F"/>
    <w:rsid w:val="002433C5"/>
    <w:rsid w:val="0024516D"/>
    <w:rsid w:val="00253B82"/>
    <w:rsid w:val="00271C91"/>
    <w:rsid w:val="0027445F"/>
    <w:rsid w:val="0028077B"/>
    <w:rsid w:val="00296102"/>
    <w:rsid w:val="002A68BF"/>
    <w:rsid w:val="002C3D2C"/>
    <w:rsid w:val="002D3C30"/>
    <w:rsid w:val="002D51BE"/>
    <w:rsid w:val="002E53F8"/>
    <w:rsid w:val="002F32FC"/>
    <w:rsid w:val="00311971"/>
    <w:rsid w:val="00322847"/>
    <w:rsid w:val="00323C96"/>
    <w:rsid w:val="00341F42"/>
    <w:rsid w:val="0034242D"/>
    <w:rsid w:val="00342689"/>
    <w:rsid w:val="00344565"/>
    <w:rsid w:val="00352404"/>
    <w:rsid w:val="00376217"/>
    <w:rsid w:val="00386C14"/>
    <w:rsid w:val="003876E1"/>
    <w:rsid w:val="003C6464"/>
    <w:rsid w:val="003E1927"/>
    <w:rsid w:val="003E4B73"/>
    <w:rsid w:val="003F5A0A"/>
    <w:rsid w:val="004014CE"/>
    <w:rsid w:val="0040641E"/>
    <w:rsid w:val="00415030"/>
    <w:rsid w:val="00420E5B"/>
    <w:rsid w:val="00425D44"/>
    <w:rsid w:val="0043277C"/>
    <w:rsid w:val="00436817"/>
    <w:rsid w:val="00443EE3"/>
    <w:rsid w:val="00444DC8"/>
    <w:rsid w:val="00453D6F"/>
    <w:rsid w:val="00457647"/>
    <w:rsid w:val="00460920"/>
    <w:rsid w:val="00483D22"/>
    <w:rsid w:val="00483EF6"/>
    <w:rsid w:val="004A58DA"/>
    <w:rsid w:val="004B4ECC"/>
    <w:rsid w:val="004C6893"/>
    <w:rsid w:val="004C7485"/>
    <w:rsid w:val="004D6AA4"/>
    <w:rsid w:val="004D7032"/>
    <w:rsid w:val="004F33FB"/>
    <w:rsid w:val="004F3C94"/>
    <w:rsid w:val="004F4289"/>
    <w:rsid w:val="004F43E0"/>
    <w:rsid w:val="00506302"/>
    <w:rsid w:val="00513940"/>
    <w:rsid w:val="00530035"/>
    <w:rsid w:val="005411CD"/>
    <w:rsid w:val="00546FC8"/>
    <w:rsid w:val="0055108F"/>
    <w:rsid w:val="00556F9E"/>
    <w:rsid w:val="00561C89"/>
    <w:rsid w:val="005754A3"/>
    <w:rsid w:val="0058217F"/>
    <w:rsid w:val="005910D2"/>
    <w:rsid w:val="005A2CC1"/>
    <w:rsid w:val="005C525F"/>
    <w:rsid w:val="006024C5"/>
    <w:rsid w:val="00613A9D"/>
    <w:rsid w:val="006374C6"/>
    <w:rsid w:val="00641756"/>
    <w:rsid w:val="006459B9"/>
    <w:rsid w:val="00654C72"/>
    <w:rsid w:val="006555F2"/>
    <w:rsid w:val="006666CE"/>
    <w:rsid w:val="0068098D"/>
    <w:rsid w:val="00690BF1"/>
    <w:rsid w:val="00691A60"/>
    <w:rsid w:val="006929A6"/>
    <w:rsid w:val="006B6F9C"/>
    <w:rsid w:val="006C54AB"/>
    <w:rsid w:val="006E3C14"/>
    <w:rsid w:val="006E6F60"/>
    <w:rsid w:val="006E79CC"/>
    <w:rsid w:val="006F2411"/>
    <w:rsid w:val="00705F0C"/>
    <w:rsid w:val="00714ABD"/>
    <w:rsid w:val="00737EE0"/>
    <w:rsid w:val="007408B3"/>
    <w:rsid w:val="00750471"/>
    <w:rsid w:val="00764F44"/>
    <w:rsid w:val="007718CA"/>
    <w:rsid w:val="00790A10"/>
    <w:rsid w:val="00790BB1"/>
    <w:rsid w:val="00791AAB"/>
    <w:rsid w:val="00797799"/>
    <w:rsid w:val="007C2B61"/>
    <w:rsid w:val="007C6C13"/>
    <w:rsid w:val="007E4BD0"/>
    <w:rsid w:val="007F74A7"/>
    <w:rsid w:val="008148BD"/>
    <w:rsid w:val="008218D3"/>
    <w:rsid w:val="00841140"/>
    <w:rsid w:val="00846220"/>
    <w:rsid w:val="00850BF2"/>
    <w:rsid w:val="00852216"/>
    <w:rsid w:val="008536AB"/>
    <w:rsid w:val="008574E5"/>
    <w:rsid w:val="00860280"/>
    <w:rsid w:val="00864CE1"/>
    <w:rsid w:val="00885BDC"/>
    <w:rsid w:val="00896BF1"/>
    <w:rsid w:val="008A6F86"/>
    <w:rsid w:val="008A78D5"/>
    <w:rsid w:val="008D0F49"/>
    <w:rsid w:val="008D123B"/>
    <w:rsid w:val="008D7B49"/>
    <w:rsid w:val="008E7ED2"/>
    <w:rsid w:val="008F17E3"/>
    <w:rsid w:val="008F4C22"/>
    <w:rsid w:val="009027ED"/>
    <w:rsid w:val="0091175F"/>
    <w:rsid w:val="00914E01"/>
    <w:rsid w:val="00917F21"/>
    <w:rsid w:val="0092126D"/>
    <w:rsid w:val="00942F72"/>
    <w:rsid w:val="00953272"/>
    <w:rsid w:val="00961FF3"/>
    <w:rsid w:val="00982AFB"/>
    <w:rsid w:val="0099262D"/>
    <w:rsid w:val="009A467E"/>
    <w:rsid w:val="009C54BE"/>
    <w:rsid w:val="009D1971"/>
    <w:rsid w:val="009E5F43"/>
    <w:rsid w:val="009F3445"/>
    <w:rsid w:val="009F34B4"/>
    <w:rsid w:val="00A12BEC"/>
    <w:rsid w:val="00A16C71"/>
    <w:rsid w:val="00A44231"/>
    <w:rsid w:val="00A47FD1"/>
    <w:rsid w:val="00A63F1A"/>
    <w:rsid w:val="00A66A29"/>
    <w:rsid w:val="00A84C5B"/>
    <w:rsid w:val="00A94D17"/>
    <w:rsid w:val="00A96BF5"/>
    <w:rsid w:val="00AC3AF8"/>
    <w:rsid w:val="00AD69B2"/>
    <w:rsid w:val="00AE4C19"/>
    <w:rsid w:val="00B14E8D"/>
    <w:rsid w:val="00B459CD"/>
    <w:rsid w:val="00B54749"/>
    <w:rsid w:val="00B649D9"/>
    <w:rsid w:val="00B73292"/>
    <w:rsid w:val="00B743BA"/>
    <w:rsid w:val="00B854B0"/>
    <w:rsid w:val="00BB0B0C"/>
    <w:rsid w:val="00BB363E"/>
    <w:rsid w:val="00BC3858"/>
    <w:rsid w:val="00BD2DD2"/>
    <w:rsid w:val="00BD4419"/>
    <w:rsid w:val="00BD7D3C"/>
    <w:rsid w:val="00BE43B8"/>
    <w:rsid w:val="00C02B71"/>
    <w:rsid w:val="00C078CD"/>
    <w:rsid w:val="00C161BD"/>
    <w:rsid w:val="00C20A0B"/>
    <w:rsid w:val="00C562A5"/>
    <w:rsid w:val="00C5719B"/>
    <w:rsid w:val="00C6721D"/>
    <w:rsid w:val="00C80B65"/>
    <w:rsid w:val="00C80C9B"/>
    <w:rsid w:val="00C8156B"/>
    <w:rsid w:val="00C832DD"/>
    <w:rsid w:val="00C85747"/>
    <w:rsid w:val="00C870B7"/>
    <w:rsid w:val="00C97FD1"/>
    <w:rsid w:val="00CA64F5"/>
    <w:rsid w:val="00CA763A"/>
    <w:rsid w:val="00CB56C5"/>
    <w:rsid w:val="00CC07F2"/>
    <w:rsid w:val="00CF7EE7"/>
    <w:rsid w:val="00D120AD"/>
    <w:rsid w:val="00D23622"/>
    <w:rsid w:val="00D33E16"/>
    <w:rsid w:val="00D367A3"/>
    <w:rsid w:val="00D448D8"/>
    <w:rsid w:val="00D46D5E"/>
    <w:rsid w:val="00D5592F"/>
    <w:rsid w:val="00D6490C"/>
    <w:rsid w:val="00D65F44"/>
    <w:rsid w:val="00D7365F"/>
    <w:rsid w:val="00D760D3"/>
    <w:rsid w:val="00D815C7"/>
    <w:rsid w:val="00D91CB6"/>
    <w:rsid w:val="00D924A1"/>
    <w:rsid w:val="00DA5ADE"/>
    <w:rsid w:val="00DB3849"/>
    <w:rsid w:val="00DB3A88"/>
    <w:rsid w:val="00DB468C"/>
    <w:rsid w:val="00DD68CA"/>
    <w:rsid w:val="00DD6C9F"/>
    <w:rsid w:val="00DF226D"/>
    <w:rsid w:val="00E04DAD"/>
    <w:rsid w:val="00E05105"/>
    <w:rsid w:val="00E11D7C"/>
    <w:rsid w:val="00E1326F"/>
    <w:rsid w:val="00E37910"/>
    <w:rsid w:val="00E41103"/>
    <w:rsid w:val="00E44D06"/>
    <w:rsid w:val="00E47140"/>
    <w:rsid w:val="00E814E6"/>
    <w:rsid w:val="00EA2180"/>
    <w:rsid w:val="00EA57D9"/>
    <w:rsid w:val="00EA70EA"/>
    <w:rsid w:val="00EA72CE"/>
    <w:rsid w:val="00EB7016"/>
    <w:rsid w:val="00EC0455"/>
    <w:rsid w:val="00EC522A"/>
    <w:rsid w:val="00ED40E7"/>
    <w:rsid w:val="00ED4E43"/>
    <w:rsid w:val="00ED5A56"/>
    <w:rsid w:val="00EE027B"/>
    <w:rsid w:val="00EF2FC7"/>
    <w:rsid w:val="00F05321"/>
    <w:rsid w:val="00F074DE"/>
    <w:rsid w:val="00F07FDE"/>
    <w:rsid w:val="00F164F2"/>
    <w:rsid w:val="00F24602"/>
    <w:rsid w:val="00F35E56"/>
    <w:rsid w:val="00F42F71"/>
    <w:rsid w:val="00F55F6A"/>
    <w:rsid w:val="00F73506"/>
    <w:rsid w:val="00F81D34"/>
    <w:rsid w:val="00F84132"/>
    <w:rsid w:val="00F973B8"/>
    <w:rsid w:val="00FA30D7"/>
    <w:rsid w:val="00FA6961"/>
    <w:rsid w:val="00FC1EB6"/>
    <w:rsid w:val="00FC1FFD"/>
    <w:rsid w:val="00FC7288"/>
    <w:rsid w:val="00FD545F"/>
    <w:rsid w:val="00FD7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B8BA2C"/>
  <w15:docId w15:val="{DD29D591-C72B-45E1-83DD-4137D6C6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80A"/>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380A"/>
    <w:pPr>
      <w:widowControl w:val="0"/>
      <w:autoSpaceDE w:val="0"/>
      <w:autoSpaceDN w:val="0"/>
      <w:adjustRightInd w:val="0"/>
    </w:pPr>
    <w:rPr>
      <w:rFonts w:ascii="Times New Roman" w:hAnsi="Times New Roman" w:cs="Times New Roman"/>
      <w:color w:val="000000"/>
      <w:kern w:val="0"/>
      <w:sz w:val="24"/>
      <w:szCs w:val="24"/>
    </w:rPr>
  </w:style>
  <w:style w:type="paragraph" w:styleId="a3">
    <w:name w:val="No Spacing"/>
    <w:link w:val="a4"/>
    <w:uiPriority w:val="1"/>
    <w:qFormat/>
    <w:rsid w:val="0019380A"/>
    <w:pPr>
      <w:widowControl w:val="0"/>
      <w:jc w:val="both"/>
    </w:pPr>
    <w:rPr>
      <w:lang w:val="en-GB"/>
    </w:rPr>
  </w:style>
  <w:style w:type="character" w:customStyle="1" w:styleId="a4">
    <w:name w:val="行間詰め (文字)"/>
    <w:basedOn w:val="a0"/>
    <w:link w:val="a3"/>
    <w:uiPriority w:val="1"/>
    <w:rsid w:val="0019380A"/>
    <w:rPr>
      <w:lang w:val="en-GB"/>
    </w:rPr>
  </w:style>
  <w:style w:type="paragraph" w:styleId="a5">
    <w:name w:val="header"/>
    <w:basedOn w:val="a"/>
    <w:link w:val="a6"/>
    <w:uiPriority w:val="99"/>
    <w:unhideWhenUsed/>
    <w:rsid w:val="0019380A"/>
    <w:pPr>
      <w:tabs>
        <w:tab w:val="center" w:pos="4252"/>
        <w:tab w:val="right" w:pos="8504"/>
      </w:tabs>
      <w:snapToGrid w:val="0"/>
    </w:pPr>
  </w:style>
  <w:style w:type="character" w:customStyle="1" w:styleId="a6">
    <w:name w:val="ヘッダー (文字)"/>
    <w:basedOn w:val="a0"/>
    <w:link w:val="a5"/>
    <w:uiPriority w:val="99"/>
    <w:rsid w:val="0019380A"/>
    <w:rPr>
      <w:lang w:val="en-GB"/>
    </w:rPr>
  </w:style>
  <w:style w:type="paragraph" w:styleId="a7">
    <w:name w:val="footer"/>
    <w:basedOn w:val="a"/>
    <w:link w:val="a8"/>
    <w:uiPriority w:val="99"/>
    <w:unhideWhenUsed/>
    <w:rsid w:val="0019380A"/>
    <w:pPr>
      <w:tabs>
        <w:tab w:val="center" w:pos="4252"/>
        <w:tab w:val="right" w:pos="8504"/>
      </w:tabs>
      <w:snapToGrid w:val="0"/>
    </w:pPr>
  </w:style>
  <w:style w:type="character" w:customStyle="1" w:styleId="a8">
    <w:name w:val="フッター (文字)"/>
    <w:basedOn w:val="a0"/>
    <w:link w:val="a7"/>
    <w:uiPriority w:val="99"/>
    <w:rsid w:val="0019380A"/>
    <w:rPr>
      <w:lang w:val="en-GB"/>
    </w:rPr>
  </w:style>
  <w:style w:type="paragraph" w:styleId="a9">
    <w:name w:val="Balloon Text"/>
    <w:basedOn w:val="a"/>
    <w:link w:val="aa"/>
    <w:uiPriority w:val="99"/>
    <w:semiHidden/>
    <w:unhideWhenUsed/>
    <w:rsid w:val="0019380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380A"/>
    <w:rPr>
      <w:rFonts w:asciiTheme="majorHAnsi" w:eastAsiaTheme="majorEastAsia" w:hAnsiTheme="majorHAnsi" w:cstheme="majorBidi"/>
      <w:sz w:val="18"/>
      <w:szCs w:val="18"/>
      <w:lang w:val="en-GB"/>
    </w:rPr>
  </w:style>
  <w:style w:type="character" w:styleId="ab">
    <w:name w:val="Hyperlink"/>
    <w:basedOn w:val="a0"/>
    <w:uiPriority w:val="99"/>
    <w:unhideWhenUsed/>
    <w:rsid w:val="0019380A"/>
    <w:rPr>
      <w:color w:val="0000FF"/>
      <w:u w:val="single"/>
    </w:rPr>
  </w:style>
  <w:style w:type="paragraph" w:customStyle="1" w:styleId="EndNoteBibliographyTitle">
    <w:name w:val="EndNote Bibliography Title"/>
    <w:basedOn w:val="a"/>
    <w:link w:val="EndNoteBibliographyTitle0"/>
    <w:rsid w:val="0019380A"/>
    <w:pPr>
      <w:jc w:val="center"/>
    </w:pPr>
    <w:rPr>
      <w:rFonts w:ascii="Times New Roman" w:eastAsia="游明朝" w:hAnsi="Times New Roman" w:cs="Times New Roman"/>
      <w:noProof/>
      <w:sz w:val="20"/>
    </w:rPr>
  </w:style>
  <w:style w:type="character" w:customStyle="1" w:styleId="EndNoteBibliographyTitle0">
    <w:name w:val="EndNote Bibliography Title (文字)"/>
    <w:basedOn w:val="a4"/>
    <w:link w:val="EndNoteBibliographyTitle"/>
    <w:rsid w:val="0019380A"/>
    <w:rPr>
      <w:rFonts w:ascii="Times New Roman" w:eastAsia="游明朝" w:hAnsi="Times New Roman" w:cs="Times New Roman"/>
      <w:noProof/>
      <w:sz w:val="20"/>
      <w:lang w:val="en-GB"/>
    </w:rPr>
  </w:style>
  <w:style w:type="paragraph" w:customStyle="1" w:styleId="EndNoteBibliography">
    <w:name w:val="EndNote Bibliography"/>
    <w:basedOn w:val="a"/>
    <w:link w:val="EndNoteBibliography0"/>
    <w:rsid w:val="0019380A"/>
    <w:rPr>
      <w:rFonts w:ascii="Times New Roman" w:eastAsia="游明朝" w:hAnsi="Times New Roman" w:cs="Times New Roman"/>
      <w:noProof/>
      <w:sz w:val="20"/>
    </w:rPr>
  </w:style>
  <w:style w:type="character" w:customStyle="1" w:styleId="EndNoteBibliography0">
    <w:name w:val="EndNote Bibliography (文字)"/>
    <w:basedOn w:val="a4"/>
    <w:link w:val="EndNoteBibliography"/>
    <w:rsid w:val="0019380A"/>
    <w:rPr>
      <w:rFonts w:ascii="Times New Roman" w:eastAsia="游明朝" w:hAnsi="Times New Roman" w:cs="Times New Roman"/>
      <w:noProof/>
      <w:sz w:val="20"/>
      <w:lang w:val="en-GB"/>
    </w:rPr>
  </w:style>
  <w:style w:type="character" w:styleId="ac">
    <w:name w:val="Strong"/>
    <w:basedOn w:val="a0"/>
    <w:uiPriority w:val="22"/>
    <w:qFormat/>
    <w:rsid w:val="0019380A"/>
    <w:rPr>
      <w:b/>
      <w:bCs/>
    </w:rPr>
  </w:style>
  <w:style w:type="character" w:styleId="ad">
    <w:name w:val="Emphasis"/>
    <w:basedOn w:val="a0"/>
    <w:uiPriority w:val="20"/>
    <w:qFormat/>
    <w:rsid w:val="0019380A"/>
    <w:rPr>
      <w:i/>
      <w:iCs/>
    </w:rPr>
  </w:style>
  <w:style w:type="paragraph" w:styleId="ae">
    <w:name w:val="List Paragraph"/>
    <w:basedOn w:val="a"/>
    <w:uiPriority w:val="34"/>
    <w:qFormat/>
    <w:rsid w:val="0019380A"/>
    <w:pPr>
      <w:ind w:leftChars="400" w:left="840"/>
    </w:pPr>
  </w:style>
  <w:style w:type="character" w:customStyle="1" w:styleId="af">
    <w:name w:val="日付 (文字)"/>
    <w:basedOn w:val="a0"/>
    <w:link w:val="af0"/>
    <w:uiPriority w:val="99"/>
    <w:semiHidden/>
    <w:rsid w:val="0019380A"/>
    <w:rPr>
      <w:lang w:val="en-GB"/>
    </w:rPr>
  </w:style>
  <w:style w:type="paragraph" w:styleId="af0">
    <w:name w:val="Date"/>
    <w:basedOn w:val="a"/>
    <w:next w:val="a"/>
    <w:link w:val="af"/>
    <w:uiPriority w:val="99"/>
    <w:semiHidden/>
    <w:unhideWhenUsed/>
    <w:rsid w:val="0019380A"/>
  </w:style>
  <w:style w:type="character" w:styleId="af1">
    <w:name w:val="annotation reference"/>
    <w:basedOn w:val="a0"/>
    <w:uiPriority w:val="99"/>
    <w:semiHidden/>
    <w:unhideWhenUsed/>
    <w:rsid w:val="0019380A"/>
    <w:rPr>
      <w:sz w:val="16"/>
      <w:szCs w:val="16"/>
    </w:rPr>
  </w:style>
  <w:style w:type="paragraph" w:styleId="af2">
    <w:name w:val="annotation text"/>
    <w:basedOn w:val="a"/>
    <w:link w:val="af3"/>
    <w:uiPriority w:val="99"/>
    <w:unhideWhenUsed/>
    <w:rsid w:val="0019380A"/>
    <w:rPr>
      <w:sz w:val="20"/>
      <w:szCs w:val="20"/>
    </w:rPr>
  </w:style>
  <w:style w:type="character" w:customStyle="1" w:styleId="af3">
    <w:name w:val="コメント文字列 (文字)"/>
    <w:basedOn w:val="a0"/>
    <w:link w:val="af2"/>
    <w:uiPriority w:val="99"/>
    <w:rsid w:val="0019380A"/>
    <w:rPr>
      <w:sz w:val="20"/>
      <w:szCs w:val="20"/>
      <w:lang w:val="en-GB"/>
    </w:rPr>
  </w:style>
  <w:style w:type="character" w:customStyle="1" w:styleId="af4">
    <w:name w:val="コメント内容 (文字)"/>
    <w:basedOn w:val="af3"/>
    <w:link w:val="af5"/>
    <w:uiPriority w:val="99"/>
    <w:semiHidden/>
    <w:rsid w:val="0019380A"/>
    <w:rPr>
      <w:b/>
      <w:bCs/>
      <w:sz w:val="20"/>
      <w:szCs w:val="20"/>
      <w:lang w:val="en-GB"/>
    </w:rPr>
  </w:style>
  <w:style w:type="paragraph" w:styleId="af5">
    <w:name w:val="annotation subject"/>
    <w:basedOn w:val="af2"/>
    <w:next w:val="af2"/>
    <w:link w:val="af4"/>
    <w:uiPriority w:val="99"/>
    <w:semiHidden/>
    <w:unhideWhenUsed/>
    <w:rsid w:val="0019380A"/>
    <w:pPr>
      <w:jc w:val="left"/>
    </w:pPr>
    <w:rPr>
      <w:b/>
      <w:bCs/>
      <w:sz w:val="21"/>
      <w:szCs w:val="22"/>
    </w:rPr>
  </w:style>
  <w:style w:type="character" w:customStyle="1" w:styleId="1">
    <w:name w:val="未解決のメンション1"/>
    <w:basedOn w:val="a0"/>
    <w:uiPriority w:val="99"/>
    <w:semiHidden/>
    <w:unhideWhenUsed/>
    <w:rsid w:val="00613A9D"/>
    <w:rPr>
      <w:color w:val="605E5C"/>
      <w:shd w:val="clear" w:color="auto" w:fill="E1DFDD"/>
    </w:rPr>
  </w:style>
  <w:style w:type="character" w:customStyle="1" w:styleId="10">
    <w:name w:val="日付 (文字)1"/>
    <w:basedOn w:val="a0"/>
    <w:uiPriority w:val="99"/>
    <w:semiHidden/>
    <w:rsid w:val="00E11D7C"/>
    <w:rPr>
      <w:lang w:val="en-GB"/>
    </w:rPr>
  </w:style>
  <w:style w:type="character" w:customStyle="1" w:styleId="11">
    <w:name w:val="コメント内容 (文字)1"/>
    <w:basedOn w:val="af3"/>
    <w:uiPriority w:val="99"/>
    <w:semiHidden/>
    <w:rsid w:val="00E11D7C"/>
    <w:rPr>
      <w:b/>
      <w:bCs/>
      <w:sz w:val="20"/>
      <w:szCs w:val="20"/>
      <w:lang w:val="en-GB"/>
    </w:rPr>
  </w:style>
  <w:style w:type="character" w:customStyle="1" w:styleId="2">
    <w:name w:val="未解決のメンション2"/>
    <w:basedOn w:val="a0"/>
    <w:uiPriority w:val="99"/>
    <w:semiHidden/>
    <w:unhideWhenUsed/>
    <w:rsid w:val="00E11D7C"/>
    <w:rPr>
      <w:color w:val="605E5C"/>
      <w:shd w:val="clear" w:color="auto" w:fill="E1DFDD"/>
    </w:rPr>
  </w:style>
  <w:style w:type="paragraph" w:styleId="af6">
    <w:name w:val="Revision"/>
    <w:hidden/>
    <w:uiPriority w:val="99"/>
    <w:semiHidden/>
    <w:rsid w:val="008F17E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655815">
      <w:bodyDiv w:val="1"/>
      <w:marLeft w:val="0"/>
      <w:marRight w:val="0"/>
      <w:marTop w:val="0"/>
      <w:marBottom w:val="0"/>
      <w:divBdr>
        <w:top w:val="none" w:sz="0" w:space="0" w:color="auto"/>
        <w:left w:val="none" w:sz="0" w:space="0" w:color="auto"/>
        <w:bottom w:val="none" w:sz="0" w:space="0" w:color="auto"/>
        <w:right w:val="none" w:sz="0" w:space="0" w:color="auto"/>
      </w:divBdr>
    </w:div>
    <w:div w:id="1075280573">
      <w:bodyDiv w:val="1"/>
      <w:marLeft w:val="0"/>
      <w:marRight w:val="0"/>
      <w:marTop w:val="0"/>
      <w:marBottom w:val="0"/>
      <w:divBdr>
        <w:top w:val="none" w:sz="0" w:space="0" w:color="auto"/>
        <w:left w:val="none" w:sz="0" w:space="0" w:color="auto"/>
        <w:bottom w:val="none" w:sz="0" w:space="0" w:color="auto"/>
        <w:right w:val="none" w:sz="0" w:space="0" w:color="auto"/>
      </w:divBdr>
      <w:divsChild>
        <w:div w:id="2002657959">
          <w:marLeft w:val="0"/>
          <w:marRight w:val="0"/>
          <w:marTop w:val="0"/>
          <w:marBottom w:val="0"/>
          <w:divBdr>
            <w:top w:val="none" w:sz="0" w:space="0" w:color="auto"/>
            <w:left w:val="none" w:sz="0" w:space="0" w:color="auto"/>
            <w:bottom w:val="none" w:sz="0" w:space="0" w:color="auto"/>
            <w:right w:val="none" w:sz="0" w:space="0" w:color="auto"/>
          </w:divBdr>
          <w:divsChild>
            <w:div w:id="457264070">
              <w:marLeft w:val="300"/>
              <w:marRight w:val="300"/>
              <w:marTop w:val="0"/>
              <w:marBottom w:val="0"/>
              <w:divBdr>
                <w:top w:val="none" w:sz="0" w:space="0" w:color="auto"/>
                <w:left w:val="none" w:sz="0" w:space="0" w:color="auto"/>
                <w:bottom w:val="none" w:sz="0" w:space="0" w:color="auto"/>
                <w:right w:val="none" w:sz="0" w:space="0" w:color="auto"/>
              </w:divBdr>
              <w:divsChild>
                <w:div w:id="803307466">
                  <w:marLeft w:val="0"/>
                  <w:marRight w:val="0"/>
                  <w:marTop w:val="0"/>
                  <w:marBottom w:val="0"/>
                  <w:divBdr>
                    <w:top w:val="none" w:sz="0" w:space="0" w:color="auto"/>
                    <w:left w:val="none" w:sz="0" w:space="0" w:color="auto"/>
                    <w:bottom w:val="none" w:sz="0" w:space="0" w:color="auto"/>
                    <w:right w:val="none" w:sz="0" w:space="0" w:color="auto"/>
                  </w:divBdr>
                  <w:divsChild>
                    <w:div w:id="2025397621">
                      <w:marLeft w:val="0"/>
                      <w:marRight w:val="0"/>
                      <w:marTop w:val="0"/>
                      <w:marBottom w:val="0"/>
                      <w:divBdr>
                        <w:top w:val="none" w:sz="0" w:space="0" w:color="auto"/>
                        <w:left w:val="none" w:sz="0" w:space="0" w:color="auto"/>
                        <w:bottom w:val="none" w:sz="0" w:space="0" w:color="auto"/>
                        <w:right w:val="none" w:sz="0" w:space="0" w:color="auto"/>
                      </w:divBdr>
                      <w:divsChild>
                        <w:div w:id="21414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269550">
          <w:marLeft w:val="0"/>
          <w:marRight w:val="0"/>
          <w:marTop w:val="0"/>
          <w:marBottom w:val="0"/>
          <w:divBdr>
            <w:top w:val="none" w:sz="0" w:space="0" w:color="auto"/>
            <w:left w:val="none" w:sz="0" w:space="0" w:color="auto"/>
            <w:bottom w:val="none" w:sz="0" w:space="0" w:color="auto"/>
            <w:right w:val="none" w:sz="0" w:space="0" w:color="auto"/>
          </w:divBdr>
          <w:divsChild>
            <w:div w:id="1490318973">
              <w:marLeft w:val="0"/>
              <w:marRight w:val="0"/>
              <w:marTop w:val="0"/>
              <w:marBottom w:val="0"/>
              <w:divBdr>
                <w:top w:val="none" w:sz="0" w:space="0" w:color="auto"/>
                <w:left w:val="none" w:sz="0" w:space="0" w:color="auto"/>
                <w:bottom w:val="none" w:sz="0" w:space="0" w:color="auto"/>
                <w:right w:val="none" w:sz="0" w:space="0" w:color="auto"/>
              </w:divBdr>
              <w:divsChild>
                <w:div w:id="1609242651">
                  <w:marLeft w:val="0"/>
                  <w:marRight w:val="0"/>
                  <w:marTop w:val="0"/>
                  <w:marBottom w:val="0"/>
                  <w:divBdr>
                    <w:top w:val="none" w:sz="0" w:space="0" w:color="auto"/>
                    <w:left w:val="none" w:sz="0" w:space="0" w:color="auto"/>
                    <w:bottom w:val="none" w:sz="0" w:space="0" w:color="auto"/>
                    <w:right w:val="none" w:sz="0" w:space="0" w:color="auto"/>
                  </w:divBdr>
                  <w:divsChild>
                    <w:div w:id="428082492">
                      <w:marLeft w:val="0"/>
                      <w:marRight w:val="0"/>
                      <w:marTop w:val="0"/>
                      <w:marBottom w:val="0"/>
                      <w:divBdr>
                        <w:top w:val="none" w:sz="0" w:space="0" w:color="auto"/>
                        <w:left w:val="none" w:sz="0" w:space="0" w:color="auto"/>
                        <w:bottom w:val="none" w:sz="0" w:space="0" w:color="auto"/>
                        <w:right w:val="none" w:sz="0" w:space="0" w:color="auto"/>
                      </w:divBdr>
                      <w:divsChild>
                        <w:div w:id="26491162">
                          <w:marLeft w:val="0"/>
                          <w:marRight w:val="0"/>
                          <w:marTop w:val="0"/>
                          <w:marBottom w:val="0"/>
                          <w:divBdr>
                            <w:top w:val="none" w:sz="0" w:space="0" w:color="auto"/>
                            <w:left w:val="none" w:sz="0" w:space="0" w:color="auto"/>
                            <w:bottom w:val="none" w:sz="0" w:space="0" w:color="auto"/>
                            <w:right w:val="none" w:sz="0" w:space="0" w:color="auto"/>
                          </w:divBdr>
                          <w:divsChild>
                            <w:div w:id="1621188168">
                              <w:marLeft w:val="120"/>
                              <w:marRight w:val="300"/>
                              <w:marTop w:val="0"/>
                              <w:marBottom w:val="120"/>
                              <w:divBdr>
                                <w:top w:val="none" w:sz="0" w:space="0" w:color="auto"/>
                                <w:left w:val="none" w:sz="0" w:space="0" w:color="auto"/>
                                <w:bottom w:val="none" w:sz="0" w:space="0" w:color="auto"/>
                                <w:right w:val="none" w:sz="0" w:space="0" w:color="auto"/>
                              </w:divBdr>
                              <w:divsChild>
                                <w:div w:id="374548842">
                                  <w:marLeft w:val="0"/>
                                  <w:marRight w:val="0"/>
                                  <w:marTop w:val="0"/>
                                  <w:marBottom w:val="0"/>
                                  <w:divBdr>
                                    <w:top w:val="none" w:sz="0" w:space="0" w:color="auto"/>
                                    <w:left w:val="none" w:sz="0" w:space="0" w:color="auto"/>
                                    <w:bottom w:val="none" w:sz="0" w:space="0" w:color="auto"/>
                                    <w:right w:val="none" w:sz="0" w:space="0" w:color="auto"/>
                                  </w:divBdr>
                                  <w:divsChild>
                                    <w:div w:id="886065737">
                                      <w:marLeft w:val="-180"/>
                                      <w:marRight w:val="-180"/>
                                      <w:marTop w:val="0"/>
                                      <w:marBottom w:val="0"/>
                                      <w:divBdr>
                                        <w:top w:val="none" w:sz="0" w:space="0" w:color="auto"/>
                                        <w:left w:val="none" w:sz="0" w:space="0" w:color="auto"/>
                                        <w:bottom w:val="none" w:sz="0" w:space="0" w:color="auto"/>
                                        <w:right w:val="none" w:sz="0" w:space="0" w:color="auto"/>
                                      </w:divBdr>
                                      <w:divsChild>
                                        <w:div w:id="254828348">
                                          <w:marLeft w:val="0"/>
                                          <w:marRight w:val="0"/>
                                          <w:marTop w:val="0"/>
                                          <w:marBottom w:val="0"/>
                                          <w:divBdr>
                                            <w:top w:val="none" w:sz="0" w:space="0" w:color="auto"/>
                                            <w:left w:val="none" w:sz="0" w:space="0" w:color="auto"/>
                                            <w:bottom w:val="none" w:sz="0" w:space="0" w:color="auto"/>
                                            <w:right w:val="none" w:sz="0" w:space="0" w:color="auto"/>
                                          </w:divBdr>
                                          <w:divsChild>
                                            <w:div w:id="2066905247">
                                              <w:marLeft w:val="375"/>
                                              <w:marRight w:val="135"/>
                                              <w:marTop w:val="0"/>
                                              <w:marBottom w:val="0"/>
                                              <w:divBdr>
                                                <w:top w:val="none" w:sz="0" w:space="0" w:color="auto"/>
                                                <w:left w:val="none" w:sz="0" w:space="0" w:color="auto"/>
                                                <w:bottom w:val="none" w:sz="0" w:space="0" w:color="auto"/>
                                                <w:right w:val="none" w:sz="0" w:space="0" w:color="auto"/>
                                              </w:divBdr>
                                            </w:div>
                                          </w:divsChild>
                                        </w:div>
                                      </w:divsChild>
                                    </w:div>
                                    <w:div w:id="1332294436">
                                      <w:marLeft w:val="0"/>
                                      <w:marRight w:val="120"/>
                                      <w:marTop w:val="0"/>
                                      <w:marBottom w:val="0"/>
                                      <w:divBdr>
                                        <w:top w:val="none" w:sz="0" w:space="0" w:color="auto"/>
                                        <w:left w:val="none" w:sz="0" w:space="0" w:color="auto"/>
                                        <w:bottom w:val="none" w:sz="0" w:space="0" w:color="auto"/>
                                        <w:right w:val="none" w:sz="0" w:space="0" w:color="auto"/>
                                      </w:divBdr>
                                      <w:divsChild>
                                        <w:div w:id="487094726">
                                          <w:marLeft w:val="0"/>
                                          <w:marRight w:val="0"/>
                                          <w:marTop w:val="0"/>
                                          <w:marBottom w:val="0"/>
                                          <w:divBdr>
                                            <w:top w:val="none" w:sz="0" w:space="0" w:color="auto"/>
                                            <w:left w:val="none" w:sz="0" w:space="0" w:color="auto"/>
                                            <w:bottom w:val="none" w:sz="0" w:space="0" w:color="auto"/>
                                            <w:right w:val="none" w:sz="0" w:space="0" w:color="auto"/>
                                          </w:divBdr>
                                          <w:divsChild>
                                            <w:div w:id="21450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18919">
                                      <w:marLeft w:val="780"/>
                                      <w:marRight w:val="0"/>
                                      <w:marTop w:val="0"/>
                                      <w:marBottom w:val="0"/>
                                      <w:divBdr>
                                        <w:top w:val="none" w:sz="0" w:space="0" w:color="auto"/>
                                        <w:left w:val="none" w:sz="0" w:space="0" w:color="auto"/>
                                        <w:bottom w:val="none" w:sz="0" w:space="0" w:color="auto"/>
                                        <w:right w:val="none" w:sz="0" w:space="0" w:color="auto"/>
                                      </w:divBdr>
                                      <w:divsChild>
                                        <w:div w:id="660474899">
                                          <w:marLeft w:val="0"/>
                                          <w:marRight w:val="0"/>
                                          <w:marTop w:val="0"/>
                                          <w:marBottom w:val="0"/>
                                          <w:divBdr>
                                            <w:top w:val="none" w:sz="0" w:space="0" w:color="auto"/>
                                            <w:left w:val="none" w:sz="0" w:space="0" w:color="auto"/>
                                            <w:bottom w:val="none" w:sz="0" w:space="0" w:color="auto"/>
                                            <w:right w:val="none" w:sz="0" w:space="0" w:color="auto"/>
                                          </w:divBdr>
                                          <w:divsChild>
                                            <w:div w:id="575170208">
                                              <w:marLeft w:val="0"/>
                                              <w:marRight w:val="0"/>
                                              <w:marTop w:val="0"/>
                                              <w:marBottom w:val="0"/>
                                              <w:divBdr>
                                                <w:top w:val="none" w:sz="0" w:space="0" w:color="auto"/>
                                                <w:left w:val="none" w:sz="0" w:space="0" w:color="auto"/>
                                                <w:bottom w:val="none" w:sz="0" w:space="0" w:color="auto"/>
                                                <w:right w:val="none" w:sz="0" w:space="0" w:color="auto"/>
                                              </w:divBdr>
                                              <w:divsChild>
                                                <w:div w:id="68311367">
                                                  <w:marLeft w:val="0"/>
                                                  <w:marRight w:val="0"/>
                                                  <w:marTop w:val="0"/>
                                                  <w:marBottom w:val="0"/>
                                                  <w:divBdr>
                                                    <w:top w:val="none" w:sz="0" w:space="0" w:color="auto"/>
                                                    <w:left w:val="none" w:sz="0" w:space="0" w:color="auto"/>
                                                    <w:bottom w:val="none" w:sz="0" w:space="0" w:color="auto"/>
                                                    <w:right w:val="none" w:sz="0" w:space="0" w:color="auto"/>
                                                  </w:divBdr>
                                                </w:div>
                                              </w:divsChild>
                                            </w:div>
                                            <w:div w:id="1031415224">
                                              <w:marLeft w:val="0"/>
                                              <w:marRight w:val="0"/>
                                              <w:marTop w:val="30"/>
                                              <w:marBottom w:val="0"/>
                                              <w:divBdr>
                                                <w:top w:val="none" w:sz="0" w:space="0" w:color="auto"/>
                                                <w:left w:val="none" w:sz="0" w:space="0" w:color="auto"/>
                                                <w:bottom w:val="none" w:sz="0" w:space="0" w:color="auto"/>
                                                <w:right w:val="none" w:sz="0" w:space="0" w:color="auto"/>
                                              </w:divBdr>
                                            </w:div>
                                          </w:divsChild>
                                        </w:div>
                                        <w:div w:id="2081556698">
                                          <w:marLeft w:val="0"/>
                                          <w:marRight w:val="0"/>
                                          <w:marTop w:val="0"/>
                                          <w:marBottom w:val="0"/>
                                          <w:divBdr>
                                            <w:top w:val="none" w:sz="0" w:space="0" w:color="auto"/>
                                            <w:left w:val="none" w:sz="0" w:space="0" w:color="auto"/>
                                            <w:bottom w:val="none" w:sz="0" w:space="0" w:color="auto"/>
                                            <w:right w:val="none" w:sz="0" w:space="0" w:color="auto"/>
                                          </w:divBdr>
                                          <w:divsChild>
                                            <w:div w:id="1986811102">
                                              <w:marLeft w:val="0"/>
                                              <w:marRight w:val="0"/>
                                              <w:marTop w:val="0"/>
                                              <w:marBottom w:val="0"/>
                                              <w:divBdr>
                                                <w:top w:val="none" w:sz="0" w:space="0" w:color="auto"/>
                                                <w:left w:val="none" w:sz="0" w:space="0" w:color="auto"/>
                                                <w:bottom w:val="none" w:sz="0" w:space="0" w:color="auto"/>
                                                <w:right w:val="none" w:sz="0" w:space="0" w:color="auto"/>
                                              </w:divBdr>
                                              <w:divsChild>
                                                <w:div w:id="841041871">
                                                  <w:marLeft w:val="0"/>
                                                  <w:marRight w:val="0"/>
                                                  <w:marTop w:val="0"/>
                                                  <w:marBottom w:val="0"/>
                                                  <w:divBdr>
                                                    <w:top w:val="none" w:sz="0" w:space="0" w:color="auto"/>
                                                    <w:left w:val="none" w:sz="0" w:space="0" w:color="auto"/>
                                                    <w:bottom w:val="none" w:sz="0" w:space="0" w:color="auto"/>
                                                    <w:right w:val="none" w:sz="0" w:space="0" w:color="auto"/>
                                                  </w:divBdr>
                                                  <w:divsChild>
                                                    <w:div w:id="1292517035">
                                                      <w:marLeft w:val="0"/>
                                                      <w:marRight w:val="0"/>
                                                      <w:marTop w:val="0"/>
                                                      <w:marBottom w:val="0"/>
                                                      <w:divBdr>
                                                        <w:top w:val="none" w:sz="0" w:space="0" w:color="auto"/>
                                                        <w:left w:val="none" w:sz="0" w:space="0" w:color="auto"/>
                                                        <w:bottom w:val="none" w:sz="0" w:space="0" w:color="auto"/>
                                                        <w:right w:val="none" w:sz="0" w:space="0" w:color="auto"/>
                                                      </w:divBdr>
                                                      <w:divsChild>
                                                        <w:div w:id="802650009">
                                                          <w:marLeft w:val="0"/>
                                                          <w:marRight w:val="0"/>
                                                          <w:marTop w:val="0"/>
                                                          <w:marBottom w:val="0"/>
                                                          <w:divBdr>
                                                            <w:top w:val="none" w:sz="0" w:space="0" w:color="auto"/>
                                                            <w:left w:val="none" w:sz="0" w:space="0" w:color="auto"/>
                                                            <w:bottom w:val="none" w:sz="0" w:space="0" w:color="auto"/>
                                                            <w:right w:val="none" w:sz="0" w:space="0" w:color="auto"/>
                                                          </w:divBdr>
                                                          <w:divsChild>
                                                            <w:div w:id="1622222125">
                                                              <w:marLeft w:val="0"/>
                                                              <w:marRight w:val="0"/>
                                                              <w:marTop w:val="0"/>
                                                              <w:marBottom w:val="0"/>
                                                              <w:divBdr>
                                                                <w:top w:val="none" w:sz="0" w:space="0" w:color="auto"/>
                                                                <w:left w:val="none" w:sz="0" w:space="0" w:color="auto"/>
                                                                <w:bottom w:val="none" w:sz="0" w:space="0" w:color="auto"/>
                                                                <w:right w:val="none" w:sz="0" w:space="0" w:color="auto"/>
                                                              </w:divBdr>
                                                              <w:divsChild>
                                                                <w:div w:id="1375690201">
                                                                  <w:marLeft w:val="0"/>
                                                                  <w:marRight w:val="0"/>
                                                                  <w:marTop w:val="0"/>
                                                                  <w:marBottom w:val="0"/>
                                                                  <w:divBdr>
                                                                    <w:top w:val="none" w:sz="0" w:space="0" w:color="auto"/>
                                                                    <w:left w:val="none" w:sz="0" w:space="0" w:color="auto"/>
                                                                    <w:bottom w:val="none" w:sz="0" w:space="0" w:color="auto"/>
                                                                    <w:right w:val="none" w:sz="0" w:space="0" w:color="auto"/>
                                                                  </w:divBdr>
                                                                  <w:divsChild>
                                                                    <w:div w:id="955328410">
                                                                      <w:marLeft w:val="0"/>
                                                                      <w:marRight w:val="0"/>
                                                                      <w:marTop w:val="0"/>
                                                                      <w:marBottom w:val="0"/>
                                                                      <w:divBdr>
                                                                        <w:top w:val="none" w:sz="0" w:space="0" w:color="auto"/>
                                                                        <w:left w:val="none" w:sz="0" w:space="0" w:color="auto"/>
                                                                        <w:bottom w:val="none" w:sz="0" w:space="0" w:color="auto"/>
                                                                        <w:right w:val="none" w:sz="0" w:space="0" w:color="auto"/>
                                                                      </w:divBdr>
                                                                    </w:div>
                                                                  </w:divsChild>
                                                                </w:div>
                                                                <w:div w:id="1474642954">
                                                                  <w:marLeft w:val="0"/>
                                                                  <w:marRight w:val="0"/>
                                                                  <w:marTop w:val="0"/>
                                                                  <w:marBottom w:val="0"/>
                                                                  <w:divBdr>
                                                                    <w:top w:val="none" w:sz="0" w:space="0" w:color="auto"/>
                                                                    <w:left w:val="none" w:sz="0" w:space="0" w:color="auto"/>
                                                                    <w:bottom w:val="none" w:sz="0" w:space="0" w:color="auto"/>
                                                                    <w:right w:val="none" w:sz="0" w:space="0" w:color="auto"/>
                                                                  </w:divBdr>
                                                                  <w:divsChild>
                                                                    <w:div w:id="1871796863">
                                                                      <w:marLeft w:val="0"/>
                                                                      <w:marRight w:val="0"/>
                                                                      <w:marTop w:val="0"/>
                                                                      <w:marBottom w:val="0"/>
                                                                      <w:divBdr>
                                                                        <w:top w:val="none" w:sz="0" w:space="0" w:color="auto"/>
                                                                        <w:left w:val="none" w:sz="0" w:space="0" w:color="auto"/>
                                                                        <w:bottom w:val="none" w:sz="0" w:space="0" w:color="auto"/>
                                                                        <w:right w:val="none" w:sz="0" w:space="0" w:color="auto"/>
                                                                      </w:divBdr>
                                                                    </w:div>
                                                                  </w:divsChild>
                                                                </w:div>
                                                                <w:div w:id="424422256">
                                                                  <w:marLeft w:val="0"/>
                                                                  <w:marRight w:val="0"/>
                                                                  <w:marTop w:val="0"/>
                                                                  <w:marBottom w:val="0"/>
                                                                  <w:divBdr>
                                                                    <w:top w:val="none" w:sz="0" w:space="0" w:color="auto"/>
                                                                    <w:left w:val="none" w:sz="0" w:space="0" w:color="auto"/>
                                                                    <w:bottom w:val="none" w:sz="0" w:space="0" w:color="auto"/>
                                                                    <w:right w:val="none" w:sz="0" w:space="0" w:color="auto"/>
                                                                  </w:divBdr>
                                                                  <w:divsChild>
                                                                    <w:div w:id="1489202728">
                                                                      <w:marLeft w:val="0"/>
                                                                      <w:marRight w:val="0"/>
                                                                      <w:marTop w:val="0"/>
                                                                      <w:marBottom w:val="0"/>
                                                                      <w:divBdr>
                                                                        <w:top w:val="none" w:sz="0" w:space="0" w:color="auto"/>
                                                                        <w:left w:val="none" w:sz="0" w:space="0" w:color="auto"/>
                                                                        <w:bottom w:val="none" w:sz="0" w:space="0" w:color="auto"/>
                                                                        <w:right w:val="none" w:sz="0" w:space="0" w:color="auto"/>
                                                                      </w:divBdr>
                                                                    </w:div>
                                                                  </w:divsChild>
                                                                </w:div>
                                                                <w:div w:id="1787042138">
                                                                  <w:marLeft w:val="0"/>
                                                                  <w:marRight w:val="0"/>
                                                                  <w:marTop w:val="0"/>
                                                                  <w:marBottom w:val="0"/>
                                                                  <w:divBdr>
                                                                    <w:top w:val="none" w:sz="0" w:space="0" w:color="auto"/>
                                                                    <w:left w:val="none" w:sz="0" w:space="0" w:color="auto"/>
                                                                    <w:bottom w:val="none" w:sz="0" w:space="0" w:color="auto"/>
                                                                    <w:right w:val="none" w:sz="0" w:space="0" w:color="auto"/>
                                                                  </w:divBdr>
                                                                  <w:divsChild>
                                                                    <w:div w:id="41449133">
                                                                      <w:marLeft w:val="0"/>
                                                                      <w:marRight w:val="0"/>
                                                                      <w:marTop w:val="0"/>
                                                                      <w:marBottom w:val="0"/>
                                                                      <w:divBdr>
                                                                        <w:top w:val="none" w:sz="0" w:space="0" w:color="auto"/>
                                                                        <w:left w:val="none" w:sz="0" w:space="0" w:color="auto"/>
                                                                        <w:bottom w:val="none" w:sz="0" w:space="0" w:color="auto"/>
                                                                        <w:right w:val="none" w:sz="0" w:space="0" w:color="auto"/>
                                                                      </w:divBdr>
                                                                    </w:div>
                                                                  </w:divsChild>
                                                                </w:div>
                                                                <w:div w:id="1036465922">
                                                                  <w:marLeft w:val="0"/>
                                                                  <w:marRight w:val="0"/>
                                                                  <w:marTop w:val="0"/>
                                                                  <w:marBottom w:val="0"/>
                                                                  <w:divBdr>
                                                                    <w:top w:val="none" w:sz="0" w:space="0" w:color="auto"/>
                                                                    <w:left w:val="none" w:sz="0" w:space="0" w:color="auto"/>
                                                                    <w:bottom w:val="none" w:sz="0" w:space="0" w:color="auto"/>
                                                                    <w:right w:val="none" w:sz="0" w:space="0" w:color="auto"/>
                                                                  </w:divBdr>
                                                                  <w:divsChild>
                                                                    <w:div w:id="8127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070047">
                                      <w:marLeft w:val="0"/>
                                      <w:marRight w:val="0"/>
                                      <w:marTop w:val="0"/>
                                      <w:marBottom w:val="0"/>
                                      <w:divBdr>
                                        <w:top w:val="none" w:sz="0" w:space="0" w:color="auto"/>
                                        <w:left w:val="none" w:sz="0" w:space="0" w:color="auto"/>
                                        <w:bottom w:val="none" w:sz="0" w:space="0" w:color="auto"/>
                                        <w:right w:val="none" w:sz="0" w:space="0" w:color="auto"/>
                                      </w:divBdr>
                                      <w:divsChild>
                                        <w:div w:id="575094587">
                                          <w:marLeft w:val="0"/>
                                          <w:marRight w:val="0"/>
                                          <w:marTop w:val="0"/>
                                          <w:marBottom w:val="0"/>
                                          <w:divBdr>
                                            <w:top w:val="none" w:sz="0" w:space="0" w:color="auto"/>
                                            <w:left w:val="none" w:sz="0" w:space="0" w:color="auto"/>
                                            <w:bottom w:val="none" w:sz="0" w:space="0" w:color="auto"/>
                                            <w:right w:val="none" w:sz="0" w:space="0" w:color="auto"/>
                                          </w:divBdr>
                                          <w:divsChild>
                                            <w:div w:id="550461377">
                                              <w:marLeft w:val="0"/>
                                              <w:marRight w:val="0"/>
                                              <w:marTop w:val="0"/>
                                              <w:marBottom w:val="0"/>
                                              <w:divBdr>
                                                <w:top w:val="none" w:sz="0" w:space="0" w:color="auto"/>
                                                <w:left w:val="none" w:sz="0" w:space="0" w:color="auto"/>
                                                <w:bottom w:val="none" w:sz="0" w:space="0" w:color="auto"/>
                                                <w:right w:val="none" w:sz="0" w:space="0" w:color="auto"/>
                                              </w:divBdr>
                                              <w:divsChild>
                                                <w:div w:id="21256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11598">
                                  <w:marLeft w:val="780"/>
                                  <w:marRight w:val="240"/>
                                  <w:marTop w:val="180"/>
                                  <w:marBottom w:val="0"/>
                                  <w:divBdr>
                                    <w:top w:val="none" w:sz="0" w:space="0" w:color="auto"/>
                                    <w:left w:val="none" w:sz="0" w:space="0" w:color="auto"/>
                                    <w:bottom w:val="none" w:sz="0" w:space="0" w:color="auto"/>
                                    <w:right w:val="none" w:sz="0" w:space="0" w:color="auto"/>
                                  </w:divBdr>
                                  <w:divsChild>
                                    <w:div w:id="794064833">
                                      <w:marLeft w:val="0"/>
                                      <w:marRight w:val="0"/>
                                      <w:marTop w:val="0"/>
                                      <w:marBottom w:val="0"/>
                                      <w:divBdr>
                                        <w:top w:val="none" w:sz="0" w:space="0" w:color="auto"/>
                                        <w:left w:val="none" w:sz="0" w:space="0" w:color="auto"/>
                                        <w:bottom w:val="none" w:sz="0" w:space="0" w:color="auto"/>
                                        <w:right w:val="none" w:sz="0" w:space="0" w:color="auto"/>
                                      </w:divBdr>
                                      <w:divsChild>
                                        <w:div w:id="623468625">
                                          <w:marLeft w:val="0"/>
                                          <w:marRight w:val="0"/>
                                          <w:marTop w:val="0"/>
                                          <w:marBottom w:val="0"/>
                                          <w:divBdr>
                                            <w:top w:val="none" w:sz="0" w:space="0" w:color="auto"/>
                                            <w:left w:val="none" w:sz="0" w:space="0" w:color="auto"/>
                                            <w:bottom w:val="none" w:sz="0" w:space="0" w:color="auto"/>
                                            <w:right w:val="none" w:sz="0" w:space="0" w:color="auto"/>
                                          </w:divBdr>
                                          <w:divsChild>
                                            <w:div w:id="1838958811">
                                              <w:marLeft w:val="0"/>
                                              <w:marRight w:val="0"/>
                                              <w:marTop w:val="0"/>
                                              <w:marBottom w:val="0"/>
                                              <w:divBdr>
                                                <w:top w:val="none" w:sz="0" w:space="0" w:color="auto"/>
                                                <w:left w:val="none" w:sz="0" w:space="0" w:color="auto"/>
                                                <w:bottom w:val="none" w:sz="0" w:space="0" w:color="auto"/>
                                                <w:right w:val="none" w:sz="0" w:space="0" w:color="auto"/>
                                              </w:divBdr>
                                              <w:divsChild>
                                                <w:div w:id="985742443">
                                                  <w:marLeft w:val="0"/>
                                                  <w:marRight w:val="0"/>
                                                  <w:marTop w:val="0"/>
                                                  <w:marBottom w:val="0"/>
                                                  <w:divBdr>
                                                    <w:top w:val="none" w:sz="0" w:space="0" w:color="auto"/>
                                                    <w:left w:val="none" w:sz="0" w:space="0" w:color="auto"/>
                                                    <w:bottom w:val="none" w:sz="0" w:space="0" w:color="auto"/>
                                                    <w:right w:val="none" w:sz="0" w:space="0" w:color="auto"/>
                                                  </w:divBdr>
                                                  <w:divsChild>
                                                    <w:div w:id="1100641126">
                                                      <w:marLeft w:val="0"/>
                                                      <w:marRight w:val="0"/>
                                                      <w:marTop w:val="0"/>
                                                      <w:marBottom w:val="0"/>
                                                      <w:divBdr>
                                                        <w:top w:val="none" w:sz="0" w:space="0" w:color="auto"/>
                                                        <w:left w:val="none" w:sz="0" w:space="0" w:color="auto"/>
                                                        <w:bottom w:val="none" w:sz="0" w:space="0" w:color="auto"/>
                                                        <w:right w:val="none" w:sz="0" w:space="0" w:color="auto"/>
                                                      </w:divBdr>
                                                      <w:divsChild>
                                                        <w:div w:id="241376600">
                                                          <w:marLeft w:val="0"/>
                                                          <w:marRight w:val="0"/>
                                                          <w:marTop w:val="0"/>
                                                          <w:marBottom w:val="0"/>
                                                          <w:divBdr>
                                                            <w:top w:val="none" w:sz="0" w:space="0" w:color="auto"/>
                                                            <w:left w:val="none" w:sz="0" w:space="0" w:color="auto"/>
                                                            <w:bottom w:val="none" w:sz="0" w:space="0" w:color="auto"/>
                                                            <w:right w:val="none" w:sz="0" w:space="0" w:color="auto"/>
                                                          </w:divBdr>
                                                          <w:divsChild>
                                                            <w:div w:id="16725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0772">
                                  <w:marLeft w:val="660"/>
                                  <w:marRight w:val="240"/>
                                  <w:marTop w:val="180"/>
                                  <w:marBottom w:val="0"/>
                                  <w:divBdr>
                                    <w:top w:val="none" w:sz="0" w:space="0" w:color="auto"/>
                                    <w:left w:val="none" w:sz="0" w:space="0" w:color="auto"/>
                                    <w:bottom w:val="none" w:sz="0" w:space="0" w:color="auto"/>
                                    <w:right w:val="none" w:sz="0" w:space="0" w:color="auto"/>
                                  </w:divBdr>
                                </w:div>
                              </w:divsChild>
                            </w:div>
                          </w:divsChild>
                        </w:div>
                        <w:div w:id="1238589587">
                          <w:marLeft w:val="0"/>
                          <w:marRight w:val="0"/>
                          <w:marTop w:val="0"/>
                          <w:marBottom w:val="0"/>
                          <w:divBdr>
                            <w:top w:val="none" w:sz="0" w:space="0" w:color="auto"/>
                            <w:left w:val="none" w:sz="0" w:space="0" w:color="auto"/>
                            <w:bottom w:val="none" w:sz="0" w:space="0" w:color="auto"/>
                            <w:right w:val="none" w:sz="0" w:space="0" w:color="auto"/>
                          </w:divBdr>
                          <w:divsChild>
                            <w:div w:id="641352777">
                              <w:marLeft w:val="0"/>
                              <w:marRight w:val="0"/>
                              <w:marTop w:val="0"/>
                              <w:marBottom w:val="0"/>
                              <w:divBdr>
                                <w:top w:val="none" w:sz="0" w:space="0" w:color="auto"/>
                                <w:left w:val="none" w:sz="0" w:space="0" w:color="auto"/>
                                <w:bottom w:val="none" w:sz="0" w:space="0" w:color="auto"/>
                                <w:right w:val="none" w:sz="0" w:space="0" w:color="auto"/>
                              </w:divBdr>
                              <w:divsChild>
                                <w:div w:id="1880820577">
                                  <w:marLeft w:val="0"/>
                                  <w:marRight w:val="0"/>
                                  <w:marTop w:val="0"/>
                                  <w:marBottom w:val="0"/>
                                  <w:divBdr>
                                    <w:top w:val="none" w:sz="0" w:space="0" w:color="auto"/>
                                    <w:left w:val="none" w:sz="0" w:space="0" w:color="auto"/>
                                    <w:bottom w:val="none" w:sz="0" w:space="0" w:color="auto"/>
                                    <w:right w:val="none" w:sz="0" w:space="0" w:color="auto"/>
                                  </w:divBdr>
                                  <w:divsChild>
                                    <w:div w:id="477915296">
                                      <w:marLeft w:val="120"/>
                                      <w:marRight w:val="300"/>
                                      <w:marTop w:val="0"/>
                                      <w:marBottom w:val="0"/>
                                      <w:divBdr>
                                        <w:top w:val="none" w:sz="0" w:space="0" w:color="auto"/>
                                        <w:left w:val="none" w:sz="0" w:space="0" w:color="auto"/>
                                        <w:bottom w:val="none" w:sz="0" w:space="0" w:color="auto"/>
                                        <w:right w:val="none" w:sz="0" w:space="0" w:color="auto"/>
                                      </w:divBdr>
                                      <w:divsChild>
                                        <w:div w:id="1435982818">
                                          <w:marLeft w:val="0"/>
                                          <w:marRight w:val="0"/>
                                          <w:marTop w:val="0"/>
                                          <w:marBottom w:val="0"/>
                                          <w:divBdr>
                                            <w:top w:val="none" w:sz="0" w:space="0" w:color="auto"/>
                                            <w:left w:val="none" w:sz="0" w:space="0" w:color="auto"/>
                                            <w:bottom w:val="none" w:sz="0" w:space="0" w:color="auto"/>
                                            <w:right w:val="none" w:sz="0" w:space="0" w:color="auto"/>
                                          </w:divBdr>
                                          <w:divsChild>
                                            <w:div w:id="2064714298">
                                              <w:marLeft w:val="0"/>
                                              <w:marRight w:val="0"/>
                                              <w:marTop w:val="0"/>
                                              <w:marBottom w:val="0"/>
                                              <w:divBdr>
                                                <w:top w:val="none" w:sz="0" w:space="0" w:color="auto"/>
                                                <w:left w:val="none" w:sz="0" w:space="0" w:color="auto"/>
                                                <w:bottom w:val="none" w:sz="0" w:space="0" w:color="auto"/>
                                                <w:right w:val="none" w:sz="0" w:space="0" w:color="auto"/>
                                              </w:divBdr>
                                              <w:divsChild>
                                                <w:div w:id="110977658">
                                                  <w:marLeft w:val="0"/>
                                                  <w:marRight w:val="0"/>
                                                  <w:marTop w:val="0"/>
                                                  <w:marBottom w:val="0"/>
                                                  <w:divBdr>
                                                    <w:top w:val="none" w:sz="0" w:space="0" w:color="auto"/>
                                                    <w:left w:val="none" w:sz="0" w:space="0" w:color="auto"/>
                                                    <w:bottom w:val="none" w:sz="0" w:space="0" w:color="auto"/>
                                                    <w:right w:val="none" w:sz="0" w:space="0" w:color="auto"/>
                                                  </w:divBdr>
                                                  <w:divsChild>
                                                    <w:div w:id="701709360">
                                                      <w:marLeft w:val="0"/>
                                                      <w:marRight w:val="0"/>
                                                      <w:marTop w:val="0"/>
                                                      <w:marBottom w:val="0"/>
                                                      <w:divBdr>
                                                        <w:top w:val="none" w:sz="0" w:space="0" w:color="auto"/>
                                                        <w:left w:val="none" w:sz="0" w:space="0" w:color="auto"/>
                                                        <w:bottom w:val="none" w:sz="0" w:space="0" w:color="auto"/>
                                                        <w:right w:val="none" w:sz="0" w:space="0" w:color="auto"/>
                                                      </w:divBdr>
                                                      <w:divsChild>
                                                        <w:div w:id="1605115684">
                                                          <w:marLeft w:val="0"/>
                                                          <w:marRight w:val="0"/>
                                                          <w:marTop w:val="0"/>
                                                          <w:marBottom w:val="0"/>
                                                          <w:divBdr>
                                                            <w:top w:val="none" w:sz="0" w:space="0" w:color="auto"/>
                                                            <w:left w:val="none" w:sz="0" w:space="0" w:color="auto"/>
                                                            <w:bottom w:val="none" w:sz="0" w:space="0" w:color="auto"/>
                                                            <w:right w:val="none" w:sz="0" w:space="0" w:color="auto"/>
                                                          </w:divBdr>
                                                          <w:divsChild>
                                                            <w:div w:id="340395681">
                                                              <w:marLeft w:val="0"/>
                                                              <w:marRight w:val="0"/>
                                                              <w:marTop w:val="0"/>
                                                              <w:marBottom w:val="0"/>
                                                              <w:divBdr>
                                                                <w:top w:val="none" w:sz="0" w:space="0" w:color="auto"/>
                                                                <w:left w:val="none" w:sz="0" w:space="0" w:color="auto"/>
                                                                <w:bottom w:val="none" w:sz="0" w:space="0" w:color="auto"/>
                                                                <w:right w:val="none" w:sz="0" w:space="0" w:color="auto"/>
                                                              </w:divBdr>
                                                              <w:divsChild>
                                                                <w:div w:id="296880049">
                                                                  <w:marLeft w:val="0"/>
                                                                  <w:marRight w:val="0"/>
                                                                  <w:marTop w:val="0"/>
                                                                  <w:marBottom w:val="0"/>
                                                                  <w:divBdr>
                                                                    <w:top w:val="none" w:sz="0" w:space="0" w:color="auto"/>
                                                                    <w:left w:val="none" w:sz="0" w:space="0" w:color="auto"/>
                                                                    <w:bottom w:val="none" w:sz="0" w:space="0" w:color="auto"/>
                                                                    <w:right w:val="none" w:sz="0" w:space="0" w:color="auto"/>
                                                                  </w:divBdr>
                                                                  <w:divsChild>
                                                                    <w:div w:id="1839807833">
                                                                      <w:marLeft w:val="0"/>
                                                                      <w:marRight w:val="0"/>
                                                                      <w:marTop w:val="0"/>
                                                                      <w:marBottom w:val="0"/>
                                                                      <w:divBdr>
                                                                        <w:top w:val="none" w:sz="0" w:space="0" w:color="auto"/>
                                                                        <w:left w:val="none" w:sz="0" w:space="0" w:color="auto"/>
                                                                        <w:bottom w:val="none" w:sz="0" w:space="0" w:color="auto"/>
                                                                        <w:right w:val="none" w:sz="0" w:space="0" w:color="auto"/>
                                                                      </w:divBdr>
                                                                      <w:divsChild>
                                                                        <w:div w:id="864445759">
                                                                          <w:marLeft w:val="0"/>
                                                                          <w:marRight w:val="0"/>
                                                                          <w:marTop w:val="0"/>
                                                                          <w:marBottom w:val="0"/>
                                                                          <w:divBdr>
                                                                            <w:top w:val="none" w:sz="0" w:space="0" w:color="auto"/>
                                                                            <w:left w:val="none" w:sz="0" w:space="0" w:color="auto"/>
                                                                            <w:bottom w:val="none" w:sz="0" w:space="0" w:color="auto"/>
                                                                            <w:right w:val="none" w:sz="0" w:space="0" w:color="auto"/>
                                                                          </w:divBdr>
                                                                        </w:div>
                                                                        <w:div w:id="1675301008">
                                                                          <w:marLeft w:val="0"/>
                                                                          <w:marRight w:val="0"/>
                                                                          <w:marTop w:val="0"/>
                                                                          <w:marBottom w:val="0"/>
                                                                          <w:divBdr>
                                                                            <w:top w:val="none" w:sz="0" w:space="0" w:color="auto"/>
                                                                            <w:left w:val="none" w:sz="0" w:space="0" w:color="auto"/>
                                                                            <w:bottom w:val="none" w:sz="0" w:space="0" w:color="auto"/>
                                                                            <w:right w:val="none" w:sz="0" w:space="0" w:color="auto"/>
                                                                          </w:divBdr>
                                                                          <w:divsChild>
                                                                            <w:div w:id="13875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7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who.int/nha/database/ViewData/Indicators/en"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65508-C6CB-46B2-BBE3-A67E62FD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16</Pages>
  <Words>5904</Words>
  <Characters>33653</Characters>
  <Application>Microsoft Office Word</Application>
  <DocSecurity>0</DocSecurity>
  <Lines>280</Lines>
  <Paragraphs>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Taniguchi Hiroko</dc:creator>
  <cp:keywords/>
  <dc:description/>
  <cp:lastModifiedBy>Hiroko Taniguchi</cp:lastModifiedBy>
  <cp:revision>56</cp:revision>
  <cp:lastPrinted>2021-04-01T06:38:00Z</cp:lastPrinted>
  <dcterms:created xsi:type="dcterms:W3CDTF">2020-12-28T01:56:00Z</dcterms:created>
  <dcterms:modified xsi:type="dcterms:W3CDTF">2021-08-18T08:16:00Z</dcterms:modified>
</cp:coreProperties>
</file>