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9A8" w:rsidRPr="000D132C" w:rsidRDefault="004039A8" w:rsidP="004039A8">
      <w:pPr>
        <w:spacing w:after="0" w:line="360" w:lineRule="auto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Figure S1. </w:t>
      </w:r>
      <w:r w:rsidRPr="00AA5975">
        <w:rPr>
          <w:rFonts w:cs="Arial"/>
          <w:b/>
          <w:szCs w:val="24"/>
        </w:rPr>
        <w:t xml:space="preserve">Absolute </w:t>
      </w:r>
      <w:r>
        <w:rPr>
          <w:rFonts w:cs="Arial"/>
          <w:b/>
          <w:szCs w:val="24"/>
        </w:rPr>
        <w:t xml:space="preserve">percentage </w:t>
      </w:r>
      <w:r w:rsidRPr="00AA5975">
        <w:rPr>
          <w:rFonts w:cs="Arial"/>
          <w:b/>
          <w:szCs w:val="24"/>
        </w:rPr>
        <w:t xml:space="preserve">enrollment </w:t>
      </w:r>
      <w:r>
        <w:rPr>
          <w:rFonts w:cs="Arial"/>
          <w:b/>
          <w:szCs w:val="24"/>
        </w:rPr>
        <w:t>gap</w:t>
      </w:r>
      <w:r w:rsidRPr="00AA5975">
        <w:rPr>
          <w:rFonts w:cs="Arial"/>
          <w:b/>
          <w:szCs w:val="24"/>
        </w:rPr>
        <w:t xml:space="preserve"> </w:t>
      </w:r>
      <w:r>
        <w:rPr>
          <w:rFonts w:cs="Arial"/>
          <w:b/>
          <w:szCs w:val="24"/>
        </w:rPr>
        <w:t xml:space="preserve">at the population level </w:t>
      </w:r>
      <w:r w:rsidRPr="00AA5975">
        <w:rPr>
          <w:rFonts w:cs="Arial"/>
          <w:b/>
          <w:szCs w:val="24"/>
        </w:rPr>
        <w:t xml:space="preserve">between the </w:t>
      </w:r>
      <w:r>
        <w:rPr>
          <w:rFonts w:cs="Arial"/>
          <w:b/>
          <w:szCs w:val="24"/>
        </w:rPr>
        <w:t xml:space="preserve">lowest and highest </w:t>
      </w:r>
      <w:r w:rsidRPr="00AA5975">
        <w:rPr>
          <w:rFonts w:cs="Arial"/>
          <w:b/>
          <w:szCs w:val="24"/>
        </w:rPr>
        <w:t>wealth groups</w:t>
      </w:r>
    </w:p>
    <w:p w:rsidR="004039A8" w:rsidRPr="00AA5975" w:rsidRDefault="002B47CF" w:rsidP="004039A8">
      <w:pPr>
        <w:spacing w:after="0" w:line="360" w:lineRule="auto"/>
        <w:rPr>
          <w:rFonts w:cs="Arial"/>
          <w:b/>
          <w:szCs w:val="24"/>
        </w:rPr>
      </w:pPr>
      <w:r>
        <w:rPr>
          <w:noProof/>
        </w:rPr>
        <w:drawing>
          <wp:inline distT="0" distB="0" distL="0" distR="0" wp14:anchorId="220D0D69" wp14:editId="1F694532">
            <wp:extent cx="5252720" cy="3910013"/>
            <wp:effectExtent l="0" t="0" r="5080" b="14605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039A8" w:rsidRDefault="004039A8" w:rsidP="004039A8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>Of the 48 studies reviewed, 2</w:t>
      </w:r>
      <w:r w:rsidR="001350F4">
        <w:rPr>
          <w:rFonts w:cs="Arial"/>
          <w:szCs w:val="24"/>
        </w:rPr>
        <w:t xml:space="preserve">0 </w:t>
      </w:r>
      <w:r w:rsidR="002B0DF3">
        <w:rPr>
          <w:rFonts w:cs="Arial"/>
          <w:szCs w:val="24"/>
        </w:rPr>
        <w:t xml:space="preserve">studies from eight countries </w:t>
      </w:r>
      <w:r>
        <w:rPr>
          <w:rFonts w:cs="Arial"/>
          <w:szCs w:val="24"/>
        </w:rPr>
        <w:t>collected data on absolute health insurance enrollment differences at the population level between the highest and lowest groups.</w:t>
      </w:r>
      <w:r w:rsidR="00455245">
        <w:rPr>
          <w:rFonts w:cs="Arial"/>
          <w:szCs w:val="24"/>
        </w:rPr>
        <w:t xml:space="preserve"> However, after removing the one study, which was </w:t>
      </w:r>
      <w:r w:rsidR="002B0DF3">
        <w:rPr>
          <w:rFonts w:cs="Arial"/>
          <w:szCs w:val="24"/>
        </w:rPr>
        <w:t xml:space="preserve">of low quality, </w:t>
      </w:r>
      <w:r w:rsidR="00455245">
        <w:rPr>
          <w:rFonts w:cs="Arial"/>
          <w:szCs w:val="24"/>
        </w:rPr>
        <w:t xml:space="preserve">19 </w:t>
      </w:r>
      <w:r w:rsidR="002B0DF3">
        <w:rPr>
          <w:rFonts w:cs="Arial"/>
          <w:szCs w:val="24"/>
        </w:rPr>
        <w:t>studies remained</w:t>
      </w:r>
      <w:r w:rsidR="00455245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 xml:space="preserve"> Only </w:t>
      </w:r>
      <w:r w:rsidR="00455245">
        <w:rPr>
          <w:rFonts w:cs="Arial"/>
          <w:szCs w:val="24"/>
        </w:rPr>
        <w:t xml:space="preserve">two </w:t>
      </w:r>
      <w:r>
        <w:rPr>
          <w:rFonts w:cs="Arial"/>
          <w:szCs w:val="24"/>
        </w:rPr>
        <w:t>studies</w:t>
      </w:r>
      <w:r w:rsidR="00455245">
        <w:rPr>
          <w:rFonts w:cs="Arial"/>
          <w:szCs w:val="24"/>
        </w:rPr>
        <w:t xml:space="preserve"> from Colombia and</w:t>
      </w:r>
      <w:r w:rsidR="00B85469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Ghana </w:t>
      </w:r>
      <w:r w:rsidR="006372DB">
        <w:rPr>
          <w:rFonts w:cs="Arial"/>
          <w:szCs w:val="24"/>
        </w:rPr>
        <w:fldChar w:fldCharType="begin">
          <w:fldData xml:space="preserve">PEVuZE5vdGU+PENpdGU+PEF1dGhvcj5SdWl6IEdvbWV6PC9BdXRob3I+PFllYXI+MjAxMzwvWWVh
cj48UmVjTnVtPjc0MDwvUmVjTnVtPjxEaXNwbGF5VGV4dD5bMSwgMl08L0Rpc3BsYXlUZXh0Pjxy
ZWNvcmQ+PHJlYy1udW1iZXI+NzQwPC9yZWMtbnVtYmVyPjxmb3JlaWduLWtleXM+PGtleSBhcHA9
IkVOIiBkYi1pZD0iNTlmZmYyMGVtMDVwMnlldHJzbnhzejIydmF0emF0ZTVhMHg1IiB0aW1lc3Rh
bXA9IjE1NzIwMDA2MzYiPjc0MDwva2V5PjwvZm9yZWlnbi1rZXlzPjxyZWYtdHlwZSBuYW1lPSJK
b3VybmFsIEFydGljbGUiPjE3PC9yZWYtdHlwZT48Y29udHJpYnV0b3JzPjxhdXRob3JzPjxhdXRo
b3I+UnVpeiBHb21leiwgRmVybmFuZG88L2F1dGhvcj48YXV0aG9yPlphcGF0YSBKYXJhbWlsbG8s
IFRlYW5hPC9hdXRob3I+PGF1dGhvcj5HYXJhdml0byBCZWx0cmFuLCBMaXo8L2F1dGhvcj48L2F1
dGhvcnM+PC9jb250cmlidXRvcnM+PHRpdGxlcz48dGl0bGU+Q29sb21iaWFuIGhlYWx0aCBjYXJl
IHN5c3RlbTogcmVzdWx0cyBvbiBlcXVpdHkgZm9yIGZpdmUgaGVhbHRoIGRpbWVuc2lvbnMsIDIw
MDMtMjAwODwvdGl0bGU+PHNlY29uZGFyeS10aXRsZT5SZXYgUGFuYW0gU2FsdWQgUHVibHVjYTwv
c2Vjb25kYXJ5LXRpdGxlPjwvdGl0bGVzPjxwZXJpb2RpY2FsPjxmdWxsLXRpdGxlPlJldiBQYW5h
bSBTYWx1ZCBQdWJsdWNhPC9mdWxsLXRpdGxlPjwvcGVyaW9kaWNhbD48cGFnZXM+MTA3LTE5OTwv
cGFnZXM+PHZvbHVtZT4zMzwvdm9sdW1lPjxudW1iZXI+MjwvbnVtYmVyPjxrZXl3b3Jkcz48a2V5
d29yZD5FcXVpdHkgaW4gaGVhbHRoPC9rZXl3b3JkPjxrZXl3b3JkPmVxdWl0eSBpbiBhY2Nlc3M8
L2tleXdvcmQ+PGtleXdvcmQ+aGVhbHRoIHN5c3RlbXM8L2tleXdvcmQ+PC9rZXl3b3Jkcz48ZGF0
ZXM+PHllYXI+MjAxMzwveWVhcj48L2RhdGVzPjxwdWItbG9jYXRpb24+NTI1IDIzUkQgU1QgTlcs
IFdBU0hJTkdUT04sIERDIDIwMDM3IFVTQTwvcHViLWxvY2F0aW9uPjxwdWJsaXNoZXI+UEFOIEFN
RVIgSEVBTFRIIE9SR0FOSVpBVElPTjwvcHVibGlzaGVyPjx1cmxzPjxyZWxhdGVkLXVybHM+PHVy
bD5odHRwOi8vaXJpcy5wYWhvLm9yZy94bWx1aS9iaXRzdHJlYW0vaGFuZGxlLzEyMzQ1Njc4OS85
MjExLzA1LnBkZj9zZXF1ZW5jZT0xJmFtcDtpc0FsbG93ZWQ9eTwvdXJsPjwvcmVsYXRlZC11cmxz
PjxwZGYtdXJscz48dXJsPmZpbGU6Ly9Vc2Vyc1xibGVyaW5ha3Jhc25pcVxMaWJyYXJ5XEFwcGxp
Y2F0aW9uIFN1cHBvcnRcTWVuZGVsZXkgRGVza3RvcFxEb3dubG9hZGVkXFJ1aXogR29tZXosIFph
cGF0YSBKYXJhbWlsbG8sIEdhcmF2aXRvIEJlbHRyYW4gLSAyMDEzIC0gQ29sb21iaWFuIGhlYWx0
aCBjYXJlIHN5c3RlbSByZXN1bHRzIG9uIGVxdWl0eSBmb3IgZml2ZSBoZWFsdGggZGltZW5zaW9u
cywgMjAwMy0ucGRmPC91cmw+PC9wZGYtdXJscz48L3VybHM+PGVsZWN0cm9uaWMtcmVzb3VyY2Ut
bnVtPjEwLjE1OTAvUzEwMjAtNDk4OTIwMTMwMDAyMDAwMDU8L2VsZWN0cm9uaWMtcmVzb3VyY2Ut
bnVtPjwvcmVjb3JkPjwvQ2l0ZT48Q2l0ZT48QXV0aG9yPkJvYXRlbmc8L0F1dGhvcj48WWVhcj4y
MDEzPC9ZZWFyPjxSZWNOdW0+MTc3NTwvUmVjTnVtPjxyZWNvcmQ+PHJlYy1udW1iZXI+MTc3NTwv
cmVjLW51bWJlcj48Zm9yZWlnbi1rZXlzPjxrZXkgYXBwPSJFTiIgZGItaWQ9IjU5ZmZmMjBlbTA1
cDJ5ZXRyc254c3oyMnZhdHphdGU1YTB4NSIgdGltZXN0YW1wPSIxNTczNzM1MDE3Ij4xNzc1PC9r
ZXk+PC9mb3JlaWduLWtleXM+PHJlZi10eXBlIG5hbWU9IkpvdXJuYWwgQXJ0aWNsZSI+MTc8L3Jl
Zi10eXBlPjxjb250cmlidXRvcnM+PGF1dGhvcnM+PGF1dGhvcj5Cb2F0ZW5nLCBEYW5pZWw8L2F1
dGhvcj48YXV0aG9yPkF3dW55b3ItVml0b3IsIERhZHNvbjwvYXV0aG9yPjwvYXV0aG9ycz48L2Nv
bnRyaWJ1dG9ycz48dGl0bGVzPjx0aXRsZT5IZWFsdGggaW5zdXJhbmNlIGluIEdoYW5hOiBldmFs
dWF0aW9uIG9mIHBvbGljeSBob2xkZXJzJmFwb3M7IHBlcmNlcHRpb25zIGFuZCBmYWN0b3JzIGlu
Zmx1ZW5jaW5nIHBvbGljeSByZW5ld2FsIGluIHRoZSBWb2x0YSByZWdpb248L3RpdGxlPjxzZWNv
bmRhcnktdGl0bGU+SW50ZXJuYXRpb25hbCBqb3VybmFsIGZvciBlcXVpdHkgaW4gaGVhbHRoPC9z
ZWNvbmRhcnktdGl0bGU+PC90aXRsZXM+PHBlcmlvZGljYWw+PGZ1bGwtdGl0bGU+SU5URVJOQVRJ
T05BTCBKT1VSTkFMIEZPUiBFUVVJVFkgSU4gSEVBTFRIPC9mdWxsLXRpdGxlPjwvcGVyaW9kaWNh
bD48cGFnZXM+MS0xMDwvcGFnZXM+PHZvbHVtZT4xMjwvdm9sdW1lPjxudW1iZXI+NTA8L251bWJl
cj48ZGF0ZXM+PHllYXI+MjAxMzwveWVhcj48L2RhdGVzPjx1cmxzPjxyZWxhdGVkLXVybHM+PHVy
bD5odHRwOi8vZXF1aXR5aGVhbHRoai5iaW9tZWRjZW50cmFsLmNvbS9hcnRpY2xlcy8xMC4xMTg2
LzE0NzUtOTI3Ni0xMi01MDwvdXJsPjx1cmw+aHR0cDovL3d3dy5uY2JpLm5sbS5uaWguZ292L3B1
Ym1lZC8yMzgyMjU3OTwvdXJsPjx1cmw+aHR0cDovL3d3dy5wdWJtZWRjZW50cmFsLm5paC5nb3Yv
YXJ0aWNsZXJlbmRlci5mY2dpP2FydGlkPVBNQzM3MTY2MzE8L3VybD48L3JlbGF0ZWQtdXJscz48
cGRmLXVybHM+PHVybD5maWxlOi8vVXNlcnNcYmxlcmluYWtyYXNuaXFcTGlicmFyeVxBcHBsaWNh
dGlvbiBTdXBwb3J0XE1lbmRlbGV5IERlc2t0b3BcRG93bmxvYWRlZFxCb2F0ZW5nLCBBd3VueW9y
LVZpdG9yIC0gMjAxMyAtIEhlYWx0aCBpbnN1cmFuY2UgaW4gR2hhbmEgZXZhbHVhdGlvbiBvZiBw
b2xpY3kgaG9sZGVycyZhcG9zOyBwZXJjZXB0aW9ucyBhbmQgZmFjdG9ycyBpbmZsdWVuY2luZyBw
b2xpY3kgcmVuZXcucGRmPC91cmw+PC9wZGYtdXJscz48L3VybHM+PGVsZWN0cm9uaWMtcmVzb3Vy
Y2UtbnVtPjEwLjExODYvMTQ3NS05Mjc2LTEyLTUwPC9lbGVjdHJvbmljLXJlc291cmNlLW51bT48
L3JlY29yZD48L0NpdGU+PC9FbmROb3RlPgB=
</w:fldData>
        </w:fldChar>
      </w:r>
      <w:r w:rsidR="00455245">
        <w:rPr>
          <w:rFonts w:cs="Arial"/>
          <w:szCs w:val="24"/>
        </w:rPr>
        <w:instrText xml:space="preserve"> ADDIN EN.CITE </w:instrText>
      </w:r>
      <w:r w:rsidR="00455245">
        <w:rPr>
          <w:rFonts w:cs="Arial"/>
          <w:szCs w:val="24"/>
        </w:rPr>
        <w:fldChar w:fldCharType="begin">
          <w:fldData xml:space="preserve">PEVuZE5vdGU+PENpdGU+PEF1dGhvcj5SdWl6IEdvbWV6PC9BdXRob3I+PFllYXI+MjAxMzwvWWVh
cj48UmVjTnVtPjc0MDwvUmVjTnVtPjxEaXNwbGF5VGV4dD5bMSwgMl08L0Rpc3BsYXlUZXh0Pjxy
ZWNvcmQ+PHJlYy1udW1iZXI+NzQwPC9yZWMtbnVtYmVyPjxmb3JlaWduLWtleXM+PGtleSBhcHA9
IkVOIiBkYi1pZD0iNTlmZmYyMGVtMDVwMnlldHJzbnhzejIydmF0emF0ZTVhMHg1IiB0aW1lc3Rh
bXA9IjE1NzIwMDA2MzYiPjc0MDwva2V5PjwvZm9yZWlnbi1rZXlzPjxyZWYtdHlwZSBuYW1lPSJK
b3VybmFsIEFydGljbGUiPjE3PC9yZWYtdHlwZT48Y29udHJpYnV0b3JzPjxhdXRob3JzPjxhdXRo
b3I+UnVpeiBHb21leiwgRmVybmFuZG88L2F1dGhvcj48YXV0aG9yPlphcGF0YSBKYXJhbWlsbG8s
IFRlYW5hPC9hdXRob3I+PGF1dGhvcj5HYXJhdml0byBCZWx0cmFuLCBMaXo8L2F1dGhvcj48L2F1
dGhvcnM+PC9jb250cmlidXRvcnM+PHRpdGxlcz48dGl0bGU+Q29sb21iaWFuIGhlYWx0aCBjYXJl
IHN5c3RlbTogcmVzdWx0cyBvbiBlcXVpdHkgZm9yIGZpdmUgaGVhbHRoIGRpbWVuc2lvbnMsIDIw
MDMtMjAwODwvdGl0bGU+PHNlY29uZGFyeS10aXRsZT5SZXYgUGFuYW0gU2FsdWQgUHVibHVjYTwv
c2Vjb25kYXJ5LXRpdGxlPjwvdGl0bGVzPjxwZXJpb2RpY2FsPjxmdWxsLXRpdGxlPlJldiBQYW5h
bSBTYWx1ZCBQdWJsdWNhPC9mdWxsLXRpdGxlPjwvcGVyaW9kaWNhbD48cGFnZXM+MTA3LTE5OTwv
cGFnZXM+PHZvbHVtZT4zMzwvdm9sdW1lPjxudW1iZXI+MjwvbnVtYmVyPjxrZXl3b3Jkcz48a2V5
d29yZD5FcXVpdHkgaW4gaGVhbHRoPC9rZXl3b3JkPjxrZXl3b3JkPmVxdWl0eSBpbiBhY2Nlc3M8
L2tleXdvcmQ+PGtleXdvcmQ+aGVhbHRoIHN5c3RlbXM8L2tleXdvcmQ+PC9rZXl3b3Jkcz48ZGF0
ZXM+PHllYXI+MjAxMzwveWVhcj48L2RhdGVzPjxwdWItbG9jYXRpb24+NTI1IDIzUkQgU1QgTlcs
IFdBU0hJTkdUT04sIERDIDIwMDM3IFVTQTwvcHViLWxvY2F0aW9uPjxwdWJsaXNoZXI+UEFOIEFN
RVIgSEVBTFRIIE9SR0FOSVpBVElPTjwvcHVibGlzaGVyPjx1cmxzPjxyZWxhdGVkLXVybHM+PHVy
bD5odHRwOi8vaXJpcy5wYWhvLm9yZy94bWx1aS9iaXRzdHJlYW0vaGFuZGxlLzEyMzQ1Njc4OS85
MjExLzA1LnBkZj9zZXF1ZW5jZT0xJmFtcDtpc0FsbG93ZWQ9eTwvdXJsPjwvcmVsYXRlZC11cmxz
PjxwZGYtdXJscz48dXJsPmZpbGU6Ly9Vc2Vyc1xibGVyaW5ha3Jhc25pcVxMaWJyYXJ5XEFwcGxp
Y2F0aW9uIFN1cHBvcnRcTWVuZGVsZXkgRGVza3RvcFxEb3dubG9hZGVkXFJ1aXogR29tZXosIFph
cGF0YSBKYXJhbWlsbG8sIEdhcmF2aXRvIEJlbHRyYW4gLSAyMDEzIC0gQ29sb21iaWFuIGhlYWx0
aCBjYXJlIHN5c3RlbSByZXN1bHRzIG9uIGVxdWl0eSBmb3IgZml2ZSBoZWFsdGggZGltZW5zaW9u
cywgMjAwMy0ucGRmPC91cmw+PC9wZGYtdXJscz48L3VybHM+PGVsZWN0cm9uaWMtcmVzb3VyY2Ut
bnVtPjEwLjE1OTAvUzEwMjAtNDk4OTIwMTMwMDAyMDAwMDU8L2VsZWN0cm9uaWMtcmVzb3VyY2Ut
bnVtPjwvcmVjb3JkPjwvQ2l0ZT48Q2l0ZT48QXV0aG9yPkJvYXRlbmc8L0F1dGhvcj48WWVhcj4y
MDEzPC9ZZWFyPjxSZWNOdW0+MTc3NTwvUmVjTnVtPjxyZWNvcmQ+PHJlYy1udW1iZXI+MTc3NTwv
cmVjLW51bWJlcj48Zm9yZWlnbi1rZXlzPjxrZXkgYXBwPSJFTiIgZGItaWQ9IjU5ZmZmMjBlbTA1
cDJ5ZXRyc254c3oyMnZhdHphdGU1YTB4NSIgdGltZXN0YW1wPSIxNTczNzM1MDE3Ij4xNzc1PC9r
ZXk+PC9mb3JlaWduLWtleXM+PHJlZi10eXBlIG5hbWU9IkpvdXJuYWwgQXJ0aWNsZSI+MTc8L3Jl
Zi10eXBlPjxjb250cmlidXRvcnM+PGF1dGhvcnM+PGF1dGhvcj5Cb2F0ZW5nLCBEYW5pZWw8L2F1
dGhvcj48YXV0aG9yPkF3dW55b3ItVml0b3IsIERhZHNvbjwvYXV0aG9yPjwvYXV0aG9ycz48L2Nv
bnRyaWJ1dG9ycz48dGl0bGVzPjx0aXRsZT5IZWFsdGggaW5zdXJhbmNlIGluIEdoYW5hOiBldmFs
dWF0aW9uIG9mIHBvbGljeSBob2xkZXJzJmFwb3M7IHBlcmNlcHRpb25zIGFuZCBmYWN0b3JzIGlu
Zmx1ZW5jaW5nIHBvbGljeSByZW5ld2FsIGluIHRoZSBWb2x0YSByZWdpb248L3RpdGxlPjxzZWNv
bmRhcnktdGl0bGU+SW50ZXJuYXRpb25hbCBqb3VybmFsIGZvciBlcXVpdHkgaW4gaGVhbHRoPC9z
ZWNvbmRhcnktdGl0bGU+PC90aXRsZXM+PHBlcmlvZGljYWw+PGZ1bGwtdGl0bGU+SU5URVJOQVRJ
T05BTCBKT1VSTkFMIEZPUiBFUVVJVFkgSU4gSEVBTFRIPC9mdWxsLXRpdGxlPjwvcGVyaW9kaWNh
bD48cGFnZXM+MS0xMDwvcGFnZXM+PHZvbHVtZT4xMjwvdm9sdW1lPjxudW1iZXI+NTA8L251bWJl
cj48ZGF0ZXM+PHllYXI+MjAxMzwveWVhcj48L2RhdGVzPjx1cmxzPjxyZWxhdGVkLXVybHM+PHVy
bD5odHRwOi8vZXF1aXR5aGVhbHRoai5iaW9tZWRjZW50cmFsLmNvbS9hcnRpY2xlcy8xMC4xMTg2
LzE0NzUtOTI3Ni0xMi01MDwvdXJsPjx1cmw+aHR0cDovL3d3dy5uY2JpLm5sbS5uaWguZ292L3B1
Ym1lZC8yMzgyMjU3OTwvdXJsPjx1cmw+aHR0cDovL3d3dy5wdWJtZWRjZW50cmFsLm5paC5nb3Yv
YXJ0aWNsZXJlbmRlci5mY2dpP2FydGlkPVBNQzM3MTY2MzE8L3VybD48L3JlbGF0ZWQtdXJscz48
cGRmLXVybHM+PHVybD5maWxlOi8vVXNlcnNcYmxlcmluYWtyYXNuaXFcTGlicmFyeVxBcHBsaWNh
dGlvbiBTdXBwb3J0XE1lbmRlbGV5IERlc2t0b3BcRG93bmxvYWRlZFxCb2F0ZW5nLCBBd3VueW9y
LVZpdG9yIC0gMjAxMyAtIEhlYWx0aCBpbnN1cmFuY2UgaW4gR2hhbmEgZXZhbHVhdGlvbiBvZiBw
b2xpY3kgaG9sZGVycyZhcG9zOyBwZXJjZXB0aW9ucyBhbmQgZmFjdG9ycyBpbmZsdWVuY2luZyBw
b2xpY3kgcmVuZXcucGRmPC91cmw+PC9wZGYtdXJscz48L3VybHM+PGVsZWN0cm9uaWMtcmVzb3Vy
Y2UtbnVtPjEwLjExODYvMTQ3NS05Mjc2LTEyLTUwPC9lbGVjdHJvbmljLXJlc291cmNlLW51bT48
L3JlY29yZD48L0NpdGU+PC9FbmROb3RlPgB=
</w:fldData>
        </w:fldChar>
      </w:r>
      <w:r w:rsidR="00455245">
        <w:rPr>
          <w:rFonts w:cs="Arial"/>
          <w:szCs w:val="24"/>
        </w:rPr>
        <w:instrText xml:space="preserve"> ADDIN EN.CITE.DATA </w:instrText>
      </w:r>
      <w:r w:rsidR="00455245">
        <w:rPr>
          <w:rFonts w:cs="Arial"/>
          <w:szCs w:val="24"/>
        </w:rPr>
      </w:r>
      <w:r w:rsidR="00455245">
        <w:rPr>
          <w:rFonts w:cs="Arial"/>
          <w:szCs w:val="24"/>
        </w:rPr>
        <w:fldChar w:fldCharType="end"/>
      </w:r>
      <w:r w:rsidR="006372DB">
        <w:rPr>
          <w:rFonts w:cs="Arial"/>
          <w:szCs w:val="24"/>
        </w:rPr>
      </w:r>
      <w:r w:rsidR="006372DB">
        <w:rPr>
          <w:rFonts w:cs="Arial"/>
          <w:szCs w:val="24"/>
        </w:rPr>
        <w:fldChar w:fldCharType="separate"/>
      </w:r>
      <w:r w:rsidR="00455245">
        <w:rPr>
          <w:rFonts w:cs="Arial"/>
          <w:noProof/>
          <w:szCs w:val="24"/>
        </w:rPr>
        <w:t>[1, 2]</w:t>
      </w:r>
      <w:r w:rsidR="006372DB">
        <w:rPr>
          <w:rFonts w:cs="Arial"/>
          <w:szCs w:val="24"/>
        </w:rPr>
        <w:fldChar w:fldCharType="end"/>
      </w:r>
      <w:r>
        <w:rPr>
          <w:rFonts w:cs="Arial"/>
          <w:szCs w:val="24"/>
        </w:rPr>
        <w:t xml:space="preserve"> reported a higher percentage of enrollment for the lowest wealth groups than the highest wealth groups. Among these studies, the highest enrollment difference was </w:t>
      </w:r>
      <w:r w:rsidR="001350F4">
        <w:rPr>
          <w:rFonts w:cs="Arial"/>
          <w:szCs w:val="24"/>
        </w:rPr>
        <w:t>77.89</w:t>
      </w:r>
      <w:r>
        <w:rPr>
          <w:rFonts w:cs="Arial"/>
          <w:szCs w:val="24"/>
        </w:rPr>
        <w:t xml:space="preserve">% whilst the lowest was </w:t>
      </w:r>
      <w:r w:rsidR="001350F4">
        <w:rPr>
          <w:rFonts w:cs="Arial"/>
          <w:szCs w:val="24"/>
        </w:rPr>
        <w:t>1.7</w:t>
      </w:r>
      <w:r>
        <w:rPr>
          <w:rFonts w:cs="Arial"/>
          <w:szCs w:val="24"/>
        </w:rPr>
        <w:t xml:space="preserve">%. The </w:t>
      </w:r>
      <w:r w:rsidR="00572B40">
        <w:rPr>
          <w:rFonts w:cs="Arial"/>
          <w:szCs w:val="24"/>
        </w:rPr>
        <w:t xml:space="preserve">17 </w:t>
      </w:r>
      <w:r>
        <w:rPr>
          <w:rFonts w:cs="Arial"/>
          <w:szCs w:val="24"/>
        </w:rPr>
        <w:t>studies, which reported a lower enrollment for the lowest wealth groups, enrollment gaps ranged from -</w:t>
      </w:r>
      <w:r w:rsidR="001350F4">
        <w:rPr>
          <w:rFonts w:cs="Arial"/>
          <w:szCs w:val="24"/>
        </w:rPr>
        <w:t>70.84</w:t>
      </w:r>
      <w:r>
        <w:rPr>
          <w:rFonts w:cs="Arial"/>
          <w:szCs w:val="24"/>
        </w:rPr>
        <w:t xml:space="preserve">% to -6.2%. </w:t>
      </w:r>
    </w:p>
    <w:p w:rsidR="004039A8" w:rsidRDefault="004039A8" w:rsidP="004039A8">
      <w:pPr>
        <w:spacing w:after="0" w:line="360" w:lineRule="auto"/>
        <w:rPr>
          <w:rFonts w:cs="Arial"/>
          <w:szCs w:val="24"/>
        </w:rPr>
      </w:pPr>
    </w:p>
    <w:p w:rsidR="006372DB" w:rsidRPr="006372DB" w:rsidRDefault="006372DB" w:rsidP="006372DB">
      <w:pPr>
        <w:spacing w:after="0" w:line="360" w:lineRule="auto"/>
        <w:rPr>
          <w:rFonts w:cs="Arial"/>
          <w:b/>
          <w:szCs w:val="24"/>
        </w:rPr>
      </w:pPr>
      <w:r>
        <w:rPr>
          <w:rFonts w:cs="Arial"/>
          <w:b/>
          <w:szCs w:val="24"/>
        </w:rPr>
        <w:t>References</w:t>
      </w:r>
    </w:p>
    <w:p w:rsidR="00455245" w:rsidRPr="00455245" w:rsidRDefault="006372DB" w:rsidP="00455245">
      <w:pPr>
        <w:pStyle w:val="EndNoteBibliography"/>
        <w:spacing w:after="0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455245" w:rsidRPr="00455245">
        <w:t>1.</w:t>
      </w:r>
      <w:r w:rsidR="00455245" w:rsidRPr="00455245">
        <w:tab/>
        <w:t xml:space="preserve">Ruiz Gomez F, Zapata Jaramillo T, Garavito Beltran L: </w:t>
      </w:r>
      <w:r w:rsidR="00455245" w:rsidRPr="00455245">
        <w:rPr>
          <w:b/>
        </w:rPr>
        <w:t>Colombian health care system: results on equity for five health dimensions, 2003-2008</w:t>
      </w:r>
      <w:r w:rsidR="00455245" w:rsidRPr="00455245">
        <w:t xml:space="preserve">. </w:t>
      </w:r>
      <w:r w:rsidR="00455245" w:rsidRPr="00455245">
        <w:rPr>
          <w:i/>
        </w:rPr>
        <w:t xml:space="preserve">Rev Panam Salud Publuca </w:t>
      </w:r>
      <w:r w:rsidR="00455245" w:rsidRPr="00455245">
        <w:t xml:space="preserve">2013, </w:t>
      </w:r>
      <w:r w:rsidR="00455245" w:rsidRPr="00455245">
        <w:rPr>
          <w:b/>
        </w:rPr>
        <w:t>33</w:t>
      </w:r>
      <w:r w:rsidR="00455245" w:rsidRPr="00455245">
        <w:t>(2):107-199.</w:t>
      </w:r>
    </w:p>
    <w:p w:rsidR="00455245" w:rsidRPr="00455245" w:rsidRDefault="00455245" w:rsidP="00455245">
      <w:pPr>
        <w:pStyle w:val="EndNoteBibliography"/>
        <w:ind w:left="720" w:hanging="720"/>
      </w:pPr>
      <w:r w:rsidRPr="00455245">
        <w:t>2.</w:t>
      </w:r>
      <w:r w:rsidRPr="00455245">
        <w:tab/>
        <w:t xml:space="preserve">Boateng D, Awunyor-Vitor D: </w:t>
      </w:r>
      <w:r w:rsidRPr="00455245">
        <w:rPr>
          <w:b/>
        </w:rPr>
        <w:t>Health insurance in Ghana: evaluation of policy holders' perceptions and factors influencing policy renewal in the Volta region</w:t>
      </w:r>
      <w:r w:rsidRPr="00455245">
        <w:t xml:space="preserve">. </w:t>
      </w:r>
      <w:r w:rsidRPr="00455245">
        <w:rPr>
          <w:i/>
        </w:rPr>
        <w:t xml:space="preserve">International journal for equity in health </w:t>
      </w:r>
      <w:r w:rsidRPr="00455245">
        <w:t xml:space="preserve">2013, </w:t>
      </w:r>
      <w:r w:rsidRPr="00455245">
        <w:rPr>
          <w:b/>
        </w:rPr>
        <w:t>12</w:t>
      </w:r>
      <w:r w:rsidRPr="00455245">
        <w:t>(50):1-10.</w:t>
      </w:r>
    </w:p>
    <w:p w:rsidR="004039A8" w:rsidRPr="00B54AB0" w:rsidRDefault="006372DB">
      <w:pPr>
        <w:rPr>
          <w:rFonts w:cs="Arial"/>
        </w:rPr>
      </w:pPr>
      <w:r>
        <w:rPr>
          <w:rFonts w:cs="Arial"/>
        </w:rPr>
        <w:fldChar w:fldCharType="end"/>
      </w:r>
      <w:bookmarkStart w:id="0" w:name="_GoBack"/>
      <w:bookmarkEnd w:id="0"/>
    </w:p>
    <w:sectPr w:rsidR="004039A8" w:rsidRPr="00B54A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D79" w:rsidRDefault="00146D79" w:rsidP="004039A8">
      <w:pPr>
        <w:spacing w:after="0" w:line="240" w:lineRule="auto"/>
      </w:pPr>
      <w:r>
        <w:separator/>
      </w:r>
    </w:p>
  </w:endnote>
  <w:endnote w:type="continuationSeparator" w:id="0">
    <w:p w:rsidR="00146D79" w:rsidRDefault="00146D79" w:rsidP="00403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D79" w:rsidRDefault="00146D79" w:rsidP="004039A8">
      <w:pPr>
        <w:spacing w:after="0" w:line="240" w:lineRule="auto"/>
      </w:pPr>
      <w:r>
        <w:separator/>
      </w:r>
    </w:p>
  </w:footnote>
  <w:footnote w:type="continuationSeparator" w:id="0">
    <w:p w:rsidR="00146D79" w:rsidRDefault="00146D79" w:rsidP="004039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Health Services Res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9fff20em05p2yetrsnxsz22vatzate5a0x5&quot;&gt;Effectiveness of IHS_LMIC-Converted&lt;record-ids&gt;&lt;item&gt;740&lt;/item&gt;&lt;item&gt;1775&lt;/item&gt;&lt;/record-ids&gt;&lt;/item&gt;&lt;/Libraries&gt;"/>
  </w:docVars>
  <w:rsids>
    <w:rsidRoot w:val="004039A8"/>
    <w:rsid w:val="001171B5"/>
    <w:rsid w:val="001350F4"/>
    <w:rsid w:val="00146D79"/>
    <w:rsid w:val="00154586"/>
    <w:rsid w:val="00193E6A"/>
    <w:rsid w:val="002B0DF3"/>
    <w:rsid w:val="002B47CF"/>
    <w:rsid w:val="002C71D8"/>
    <w:rsid w:val="00384090"/>
    <w:rsid w:val="004039A8"/>
    <w:rsid w:val="00455245"/>
    <w:rsid w:val="004B00AC"/>
    <w:rsid w:val="004D73A1"/>
    <w:rsid w:val="00572B40"/>
    <w:rsid w:val="006372DB"/>
    <w:rsid w:val="00685A5D"/>
    <w:rsid w:val="00770E48"/>
    <w:rsid w:val="00795219"/>
    <w:rsid w:val="007E7077"/>
    <w:rsid w:val="00835D3C"/>
    <w:rsid w:val="008A3A04"/>
    <w:rsid w:val="00986E83"/>
    <w:rsid w:val="009955F5"/>
    <w:rsid w:val="009B20C4"/>
    <w:rsid w:val="00A32B21"/>
    <w:rsid w:val="00A366A4"/>
    <w:rsid w:val="00B31ABC"/>
    <w:rsid w:val="00B54AB0"/>
    <w:rsid w:val="00B85469"/>
    <w:rsid w:val="00C7246E"/>
    <w:rsid w:val="00D344C7"/>
    <w:rsid w:val="00D46D67"/>
    <w:rsid w:val="00D77FE7"/>
    <w:rsid w:val="00E94E09"/>
    <w:rsid w:val="00F2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3E7073C-4FDA-4452-88B8-DA729533C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9A8"/>
    <w:pPr>
      <w:spacing w:after="200" w:line="276" w:lineRule="auto"/>
    </w:pPr>
    <w:rPr>
      <w:rFonts w:ascii="Arial" w:hAnsi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039A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039A8"/>
    <w:rPr>
      <w:rFonts w:ascii="Arial" w:hAnsi="Arial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039A8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6372DB"/>
    <w:pPr>
      <w:spacing w:after="0"/>
      <w:jc w:val="center"/>
    </w:pPr>
    <w:rPr>
      <w:rFonts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372DB"/>
    <w:rPr>
      <w:rFonts w:ascii="Arial" w:hAnsi="Arial" w:cs="Arial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372DB"/>
    <w:pPr>
      <w:spacing w:line="240" w:lineRule="auto"/>
    </w:pPr>
    <w:rPr>
      <w:rFonts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372DB"/>
    <w:rPr>
      <w:rFonts w:ascii="Arial" w:hAnsi="Arial" w:cs="Arial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366092007167395E-2"/>
          <c:y val="2.6241440870815574E-2"/>
          <c:w val="0.88281728323611386"/>
          <c:h val="0.87107536521391038"/>
        </c:manualLayout>
      </c:layout>
      <c:barChart>
        <c:barDir val="bar"/>
        <c:grouping val="clustered"/>
        <c:varyColors val="0"/>
        <c:ser>
          <c:idx val="0"/>
          <c:order val="1"/>
          <c:tx>
            <c:v>Percentage point difference</c:v>
          </c:tx>
          <c:spPr>
            <a:solidFill>
              <a:schemeClr val="bg2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Tabulation!$A$35:$A$57</c:f>
              <c:strCache>
                <c:ptCount val="23"/>
                <c:pt idx="0">
                  <c:v>Adhikari_2013</c:v>
                </c:pt>
                <c:pt idx="1">
                  <c:v>Akazili_2014</c:v>
                </c:pt>
                <c:pt idx="2">
                  <c:v>Mahmood_2018</c:v>
                </c:pt>
                <c:pt idx="3">
                  <c:v>Macha_2014</c:v>
                </c:pt>
                <c:pt idx="4">
                  <c:v>Kotoh_2016</c:v>
                </c:pt>
                <c:pt idx="5">
                  <c:v>Jehu-Appiah_2011</c:v>
                </c:pt>
                <c:pt idx="6">
                  <c:v>Kusi_2018</c:v>
                </c:pt>
                <c:pt idx="7">
                  <c:v>Kumi-Kyereme_2013</c:v>
                </c:pt>
                <c:pt idx="8">
                  <c:v>Amu_2016</c:v>
                </c:pt>
                <c:pt idx="9">
                  <c:v>Bendig_2011</c:v>
                </c:pt>
                <c:pt idx="10">
                  <c:v>Oraro2_2018</c:v>
                </c:pt>
                <c:pt idx="11">
                  <c:v>Oraro2_2018</c:v>
                </c:pt>
                <c:pt idx="12">
                  <c:v>Oraro_2018</c:v>
                </c:pt>
                <c:pt idx="13">
                  <c:v>Oraro_2018</c:v>
                </c:pt>
                <c:pt idx="14">
                  <c:v>Kotoh_2018</c:v>
                </c:pt>
                <c:pt idx="15">
                  <c:v>Khalid_2017</c:v>
                </c:pt>
                <c:pt idx="16">
                  <c:v>Boateng_2013</c:v>
                </c:pt>
                <c:pt idx="17">
                  <c:v>Cofie_2013</c:v>
                </c:pt>
                <c:pt idx="18">
                  <c:v>Van der Wielen_2018</c:v>
                </c:pt>
                <c:pt idx="19">
                  <c:v>Van der Wielen_2018</c:v>
                </c:pt>
                <c:pt idx="20">
                  <c:v>Ruiz Gomez_2013</c:v>
                </c:pt>
                <c:pt idx="21">
                  <c:v>Ruiz Gomez_2013</c:v>
                </c:pt>
                <c:pt idx="22">
                  <c:v>Kuuire_2017</c:v>
                </c:pt>
              </c:strCache>
            </c:strRef>
          </c:cat>
          <c:val>
            <c:numRef>
              <c:f>Tabulation!$B$35:$B$57</c:f>
              <c:numCache>
                <c:formatCode>General</c:formatCode>
                <c:ptCount val="23"/>
                <c:pt idx="0" formatCode="0.00">
                  <c:v>-41.899999999999991</c:v>
                </c:pt>
                <c:pt idx="1">
                  <c:v>-24.4</c:v>
                </c:pt>
                <c:pt idx="2">
                  <c:v>-6.2000000000000028</c:v>
                </c:pt>
                <c:pt idx="3">
                  <c:v>-12.799999999999997</c:v>
                </c:pt>
                <c:pt idx="4">
                  <c:v>-26.799999999999997</c:v>
                </c:pt>
                <c:pt idx="5">
                  <c:v>-13.3</c:v>
                </c:pt>
                <c:pt idx="6">
                  <c:v>-34.399999999999991</c:v>
                </c:pt>
                <c:pt idx="7">
                  <c:v>-19.54</c:v>
                </c:pt>
                <c:pt idx="8">
                  <c:v>-10.080000000000005</c:v>
                </c:pt>
                <c:pt idx="9" formatCode="0.00">
                  <c:v>-24.2</c:v>
                </c:pt>
                <c:pt idx="10">
                  <c:v>-17.899999999999999</c:v>
                </c:pt>
                <c:pt idx="11">
                  <c:v>-13.700000000000003</c:v>
                </c:pt>
                <c:pt idx="12" formatCode="0.00">
                  <c:v>-34.200000000000003</c:v>
                </c:pt>
                <c:pt idx="13" formatCode="0.00">
                  <c:v>-10.7</c:v>
                </c:pt>
                <c:pt idx="14">
                  <c:v>-26.799999999999997</c:v>
                </c:pt>
                <c:pt idx="15">
                  <c:v>-55.400000000000006</c:v>
                </c:pt>
                <c:pt idx="16">
                  <c:v>1.6999999999999886</c:v>
                </c:pt>
                <c:pt idx="17">
                  <c:v>-30.900000000000002</c:v>
                </c:pt>
                <c:pt idx="18" formatCode="0.0">
                  <c:v>-19.009999999999998</c:v>
                </c:pt>
                <c:pt idx="19" formatCode="0.00">
                  <c:v>-15.690000000000005</c:v>
                </c:pt>
                <c:pt idx="20" formatCode="0.00">
                  <c:v>-70.849999999999994</c:v>
                </c:pt>
                <c:pt idx="21" formatCode="0.00">
                  <c:v>77.89</c:v>
                </c:pt>
                <c:pt idx="22">
                  <c:v>-20.100000000000001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BEE-4F15-B589-B22E3EBD90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616334336"/>
        <c:axId val="616330400"/>
      </c:barChart>
      <c:scatterChart>
        <c:scatterStyle val="lineMarker"/>
        <c:varyColors val="0"/>
        <c:ser>
          <c:idx val="1"/>
          <c:order val="0"/>
          <c:tx>
            <c:v>Average enrollment gap</c:v>
          </c:tx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Tabulation!$B$59:$B$60</c:f>
              <c:numCache>
                <c:formatCode>0.00</c:formatCode>
                <c:ptCount val="2"/>
                <c:pt idx="0">
                  <c:v>-19.533913043478261</c:v>
                </c:pt>
                <c:pt idx="1">
                  <c:v>-19.533913043478261</c:v>
                </c:pt>
              </c:numCache>
            </c:numRef>
          </c:xVal>
          <c:yVal>
            <c:numRef>
              <c:f>Tabulation!$A$59:$A$60</c:f>
              <c:numCache>
                <c:formatCode>General</c:formatCode>
                <c:ptCount val="2"/>
                <c:pt idx="0">
                  <c:v>0</c:v>
                </c:pt>
                <c:pt idx="1">
                  <c:v>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2BEE-4F15-B589-B22E3EBD90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85290768"/>
        <c:axId val="685285520"/>
      </c:scatterChart>
      <c:dateAx>
        <c:axId val="6163343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16330400"/>
        <c:crossesAt val="1"/>
        <c:auto val="0"/>
        <c:lblOffset val="100"/>
        <c:baseTimeUnit val="days"/>
      </c:dateAx>
      <c:valAx>
        <c:axId val="616330400"/>
        <c:scaling>
          <c:orientation val="minMax"/>
          <c:max val="80"/>
          <c:min val="-80"/>
        </c:scaling>
        <c:delete val="0"/>
        <c:axPos val="b"/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16334336"/>
        <c:crosses val="autoZero"/>
        <c:crossBetween val="between"/>
        <c:majorUnit val="10"/>
      </c:valAx>
      <c:valAx>
        <c:axId val="685285520"/>
        <c:scaling>
          <c:orientation val="minMax"/>
          <c:max val="1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85290768"/>
        <c:crosses val="max"/>
        <c:crossBetween val="midCat"/>
      </c:valAx>
      <c:valAx>
        <c:axId val="685290768"/>
        <c:scaling>
          <c:orientation val="minMax"/>
        </c:scaling>
        <c:delete val="1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de-CH"/>
                  <a:t>Percentage point difference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" sourceLinked="1"/>
        <c:majorTickMark val="out"/>
        <c:minorTickMark val="none"/>
        <c:tickLblPos val="nextTo"/>
        <c:crossAx val="685285520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066736339987203"/>
          <c:y val="0.16500820609102695"/>
          <c:w val="0.31418927996287194"/>
          <c:h val="0.1332961299072127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3DB0D-871C-4D82-89E0-E3483B01B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Swiss TPH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Osei Afriyie</dc:creator>
  <cp:keywords/>
  <dc:description/>
  <cp:lastModifiedBy>Francis Frank Real</cp:lastModifiedBy>
  <cp:revision>2</cp:revision>
  <dcterms:created xsi:type="dcterms:W3CDTF">2022-02-10T18:37:00Z</dcterms:created>
  <dcterms:modified xsi:type="dcterms:W3CDTF">2022-02-10T18:37:00Z</dcterms:modified>
</cp:coreProperties>
</file>