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961" w:rsidRPr="00460530" w:rsidRDefault="00460530">
      <w:pPr>
        <w:rPr>
          <w:rFonts w:ascii="Arial" w:hAnsi="Arial" w:cs="Arial"/>
          <w:lang w:val="en-US"/>
        </w:rPr>
      </w:pPr>
      <w:r w:rsidRPr="00C014BD">
        <w:rPr>
          <w:rFonts w:ascii="Arial" w:hAnsi="Arial" w:cs="Arial"/>
          <w:b/>
          <w:lang w:val="en-US"/>
        </w:rPr>
        <w:t>Enrolment rate into health insurance schemes among vulnerable groups</w:t>
      </w:r>
    </w:p>
    <w:p w:rsidR="00460530" w:rsidRDefault="00460530" w:rsidP="0012124C">
      <w:pPr>
        <w:pStyle w:val="Caption"/>
      </w:pPr>
      <w:r>
        <w:rPr>
          <w:noProof/>
          <w:lang w:eastAsia="de-CH"/>
        </w:rPr>
        <w:drawing>
          <wp:inline distT="0" distB="0" distL="0" distR="0" wp14:anchorId="1CAEA446" wp14:editId="72E0C9B3">
            <wp:extent cx="5731510" cy="3153410"/>
            <wp:effectExtent l="0" t="0" r="254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12124C" w:rsidRPr="008408DD" w:rsidRDefault="0012124C" w:rsidP="0012124C">
      <w:pPr>
        <w:pStyle w:val="Caption"/>
        <w:rPr>
          <w:rFonts w:cs="Arial"/>
        </w:rPr>
      </w:pPr>
      <w:r>
        <w:t>Notes: Enrollment rates correspond to reported enrollment rates in the lowest wealth quintile with the exception of Laos and South Africa, where data was only available for the lowest education (no formal education) group</w:t>
      </w:r>
    </w:p>
    <w:p w:rsidR="0012124C" w:rsidRDefault="0012124C" w:rsidP="0012124C">
      <w:pPr>
        <w:rPr>
          <w:rFonts w:ascii="Arial" w:hAnsi="Arial" w:cs="Arial"/>
          <w:lang w:val="en-US"/>
        </w:rPr>
      </w:pPr>
      <w:bookmarkStart w:id="0" w:name="_GoBack"/>
      <w:bookmarkEnd w:id="0"/>
    </w:p>
    <w:p w:rsidR="003C12CA" w:rsidRPr="003C12CA" w:rsidRDefault="003C12CA" w:rsidP="0012124C">
      <w:pPr>
        <w:rPr>
          <w:rFonts w:ascii="Arial" w:hAnsi="Arial" w:cs="Arial"/>
          <w:b/>
          <w:lang w:val="en-US"/>
        </w:rPr>
      </w:pPr>
      <w:r w:rsidRPr="003C12CA">
        <w:rPr>
          <w:rFonts w:ascii="Arial" w:hAnsi="Arial" w:cs="Arial"/>
          <w:b/>
          <w:lang w:val="en-US"/>
        </w:rPr>
        <w:t xml:space="preserve">Absolute percentage enrollment gap at the population level between the least and most </w:t>
      </w:r>
      <w:r>
        <w:rPr>
          <w:rFonts w:ascii="Arial" w:hAnsi="Arial" w:cs="Arial"/>
          <w:b/>
          <w:lang w:val="en-US"/>
        </w:rPr>
        <w:t>wealth</w:t>
      </w:r>
      <w:r w:rsidRPr="003C12CA">
        <w:rPr>
          <w:rFonts w:ascii="Arial" w:hAnsi="Arial" w:cs="Arial"/>
          <w:b/>
          <w:lang w:val="en-US"/>
        </w:rPr>
        <w:t xml:space="preserve"> groups</w:t>
      </w:r>
    </w:p>
    <w:p w:rsidR="003C12CA" w:rsidRDefault="003C12CA" w:rsidP="0012124C">
      <w:pPr>
        <w:rPr>
          <w:rFonts w:ascii="Arial" w:hAnsi="Arial" w:cs="Arial"/>
          <w:lang w:val="en-US"/>
        </w:rPr>
      </w:pPr>
      <w:r>
        <w:rPr>
          <w:noProof/>
          <w:lang w:eastAsia="de-CH"/>
        </w:rPr>
        <w:drawing>
          <wp:inline distT="0" distB="0" distL="0" distR="0" wp14:anchorId="55378189" wp14:editId="4D7154DD">
            <wp:extent cx="5922335" cy="4157330"/>
            <wp:effectExtent l="0" t="0" r="254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C12CA" w:rsidRPr="003C12CA" w:rsidRDefault="003C12CA" w:rsidP="003C12CA">
      <w:pPr>
        <w:rPr>
          <w:rFonts w:ascii="Arial" w:hAnsi="Arial" w:cs="Arial"/>
          <w:b/>
          <w:lang w:val="en-US"/>
        </w:rPr>
      </w:pPr>
      <w:r w:rsidRPr="003C12CA">
        <w:rPr>
          <w:rFonts w:ascii="Arial" w:hAnsi="Arial" w:cs="Arial"/>
          <w:b/>
          <w:lang w:val="en-US"/>
        </w:rPr>
        <w:lastRenderedPageBreak/>
        <w:t>Absolute percentage enrollment gap at the population level between the least and most educated groups</w:t>
      </w:r>
    </w:p>
    <w:p w:rsidR="003C12CA" w:rsidRDefault="003C12CA" w:rsidP="0012124C">
      <w:pPr>
        <w:rPr>
          <w:rFonts w:ascii="Arial" w:hAnsi="Arial" w:cs="Arial"/>
          <w:lang w:val="en-US"/>
        </w:rPr>
      </w:pPr>
      <w:r>
        <w:rPr>
          <w:noProof/>
          <w:lang w:eastAsia="de-CH"/>
        </w:rPr>
        <w:drawing>
          <wp:inline distT="0" distB="0" distL="0" distR="0" wp14:anchorId="163A90CB" wp14:editId="5FD17930">
            <wp:extent cx="5731510" cy="3873500"/>
            <wp:effectExtent l="0" t="0" r="254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C12CA" w:rsidRPr="0012124C" w:rsidRDefault="003C12CA" w:rsidP="0012124C">
      <w:pPr>
        <w:rPr>
          <w:rFonts w:ascii="Arial" w:hAnsi="Arial" w:cs="Arial"/>
          <w:lang w:val="en-US"/>
        </w:rPr>
      </w:pPr>
    </w:p>
    <w:sectPr w:rsidR="003C12CA" w:rsidRPr="001212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4C"/>
    <w:rsid w:val="00005E09"/>
    <w:rsid w:val="00026F00"/>
    <w:rsid w:val="0012124C"/>
    <w:rsid w:val="00193E6A"/>
    <w:rsid w:val="00231CB3"/>
    <w:rsid w:val="002725BF"/>
    <w:rsid w:val="002C71D8"/>
    <w:rsid w:val="0035269B"/>
    <w:rsid w:val="003A1E4A"/>
    <w:rsid w:val="003C12CA"/>
    <w:rsid w:val="003F0EAB"/>
    <w:rsid w:val="00446490"/>
    <w:rsid w:val="00460530"/>
    <w:rsid w:val="004947BC"/>
    <w:rsid w:val="004D3BA1"/>
    <w:rsid w:val="0058642B"/>
    <w:rsid w:val="005C1643"/>
    <w:rsid w:val="005E0B23"/>
    <w:rsid w:val="006479EA"/>
    <w:rsid w:val="006B6ADB"/>
    <w:rsid w:val="006F2961"/>
    <w:rsid w:val="00737646"/>
    <w:rsid w:val="00762D5A"/>
    <w:rsid w:val="00770E48"/>
    <w:rsid w:val="00803F61"/>
    <w:rsid w:val="00835D3C"/>
    <w:rsid w:val="00845E89"/>
    <w:rsid w:val="00890767"/>
    <w:rsid w:val="008A3A04"/>
    <w:rsid w:val="008A3BC7"/>
    <w:rsid w:val="008B3092"/>
    <w:rsid w:val="008E7DB2"/>
    <w:rsid w:val="008F6A74"/>
    <w:rsid w:val="00924D46"/>
    <w:rsid w:val="00955D1A"/>
    <w:rsid w:val="009F575E"/>
    <w:rsid w:val="00B54AB0"/>
    <w:rsid w:val="00C204D3"/>
    <w:rsid w:val="00C34D70"/>
    <w:rsid w:val="00C9232D"/>
    <w:rsid w:val="00D250B7"/>
    <w:rsid w:val="00E94E09"/>
    <w:rsid w:val="00EB0C58"/>
    <w:rsid w:val="00F22478"/>
    <w:rsid w:val="00F95E76"/>
    <w:rsid w:val="00FC4C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4BC6"/>
  <w15:chartTrackingRefBased/>
  <w15:docId w15:val="{52413CD3-6386-4A1A-BF93-3952C39A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2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2124C"/>
    <w:pPr>
      <w:spacing w:after="200" w:line="240" w:lineRule="auto"/>
    </w:pPr>
    <w:rPr>
      <w:rFonts w:ascii="Arial" w:hAnsi="Arial"/>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Arbeitsblat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Arbeitsblat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oma.tph.unibas.ch\oseido$\Effectiveness%20of%20IHS_LMIC\data%20extraction_study%20details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464767174020448E-2"/>
          <c:y val="9.5726521495799577E-2"/>
          <c:w val="0.8795053158021795"/>
          <c:h val="0.78740743991047579"/>
        </c:manualLayout>
      </c:layout>
      <c:barChart>
        <c:barDir val="col"/>
        <c:grouping val="clustered"/>
        <c:varyColors val="0"/>
        <c:ser>
          <c:idx val="0"/>
          <c:order val="0"/>
          <c:spPr>
            <a:solidFill>
              <a:schemeClr val="tx2"/>
            </a:solidFill>
            <a:ln>
              <a:noFill/>
            </a:ln>
            <a:effectLst/>
          </c:spPr>
          <c:invertIfNegative val="0"/>
          <c:cat>
            <c:strRef>
              <c:f>Sheet1!$H$55:$H$65</c:f>
              <c:strCache>
                <c:ptCount val="11"/>
                <c:pt idx="0">
                  <c:v>Burkina Faso</c:v>
                </c:pt>
                <c:pt idx="1">
                  <c:v>Kenya</c:v>
                </c:pt>
                <c:pt idx="2">
                  <c:v>Nepal</c:v>
                </c:pt>
                <c:pt idx="3">
                  <c:v>Cameroon</c:v>
                </c:pt>
                <c:pt idx="4">
                  <c:v>Tanzania</c:v>
                </c:pt>
                <c:pt idx="5">
                  <c:v>South Africa*</c:v>
                </c:pt>
                <c:pt idx="6">
                  <c:v>Ghana</c:v>
                </c:pt>
                <c:pt idx="7">
                  <c:v>Bangladesh</c:v>
                </c:pt>
                <c:pt idx="8">
                  <c:v>Laos*</c:v>
                </c:pt>
                <c:pt idx="9">
                  <c:v>Sri Lanka</c:v>
                </c:pt>
                <c:pt idx="10">
                  <c:v>Colombia</c:v>
                </c:pt>
              </c:strCache>
            </c:strRef>
          </c:cat>
          <c:val>
            <c:numRef>
              <c:f>Sheet1!$I$55:$I$65</c:f>
              <c:numCache>
                <c:formatCode>General</c:formatCode>
                <c:ptCount val="11"/>
                <c:pt idx="0">
                  <c:v>10.3</c:v>
                </c:pt>
                <c:pt idx="1">
                  <c:v>17.7</c:v>
                </c:pt>
                <c:pt idx="2">
                  <c:v>22.2</c:v>
                </c:pt>
                <c:pt idx="3">
                  <c:v>23.35</c:v>
                </c:pt>
                <c:pt idx="4">
                  <c:v>35.200000000000003</c:v>
                </c:pt>
                <c:pt idx="5">
                  <c:v>36.299999999999997</c:v>
                </c:pt>
                <c:pt idx="6">
                  <c:v>37.799999999999997</c:v>
                </c:pt>
                <c:pt idx="7" formatCode="0.0">
                  <c:v>50</c:v>
                </c:pt>
                <c:pt idx="8" formatCode="0.0">
                  <c:v>51</c:v>
                </c:pt>
                <c:pt idx="9" formatCode="0.0">
                  <c:v>61</c:v>
                </c:pt>
                <c:pt idx="10">
                  <c:v>83.95</c:v>
                </c:pt>
              </c:numCache>
            </c:numRef>
          </c:val>
          <c:extLst>
            <c:ext xmlns:c16="http://schemas.microsoft.com/office/drawing/2014/chart" uri="{C3380CC4-5D6E-409C-BE32-E72D297353CC}">
              <c16:uniqueId val="{00000000-FAB6-4DDD-BA85-808617FE875A}"/>
            </c:ext>
          </c:extLst>
        </c:ser>
        <c:dLbls>
          <c:showLegendKey val="0"/>
          <c:showVal val="0"/>
          <c:showCatName val="0"/>
          <c:showSerName val="0"/>
          <c:showPercent val="0"/>
          <c:showBubbleSize val="0"/>
        </c:dLbls>
        <c:gapWidth val="219"/>
        <c:overlap val="-27"/>
        <c:axId val="159608912"/>
        <c:axId val="159609568"/>
      </c:barChart>
      <c:catAx>
        <c:axId val="15960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9609568"/>
        <c:crosses val="autoZero"/>
        <c:auto val="1"/>
        <c:lblAlgn val="ctr"/>
        <c:lblOffset val="100"/>
        <c:noMultiLvlLbl val="0"/>
      </c:catAx>
      <c:valAx>
        <c:axId val="1596095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Average enrollment for the </a:t>
                </a:r>
                <a:r>
                  <a:rPr lang="de-CH" baseline="0"/>
                  <a:t> vulnerable </a:t>
                </a:r>
                <a:r>
                  <a:rPr lang="de-CH"/>
                  <a:t>group</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9608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660872478075041E-2"/>
          <c:y val="3.9215759959189002E-2"/>
          <c:w val="0.88765287206984356"/>
          <c:h val="0.84966990483966642"/>
        </c:manualLayout>
      </c:layout>
      <c:barChart>
        <c:barDir val="bar"/>
        <c:grouping val="clustered"/>
        <c:varyColors val="0"/>
        <c:ser>
          <c:idx val="0"/>
          <c:order val="1"/>
          <c:tx>
            <c:v>Percentage point difference</c:v>
          </c:tx>
          <c:spPr>
            <a:solidFill>
              <a:schemeClr val="bg2">
                <a:lumMod val="75000"/>
              </a:schemeClr>
            </a:solidFill>
            <a:ln>
              <a:noFill/>
            </a:ln>
            <a:effectLst/>
          </c:spPr>
          <c:invertIfNegative val="0"/>
          <c:cat>
            <c:strRef>
              <c:f>Tabulation!$A$35:$A$58</c:f>
              <c:strCache>
                <c:ptCount val="24"/>
                <c:pt idx="0">
                  <c:v>Adhikari_2013</c:v>
                </c:pt>
                <c:pt idx="1">
                  <c:v>Akazili_2014</c:v>
                </c:pt>
                <c:pt idx="2">
                  <c:v>Mahmood_2018</c:v>
                </c:pt>
                <c:pt idx="3">
                  <c:v>Macha_2014</c:v>
                </c:pt>
                <c:pt idx="4">
                  <c:v>Amo_2014</c:v>
                </c:pt>
                <c:pt idx="5">
                  <c:v>Kotoh_2016</c:v>
                </c:pt>
                <c:pt idx="6">
                  <c:v>Jehu-Appiah_2011</c:v>
                </c:pt>
                <c:pt idx="7">
                  <c:v>Kusi_2018</c:v>
                </c:pt>
                <c:pt idx="8">
                  <c:v>Kumi-Kyereme_2013</c:v>
                </c:pt>
                <c:pt idx="9">
                  <c:v>Amu_2016</c:v>
                </c:pt>
                <c:pt idx="10">
                  <c:v>Bendig_2011</c:v>
                </c:pt>
                <c:pt idx="11">
                  <c:v>Oraro2_2018</c:v>
                </c:pt>
                <c:pt idx="12">
                  <c:v>Oraro2_2018</c:v>
                </c:pt>
                <c:pt idx="13">
                  <c:v>Oraro_2018</c:v>
                </c:pt>
                <c:pt idx="14">
                  <c:v>Oraro_2018</c:v>
                </c:pt>
                <c:pt idx="15">
                  <c:v>Kotoh_2018</c:v>
                </c:pt>
                <c:pt idx="16">
                  <c:v>Khalid_2017</c:v>
                </c:pt>
                <c:pt idx="17">
                  <c:v>Boateng_2013</c:v>
                </c:pt>
                <c:pt idx="18">
                  <c:v>Cofie_2013</c:v>
                </c:pt>
                <c:pt idx="19">
                  <c:v>Van der Wielen_2018</c:v>
                </c:pt>
                <c:pt idx="20">
                  <c:v>Van der Wielen_2018</c:v>
                </c:pt>
                <c:pt idx="21">
                  <c:v>Ruiz Gomez_2013</c:v>
                </c:pt>
                <c:pt idx="22">
                  <c:v>Ruiz Gomez_2013</c:v>
                </c:pt>
                <c:pt idx="23">
                  <c:v>Kuuire_2017</c:v>
                </c:pt>
              </c:strCache>
            </c:strRef>
          </c:cat>
          <c:val>
            <c:numRef>
              <c:f>Tabulation!$B$35:$B$58</c:f>
              <c:numCache>
                <c:formatCode>General</c:formatCode>
                <c:ptCount val="24"/>
                <c:pt idx="0" formatCode="0.00">
                  <c:v>-41.899999999999991</c:v>
                </c:pt>
                <c:pt idx="1">
                  <c:v>-24.4</c:v>
                </c:pt>
                <c:pt idx="2">
                  <c:v>-6.2000000000000028</c:v>
                </c:pt>
                <c:pt idx="3">
                  <c:v>-12.799999999999997</c:v>
                </c:pt>
                <c:pt idx="4">
                  <c:v>45.4</c:v>
                </c:pt>
                <c:pt idx="5">
                  <c:v>-26.799999999999997</c:v>
                </c:pt>
                <c:pt idx="6">
                  <c:v>-13.3</c:v>
                </c:pt>
                <c:pt idx="7">
                  <c:v>-34.399999999999991</c:v>
                </c:pt>
                <c:pt idx="8">
                  <c:v>-19.54</c:v>
                </c:pt>
                <c:pt idx="9">
                  <c:v>-10.080000000000005</c:v>
                </c:pt>
                <c:pt idx="10" formatCode="0.00">
                  <c:v>-24.2</c:v>
                </c:pt>
                <c:pt idx="11">
                  <c:v>-17.899999999999999</c:v>
                </c:pt>
                <c:pt idx="12">
                  <c:v>-13.700000000000003</c:v>
                </c:pt>
                <c:pt idx="13" formatCode="0.00">
                  <c:v>-34.200000000000003</c:v>
                </c:pt>
                <c:pt idx="14" formatCode="0.00">
                  <c:v>-10.7</c:v>
                </c:pt>
                <c:pt idx="15">
                  <c:v>-26.799999999999997</c:v>
                </c:pt>
                <c:pt idx="16">
                  <c:v>-55.400000000000006</c:v>
                </c:pt>
                <c:pt idx="17">
                  <c:v>1.6999999999999886</c:v>
                </c:pt>
                <c:pt idx="18">
                  <c:v>-30.900000000000002</c:v>
                </c:pt>
                <c:pt idx="19" formatCode="0.0">
                  <c:v>-19.009999999999998</c:v>
                </c:pt>
                <c:pt idx="20" formatCode="0.00">
                  <c:v>-15.690000000000005</c:v>
                </c:pt>
                <c:pt idx="21" formatCode="0.00">
                  <c:v>-70.849999999999994</c:v>
                </c:pt>
                <c:pt idx="22" formatCode="0.00">
                  <c:v>77.89</c:v>
                </c:pt>
                <c:pt idx="23">
                  <c:v>-20.100000000000001</c:v>
                </c:pt>
              </c:numCache>
            </c:numRef>
          </c:val>
          <c:extLst>
            <c:ext xmlns:c16="http://schemas.microsoft.com/office/drawing/2014/chart" uri="{C3380CC4-5D6E-409C-BE32-E72D297353CC}">
              <c16:uniqueId val="{00000000-20FE-45BD-A7A6-11ABC29E12C9}"/>
            </c:ext>
          </c:extLst>
        </c:ser>
        <c:dLbls>
          <c:showLegendKey val="0"/>
          <c:showVal val="0"/>
          <c:showCatName val="0"/>
          <c:showSerName val="0"/>
          <c:showPercent val="0"/>
          <c:showBubbleSize val="0"/>
        </c:dLbls>
        <c:gapWidth val="182"/>
        <c:axId val="616334336"/>
        <c:axId val="616330400"/>
      </c:barChart>
      <c:scatterChart>
        <c:scatterStyle val="lineMarker"/>
        <c:varyColors val="0"/>
        <c:ser>
          <c:idx val="1"/>
          <c:order val="0"/>
          <c:tx>
            <c:v>Average enrollment gap</c:v>
          </c:tx>
          <c:spPr>
            <a:ln w="28575" cap="rnd">
              <a:solidFill>
                <a:schemeClr val="tx1"/>
              </a:solidFill>
              <a:round/>
            </a:ln>
            <a:effectLst/>
          </c:spPr>
          <c:marker>
            <c:symbol val="none"/>
          </c:marker>
          <c:xVal>
            <c:numRef>
              <c:f>Tabulation!$B$60:$B$61</c:f>
              <c:numCache>
                <c:formatCode>0.00</c:formatCode>
                <c:ptCount val="2"/>
                <c:pt idx="0">
                  <c:v>-16.828333333333333</c:v>
                </c:pt>
                <c:pt idx="1">
                  <c:v>-16.828333333333333</c:v>
                </c:pt>
              </c:numCache>
            </c:numRef>
          </c:xVal>
          <c:yVal>
            <c:numRef>
              <c:f>Tabulation!$A$60:$A$61</c:f>
              <c:numCache>
                <c:formatCode>General</c:formatCode>
                <c:ptCount val="2"/>
                <c:pt idx="0">
                  <c:v>0</c:v>
                </c:pt>
                <c:pt idx="1">
                  <c:v>1</c:v>
                </c:pt>
              </c:numCache>
            </c:numRef>
          </c:yVal>
          <c:smooth val="0"/>
          <c:extLst>
            <c:ext xmlns:c16="http://schemas.microsoft.com/office/drawing/2014/chart" uri="{C3380CC4-5D6E-409C-BE32-E72D297353CC}">
              <c16:uniqueId val="{00000001-20FE-45BD-A7A6-11ABC29E12C9}"/>
            </c:ext>
          </c:extLst>
        </c:ser>
        <c:dLbls>
          <c:showLegendKey val="0"/>
          <c:showVal val="0"/>
          <c:showCatName val="0"/>
          <c:showSerName val="0"/>
          <c:showPercent val="0"/>
          <c:showBubbleSize val="0"/>
        </c:dLbls>
        <c:axId val="685290768"/>
        <c:axId val="685285520"/>
      </c:scatterChart>
      <c:dateAx>
        <c:axId val="616334336"/>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de-DE"/>
          </a:p>
        </c:txPr>
        <c:crossAx val="616330400"/>
        <c:crossesAt val="1"/>
        <c:auto val="0"/>
        <c:lblOffset val="100"/>
        <c:baseTimeUnit val="days"/>
      </c:dateAx>
      <c:valAx>
        <c:axId val="616330400"/>
        <c:scaling>
          <c:orientation val="minMax"/>
          <c:max val="50"/>
          <c:min val="-50"/>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16334336"/>
        <c:crosses val="autoZero"/>
        <c:crossBetween val="between"/>
        <c:majorUnit val="10"/>
      </c:valAx>
      <c:valAx>
        <c:axId val="685285520"/>
        <c:scaling>
          <c:orientation val="minMax"/>
          <c:max val="1"/>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85290768"/>
        <c:crosses val="max"/>
        <c:crossBetween val="midCat"/>
      </c:valAx>
      <c:valAx>
        <c:axId val="685290768"/>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Percentage point difference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crossAx val="685285520"/>
        <c:crosses val="autoZero"/>
        <c:crossBetween val="midCat"/>
      </c:valAx>
      <c:spPr>
        <a:noFill/>
        <a:ln>
          <a:noFill/>
        </a:ln>
        <a:effectLst/>
      </c:spPr>
    </c:plotArea>
    <c:legend>
      <c:legendPos val="r"/>
      <c:layout>
        <c:manualLayout>
          <c:xMode val="edge"/>
          <c:yMode val="edge"/>
          <c:x val="0.63612043258990536"/>
          <c:y val="0.16500820609102695"/>
          <c:w val="0.27873606224753822"/>
          <c:h val="0.120321731531638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038781563547275E-2"/>
          <c:y val="2.8828919502001556E-2"/>
          <c:w val="0.87081961677458075"/>
          <c:h val="0.82631249948570606"/>
        </c:manualLayout>
      </c:layout>
      <c:barChart>
        <c:barDir val="bar"/>
        <c:grouping val="clustered"/>
        <c:varyColors val="0"/>
        <c:ser>
          <c:idx val="0"/>
          <c:order val="0"/>
          <c:tx>
            <c:v>Enrollment gap</c:v>
          </c:tx>
          <c:spPr>
            <a:solidFill>
              <a:schemeClr val="accent3"/>
            </a:solidFill>
            <a:ln>
              <a:noFill/>
            </a:ln>
            <a:effectLst/>
          </c:spPr>
          <c:invertIfNegative val="0"/>
          <c:cat>
            <c:strRef>
              <c:f>Tabulation!$A$70:$A$90</c:f>
              <c:strCache>
                <c:ptCount val="21"/>
                <c:pt idx="0">
                  <c:v>Adhikari_2013</c:v>
                </c:pt>
                <c:pt idx="1">
                  <c:v>Akazili_2014</c:v>
                </c:pt>
                <c:pt idx="2">
                  <c:v>Mahmood_2018</c:v>
                </c:pt>
                <c:pt idx="3">
                  <c:v>Amo_2014</c:v>
                </c:pt>
                <c:pt idx="4">
                  <c:v>Macha_2014</c:v>
                </c:pt>
                <c:pt idx="5">
                  <c:v>Alkenbrack_2013</c:v>
                </c:pt>
                <c:pt idx="6">
                  <c:v>Kumi-Kyereme_2013</c:v>
                </c:pt>
                <c:pt idx="7">
                  <c:v>Bendig_2011</c:v>
                </c:pt>
                <c:pt idx="8">
                  <c:v>Oraro_2018</c:v>
                </c:pt>
                <c:pt idx="9">
                  <c:v>Oraro_2018</c:v>
                </c:pt>
                <c:pt idx="10">
                  <c:v>Amu_2016</c:v>
                </c:pt>
                <c:pt idx="11">
                  <c:v>Oraro2_2018</c:v>
                </c:pt>
                <c:pt idx="12">
                  <c:v>Oraro2_2018</c:v>
                </c:pt>
                <c:pt idx="13">
                  <c:v>Khalid_2017</c:v>
                </c:pt>
                <c:pt idx="14">
                  <c:v>Govender_2013</c:v>
                </c:pt>
                <c:pt idx="15">
                  <c:v>Boateng_2013</c:v>
                </c:pt>
                <c:pt idx="16">
                  <c:v>Cofie_2013</c:v>
                </c:pt>
                <c:pt idx="17">
                  <c:v>Goudge_2018</c:v>
                </c:pt>
                <c:pt idx="18">
                  <c:v>Van der Wielen_2018</c:v>
                </c:pt>
                <c:pt idx="19">
                  <c:v>Van der Wielen_2018</c:v>
                </c:pt>
                <c:pt idx="20">
                  <c:v>Kuuire_2017</c:v>
                </c:pt>
              </c:strCache>
            </c:strRef>
          </c:cat>
          <c:val>
            <c:numRef>
              <c:f>Tabulation!$B$70:$B$90</c:f>
              <c:numCache>
                <c:formatCode>General</c:formatCode>
                <c:ptCount val="21"/>
                <c:pt idx="0" formatCode="0.00">
                  <c:v>-40.6</c:v>
                </c:pt>
                <c:pt idx="1">
                  <c:v>-28.200000000000003</c:v>
                </c:pt>
                <c:pt idx="2">
                  <c:v>-18.199999999999996</c:v>
                </c:pt>
                <c:pt idx="3">
                  <c:v>47.2</c:v>
                </c:pt>
                <c:pt idx="4">
                  <c:v>-15.799999999999997</c:v>
                </c:pt>
                <c:pt idx="5" formatCode="0.00">
                  <c:v>-18.3</c:v>
                </c:pt>
                <c:pt idx="6">
                  <c:v>-25.660000000000004</c:v>
                </c:pt>
                <c:pt idx="7">
                  <c:v>-12.9</c:v>
                </c:pt>
                <c:pt idx="8">
                  <c:v>-16.899999999999999</c:v>
                </c:pt>
                <c:pt idx="9">
                  <c:v>-41.21</c:v>
                </c:pt>
                <c:pt idx="10">
                  <c:v>-11.589999999999996</c:v>
                </c:pt>
                <c:pt idx="11" formatCode="0.00">
                  <c:v>-10.3</c:v>
                </c:pt>
                <c:pt idx="12" formatCode="0.00">
                  <c:v>-22.9</c:v>
                </c:pt>
                <c:pt idx="13" formatCode="0.00">
                  <c:v>-23.4</c:v>
                </c:pt>
                <c:pt idx="14">
                  <c:v>15.199999999999996</c:v>
                </c:pt>
                <c:pt idx="15">
                  <c:v>3.0999999999999943</c:v>
                </c:pt>
                <c:pt idx="16" formatCode="0.00">
                  <c:v>-36.9</c:v>
                </c:pt>
                <c:pt idx="17">
                  <c:v>-6.8999999999999986</c:v>
                </c:pt>
                <c:pt idx="18">
                  <c:v>-27.169999999999995</c:v>
                </c:pt>
                <c:pt idx="19">
                  <c:v>-24</c:v>
                </c:pt>
                <c:pt idx="20" formatCode="0.00">
                  <c:v>-17.5</c:v>
                </c:pt>
              </c:numCache>
            </c:numRef>
          </c:val>
          <c:extLst>
            <c:ext xmlns:c16="http://schemas.microsoft.com/office/drawing/2014/chart" uri="{C3380CC4-5D6E-409C-BE32-E72D297353CC}">
              <c16:uniqueId val="{00000000-A1E2-4DFC-8B5B-83AFA25E3ABE}"/>
            </c:ext>
          </c:extLst>
        </c:ser>
        <c:dLbls>
          <c:showLegendKey val="0"/>
          <c:showVal val="0"/>
          <c:showCatName val="0"/>
          <c:showSerName val="0"/>
          <c:showPercent val="0"/>
          <c:showBubbleSize val="0"/>
        </c:dLbls>
        <c:gapWidth val="182"/>
        <c:axId val="654660200"/>
        <c:axId val="654659544"/>
      </c:barChart>
      <c:scatterChart>
        <c:scatterStyle val="lineMarker"/>
        <c:varyColors val="0"/>
        <c:ser>
          <c:idx val="1"/>
          <c:order val="1"/>
          <c:tx>
            <c:v>Average enrollment gap</c:v>
          </c:tx>
          <c:spPr>
            <a:ln w="28575" cap="rnd">
              <a:solidFill>
                <a:schemeClr val="tx1"/>
              </a:solidFill>
              <a:round/>
            </a:ln>
            <a:effectLst/>
          </c:spPr>
          <c:marker>
            <c:symbol val="none"/>
          </c:marker>
          <c:xVal>
            <c:numRef>
              <c:f>Tabulation!$B$92:$B$93</c:f>
              <c:numCache>
                <c:formatCode>0.0</c:formatCode>
                <c:ptCount val="2"/>
                <c:pt idx="0">
                  <c:v>-15.853809523809527</c:v>
                </c:pt>
                <c:pt idx="1">
                  <c:v>-15.853809523809527</c:v>
                </c:pt>
              </c:numCache>
            </c:numRef>
          </c:xVal>
          <c:yVal>
            <c:numRef>
              <c:f>Tabulation!$A$92:$A$93</c:f>
              <c:numCache>
                <c:formatCode>General</c:formatCode>
                <c:ptCount val="2"/>
                <c:pt idx="0">
                  <c:v>0</c:v>
                </c:pt>
                <c:pt idx="1">
                  <c:v>1</c:v>
                </c:pt>
              </c:numCache>
            </c:numRef>
          </c:yVal>
          <c:smooth val="0"/>
          <c:extLst>
            <c:ext xmlns:c16="http://schemas.microsoft.com/office/drawing/2014/chart" uri="{C3380CC4-5D6E-409C-BE32-E72D297353CC}">
              <c16:uniqueId val="{00000001-A1E2-4DFC-8B5B-83AFA25E3ABE}"/>
            </c:ext>
          </c:extLst>
        </c:ser>
        <c:dLbls>
          <c:showLegendKey val="0"/>
          <c:showVal val="0"/>
          <c:showCatName val="0"/>
          <c:showSerName val="0"/>
          <c:showPercent val="0"/>
          <c:showBubbleSize val="0"/>
        </c:dLbls>
        <c:axId val="766267496"/>
        <c:axId val="766272416"/>
      </c:scatterChart>
      <c:catAx>
        <c:axId val="654660200"/>
        <c:scaling>
          <c:orientation val="minMax"/>
        </c:scaling>
        <c:delete val="0"/>
        <c:axPos val="l"/>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de-DE"/>
          </a:p>
        </c:txPr>
        <c:crossAx val="654659544"/>
        <c:crosses val="autoZero"/>
        <c:auto val="1"/>
        <c:lblAlgn val="ctr"/>
        <c:lblOffset val="100"/>
        <c:noMultiLvlLbl val="0"/>
      </c:catAx>
      <c:valAx>
        <c:axId val="654659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Percentage</a:t>
                </a:r>
                <a:r>
                  <a:rPr lang="de-CH" baseline="0"/>
                  <a:t> point difference</a:t>
                </a:r>
                <a:endParaRPr lang="de-CH"/>
              </a:p>
            </c:rich>
          </c:tx>
          <c:layout>
            <c:manualLayout>
              <c:xMode val="edge"/>
              <c:yMode val="edge"/>
              <c:x val="0.5091046697347632"/>
              <c:y val="0.933824094964619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54660200"/>
        <c:crossesAt val="1"/>
        <c:crossBetween val="between"/>
      </c:valAx>
      <c:valAx>
        <c:axId val="766272416"/>
        <c:scaling>
          <c:orientation val="minMax"/>
          <c:max val="1"/>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66267496"/>
        <c:crosses val="max"/>
        <c:crossBetween val="midCat"/>
      </c:valAx>
      <c:valAx>
        <c:axId val="766267496"/>
        <c:scaling>
          <c:orientation val="minMax"/>
        </c:scaling>
        <c:delete val="1"/>
        <c:axPos val="b"/>
        <c:numFmt formatCode="0.0" sourceLinked="1"/>
        <c:majorTickMark val="out"/>
        <c:minorTickMark val="none"/>
        <c:tickLblPos val="nextTo"/>
        <c:crossAx val="766272416"/>
        <c:crosses val="autoZero"/>
        <c:crossBetween val="midCat"/>
      </c:valAx>
      <c:spPr>
        <a:noFill/>
        <a:ln>
          <a:noFill/>
        </a:ln>
        <a:effectLst/>
      </c:spPr>
    </c:plotArea>
    <c:legend>
      <c:legendPos val="r"/>
      <c:layout>
        <c:manualLayout>
          <c:xMode val="edge"/>
          <c:yMode val="edge"/>
          <c:x val="0.68335970318968986"/>
          <c:y val="0.53479754672377033"/>
          <c:w val="0.26781459493122556"/>
          <c:h val="0.121622507376748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2</Pages>
  <Words>68</Words>
  <Characters>433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Osei Afriyie</dc:creator>
  <cp:keywords/>
  <dc:description/>
  <cp:lastModifiedBy>Doris Osei Afriyie</cp:lastModifiedBy>
  <cp:revision>2</cp:revision>
  <dcterms:created xsi:type="dcterms:W3CDTF">2021-11-16T14:31:00Z</dcterms:created>
  <dcterms:modified xsi:type="dcterms:W3CDTF">2021-11-16T16:28:00Z</dcterms:modified>
</cp:coreProperties>
</file>