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9787D" w14:textId="02EB6411" w:rsidR="00EC4E82" w:rsidRPr="005F5D2A" w:rsidRDefault="00017ECA" w:rsidP="00017ECA">
      <w:pPr>
        <w:contextualSpacing/>
        <w:jc w:val="center"/>
        <w:rPr>
          <w:b/>
          <w:bCs/>
          <w:color w:val="000000" w:themeColor="text1"/>
          <w:lang w:val="en-GB"/>
        </w:rPr>
      </w:pPr>
      <w:bookmarkStart w:id="0" w:name="_GoBack"/>
      <w:bookmarkEnd w:id="0"/>
      <w:r>
        <w:rPr>
          <w:b/>
          <w:bCs/>
          <w:color w:val="000000" w:themeColor="text1"/>
          <w:lang w:val="en-GB"/>
        </w:rPr>
        <w:t>Additional</w:t>
      </w:r>
      <w:r w:rsidR="00EC4E82" w:rsidRPr="005F5D2A">
        <w:rPr>
          <w:b/>
          <w:bCs/>
          <w:color w:val="000000" w:themeColor="text1"/>
          <w:lang w:val="en-GB"/>
        </w:rPr>
        <w:t xml:space="preserve"> File 2: Qualitative Synthesis Coding Framework</w:t>
      </w:r>
    </w:p>
    <w:p w14:paraId="5DF0065C" w14:textId="77777777" w:rsidR="00EC4E82" w:rsidRPr="005F5D2A" w:rsidRDefault="00EC4E82" w:rsidP="00017ECA">
      <w:pPr>
        <w:contextualSpacing/>
        <w:rPr>
          <w:b/>
          <w:bCs/>
          <w:color w:val="000000" w:themeColor="text1"/>
          <w:u w:val="single"/>
          <w:lang w:val="en-GB"/>
        </w:rPr>
      </w:pPr>
    </w:p>
    <w:p w14:paraId="5C30E50A" w14:textId="77777777" w:rsidR="00EC4E82" w:rsidRPr="005F5D2A" w:rsidRDefault="00EC4E82" w:rsidP="00017ECA">
      <w:pPr>
        <w:contextualSpacing/>
        <w:rPr>
          <w:color w:val="000000" w:themeColor="text1"/>
          <w:lang w:val="en-GB"/>
        </w:rPr>
      </w:pPr>
      <w:r w:rsidRPr="005F5D2A">
        <w:rPr>
          <w:b/>
          <w:bCs/>
          <w:color w:val="000000" w:themeColor="text1"/>
          <w:lang w:val="en-GB"/>
        </w:rPr>
        <w:t>I. Equitability of CHW interventions &amp; Influencing Factors</w:t>
      </w:r>
    </w:p>
    <w:p w14:paraId="5ACFA6DE" w14:textId="77777777" w:rsidR="00EC4E82" w:rsidRPr="005F5D2A" w:rsidRDefault="00EC4E82" w:rsidP="00017ECA">
      <w:pPr>
        <w:numPr>
          <w:ilvl w:val="0"/>
          <w:numId w:val="3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Place of Residence: </w:t>
      </w:r>
    </w:p>
    <w:p w14:paraId="6B41849D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4B895F70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Facilitators of equitability </w:t>
      </w:r>
    </w:p>
    <w:p w14:paraId="701F34CF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Race/Ethnicity/Culture/Language PLUS Caste: </w:t>
      </w:r>
    </w:p>
    <w:p w14:paraId="7839E354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5FD310B7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Facilitators of equitability </w:t>
      </w:r>
    </w:p>
    <w:p w14:paraId="3F35186B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Occupation: </w:t>
      </w:r>
    </w:p>
    <w:p w14:paraId="72F695D6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78DF3231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259580F5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Gender: </w:t>
      </w:r>
    </w:p>
    <w:p w14:paraId="7380F3EB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351A7210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Facilitators of equitability </w:t>
      </w:r>
    </w:p>
    <w:p w14:paraId="529694AC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Religion: </w:t>
      </w:r>
    </w:p>
    <w:p w14:paraId="75D2618C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Barriers to equitability</w:t>
      </w:r>
    </w:p>
    <w:p w14:paraId="22F53A9D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34D64B2A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Education: </w:t>
      </w:r>
    </w:p>
    <w:p w14:paraId="1C0E5198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6C5CE4B2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42BE6E82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Socioeconomic Status: </w:t>
      </w:r>
    </w:p>
    <w:p w14:paraId="1EA25628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54D009B5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Facilitators of equitability </w:t>
      </w:r>
    </w:p>
    <w:p w14:paraId="4C11420A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Social Capital: </w:t>
      </w:r>
    </w:p>
    <w:p w14:paraId="4D1F58F1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Barriers to equitability </w:t>
      </w:r>
    </w:p>
    <w:p w14:paraId="46A3F130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1A689DE6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Age: </w:t>
      </w:r>
    </w:p>
    <w:p w14:paraId="3A7E43C4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Barriers to equitability</w:t>
      </w:r>
    </w:p>
    <w:p w14:paraId="18FA8D6C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5F102C31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Sexual orientation: </w:t>
      </w:r>
    </w:p>
    <w:p w14:paraId="0A7C4A57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Barriers to equitability</w:t>
      </w:r>
    </w:p>
    <w:p w14:paraId="5D3CACB7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7BBAE2C3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Disability: </w:t>
      </w:r>
    </w:p>
    <w:p w14:paraId="4B9A3D76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Barriers to equitability</w:t>
      </w:r>
    </w:p>
    <w:p w14:paraId="7734C3FC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Facilitators of equitability</w:t>
      </w:r>
    </w:p>
    <w:p w14:paraId="3E4F9EDF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Intersectional barriers (any discussion of how multiple axes of marginalization interact to prevent equitable service provision)</w:t>
      </w:r>
    </w:p>
    <w:p w14:paraId="0F8EA276" w14:textId="77777777" w:rsidR="00EC4E82" w:rsidRPr="005F5D2A" w:rsidRDefault="00EC4E82" w:rsidP="00017ECA">
      <w:pPr>
        <w:numPr>
          <w:ilvl w:val="0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General perceptions of equitability (general comments, opinions, or views on equitability of CHW intervention/programme that are not specific to any of the above-mentioned equity </w:t>
      </w:r>
      <w:proofErr w:type="spellStart"/>
      <w:r w:rsidRPr="005F5D2A">
        <w:rPr>
          <w:color w:val="000000" w:themeColor="text1"/>
          <w:lang w:val="en-GB"/>
        </w:rPr>
        <w:t>stratifiers</w:t>
      </w:r>
      <w:proofErr w:type="spellEnd"/>
      <w:r w:rsidRPr="005F5D2A">
        <w:rPr>
          <w:color w:val="000000" w:themeColor="text1"/>
          <w:lang w:val="en-GB"/>
        </w:rPr>
        <w:t>)</w:t>
      </w:r>
    </w:p>
    <w:p w14:paraId="6DFB4D59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Pro-equity (perceptions of CHW programmes being fair, equitable, or reaching marginalised groups)</w:t>
      </w:r>
    </w:p>
    <w:p w14:paraId="5CD35048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Anti-equity (perceptions of CHW programmes being unfair, inequitable, or excluding or failing to reach some marginalised groups)</w:t>
      </w:r>
    </w:p>
    <w:p w14:paraId="31BBCB39" w14:textId="77777777" w:rsidR="00EC4E82" w:rsidRPr="005F5D2A" w:rsidRDefault="00EC4E82" w:rsidP="00017ECA">
      <w:pPr>
        <w:numPr>
          <w:ilvl w:val="1"/>
          <w:numId w:val="1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lastRenderedPageBreak/>
        <w:t>Other (other comments, views or perspectives on CHWs and health equity that don’t fit into the above categories; this could include for example CHWs’ suggestions of measures that could improve equitability in the future)</w:t>
      </w:r>
    </w:p>
    <w:p w14:paraId="0C702739" w14:textId="77777777" w:rsidR="00EC4E82" w:rsidRPr="005F5D2A" w:rsidRDefault="00EC4E82" w:rsidP="00017ECA">
      <w:pPr>
        <w:contextualSpacing/>
        <w:rPr>
          <w:color w:val="000000" w:themeColor="text1"/>
          <w:lang w:val="en-GB"/>
        </w:rPr>
      </w:pPr>
    </w:p>
    <w:p w14:paraId="459D5D32" w14:textId="77777777" w:rsidR="00EC4E82" w:rsidRPr="005F5D2A" w:rsidRDefault="00EC4E82" w:rsidP="00017ECA">
      <w:pPr>
        <w:contextualSpacing/>
        <w:rPr>
          <w:color w:val="000000" w:themeColor="text1"/>
          <w:lang w:val="en-GB"/>
        </w:rPr>
      </w:pPr>
      <w:r w:rsidRPr="005F5D2A">
        <w:rPr>
          <w:b/>
          <w:bCs/>
          <w:color w:val="000000" w:themeColor="text1"/>
          <w:lang w:val="en-GB"/>
        </w:rPr>
        <w:t>II. Wider contributions of CHWs to Health Equity</w:t>
      </w:r>
      <w:r w:rsidRPr="005F5D2A">
        <w:rPr>
          <w:color w:val="000000" w:themeColor="text1"/>
          <w:lang w:val="en-GB"/>
        </w:rPr>
        <w:t xml:space="preserve"> </w:t>
      </w:r>
    </w:p>
    <w:p w14:paraId="410D1670" w14:textId="77777777" w:rsidR="00EC4E82" w:rsidRPr="005F5D2A" w:rsidRDefault="00EC4E82" w:rsidP="00017ECA">
      <w:pPr>
        <w:numPr>
          <w:ilvl w:val="0"/>
          <w:numId w:val="2"/>
        </w:numPr>
        <w:contextualSpacing/>
        <w:rPr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>Addressing Social Determinants (any mention of CHWs’ role in addressing social inequalities that contribute to health inequities)</w:t>
      </w:r>
    </w:p>
    <w:p w14:paraId="2E22A745" w14:textId="77777777" w:rsidR="00EC4E82" w:rsidRPr="005F5D2A" w:rsidRDefault="00EC4E82" w:rsidP="00017ECA">
      <w:pPr>
        <w:numPr>
          <w:ilvl w:val="0"/>
          <w:numId w:val="2"/>
        </w:numPr>
        <w:contextualSpacing/>
        <w:rPr>
          <w:b/>
          <w:bCs/>
          <w:color w:val="000000" w:themeColor="text1"/>
          <w:lang w:val="en-GB"/>
        </w:rPr>
      </w:pPr>
      <w:r w:rsidRPr="005F5D2A">
        <w:rPr>
          <w:color w:val="000000" w:themeColor="text1"/>
          <w:lang w:val="en-GB"/>
        </w:rPr>
        <w:t xml:space="preserve">Individual CHWs Overcoming Equitability Barriers (individual CHW-level strategies for overcoming equitability barriers, i.e. strategies </w:t>
      </w:r>
      <w:r w:rsidRPr="005F5D2A">
        <w:rPr>
          <w:b/>
          <w:bCs/>
          <w:color w:val="000000" w:themeColor="text1"/>
          <w:lang w:val="en-GB"/>
        </w:rPr>
        <w:t xml:space="preserve">not </w:t>
      </w:r>
      <w:r w:rsidRPr="005F5D2A">
        <w:rPr>
          <w:color w:val="000000" w:themeColor="text1"/>
          <w:lang w:val="en-GB"/>
        </w:rPr>
        <w:t>built into intervention design or formal roles)</w:t>
      </w:r>
    </w:p>
    <w:p w14:paraId="0277E114" w14:textId="77777777" w:rsidR="00EC4E82" w:rsidRPr="005F5D2A" w:rsidRDefault="00EC4E82" w:rsidP="00017ECA">
      <w:pPr>
        <w:contextualSpacing/>
        <w:rPr>
          <w:b/>
          <w:bCs/>
          <w:color w:val="000000" w:themeColor="text1"/>
          <w:lang w:val="en-GB"/>
        </w:rPr>
      </w:pPr>
    </w:p>
    <w:p w14:paraId="4C027C07" w14:textId="77777777" w:rsidR="00DF1EB9" w:rsidRDefault="00EC4E82" w:rsidP="00017ECA">
      <w:r w:rsidRPr="005F5D2A">
        <w:rPr>
          <w:b/>
          <w:bCs/>
          <w:color w:val="000000" w:themeColor="text1"/>
          <w:lang w:val="en-GB"/>
        </w:rPr>
        <w:t>III. Inequities Affecting CHWs (</w:t>
      </w:r>
      <w:r w:rsidRPr="005F5D2A">
        <w:rPr>
          <w:color w:val="000000" w:themeColor="text1"/>
          <w:lang w:val="en-GB"/>
        </w:rPr>
        <w:t>any mention of how the same axes of social inequality mentioned above or the health inequities they contribute to affect CHWs’ own wellbeing or professional performance)</w:t>
      </w:r>
    </w:p>
    <w:sectPr w:rsidR="00DF1EB9" w:rsidSect="00716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84E95"/>
    <w:multiLevelType w:val="hybridMultilevel"/>
    <w:tmpl w:val="262CC7E4"/>
    <w:lvl w:ilvl="0" w:tplc="A0462D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74AC91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341DB"/>
    <w:multiLevelType w:val="hybridMultilevel"/>
    <w:tmpl w:val="5F56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F2548"/>
    <w:multiLevelType w:val="hybridMultilevel"/>
    <w:tmpl w:val="D00AA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81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C4E82"/>
    <w:rsid w:val="00017ECA"/>
    <w:rsid w:val="00205DCF"/>
    <w:rsid w:val="00334A15"/>
    <w:rsid w:val="00372C33"/>
    <w:rsid w:val="0046658F"/>
    <w:rsid w:val="006D2182"/>
    <w:rsid w:val="006E2C31"/>
    <w:rsid w:val="00716407"/>
    <w:rsid w:val="007932DF"/>
    <w:rsid w:val="007B58C4"/>
    <w:rsid w:val="008B7B47"/>
    <w:rsid w:val="009078FD"/>
    <w:rsid w:val="00941B92"/>
    <w:rsid w:val="00A50C2A"/>
    <w:rsid w:val="00A73907"/>
    <w:rsid w:val="00A97176"/>
    <w:rsid w:val="00AB5B4C"/>
    <w:rsid w:val="00AC5AB6"/>
    <w:rsid w:val="00E567B7"/>
    <w:rsid w:val="00EA6BEF"/>
    <w:rsid w:val="00EC4E82"/>
    <w:rsid w:val="00F55419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9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82"/>
    <w:rPr>
      <w:rFonts w:ascii="Times New Roman" w:hAnsi="Times New Roman" w:cs="Times New Roman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7176"/>
    <w:pPr>
      <w:keepNext/>
      <w:keepLines/>
      <w:spacing w:before="36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A97176"/>
    <w:pPr>
      <w:spacing w:before="160" w:after="160"/>
      <w:ind w:left="864" w:right="864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7176"/>
    <w:rPr>
      <w:rFonts w:ascii="Helvetica Neue" w:hAnsi="Helvetica Neue" w:cs="Times New Roman"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9717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176"/>
    <w:rPr>
      <w:rFonts w:ascii="Helvetica Neue" w:eastAsiaTheme="majorEastAsia" w:hAnsi="Helvetica Neue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7176"/>
    <w:rPr>
      <w:rFonts w:ascii="Helvetica Neue" w:eastAsiaTheme="majorEastAsia" w:hAnsi="Helvetica Neue" w:cstheme="majorBidi"/>
      <w:b/>
      <w:color w:val="000000" w:themeColor="text1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EA6BEF"/>
    <w:rPr>
      <w:rFonts w:ascii="Times New Roman" w:hAnsi="Times New Roman"/>
      <w:b/>
      <w:i w:val="0"/>
      <w:iCs/>
      <w:color w:val="000000" w:themeColor="tex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8C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58C4"/>
    <w:rPr>
      <w:rFonts w:ascii="Helvetica Neue" w:eastAsiaTheme="minorEastAsia" w:hAnsi="Helvetica Neue"/>
      <w:color w:val="5A5A5A" w:themeColor="text1" w:themeTint="A5"/>
      <w:spacing w:val="15"/>
      <w:sz w:val="30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97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176"/>
    <w:rPr>
      <w:rFonts w:ascii="Helvetica Neue" w:hAnsi="Helvetica Neue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1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76"/>
    <w:rPr>
      <w:rFonts w:ascii="Helvetica Neue" w:hAnsi="Helvetica Neue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82"/>
    <w:rPr>
      <w:rFonts w:ascii="Times New Roman" w:hAnsi="Times New Roman" w:cs="Times New Roman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7176"/>
    <w:pPr>
      <w:keepNext/>
      <w:keepLines/>
      <w:spacing w:before="36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A97176"/>
    <w:pPr>
      <w:spacing w:before="160" w:after="160"/>
      <w:ind w:left="864" w:right="864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7176"/>
    <w:rPr>
      <w:rFonts w:ascii="Helvetica Neue" w:hAnsi="Helvetica Neue" w:cs="Times New Roman"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9717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176"/>
    <w:rPr>
      <w:rFonts w:ascii="Helvetica Neue" w:eastAsiaTheme="majorEastAsia" w:hAnsi="Helvetica Neue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7176"/>
    <w:rPr>
      <w:rFonts w:ascii="Helvetica Neue" w:eastAsiaTheme="majorEastAsia" w:hAnsi="Helvetica Neue" w:cstheme="majorBidi"/>
      <w:b/>
      <w:color w:val="000000" w:themeColor="text1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EA6BEF"/>
    <w:rPr>
      <w:rFonts w:ascii="Times New Roman" w:hAnsi="Times New Roman"/>
      <w:b/>
      <w:i w:val="0"/>
      <w:iCs/>
      <w:color w:val="000000" w:themeColor="tex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8C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58C4"/>
    <w:rPr>
      <w:rFonts w:ascii="Helvetica Neue" w:eastAsiaTheme="minorEastAsia" w:hAnsi="Helvetica Neue"/>
      <w:color w:val="5A5A5A" w:themeColor="text1" w:themeTint="A5"/>
      <w:spacing w:val="15"/>
      <w:sz w:val="30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97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176"/>
    <w:rPr>
      <w:rFonts w:ascii="Helvetica Neue" w:hAnsi="Helvetica Neue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1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76"/>
    <w:rPr>
      <w:rFonts w:ascii="Helvetica Neue" w:hAnsi="Helvetica Neue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1949</Characters>
  <Application>Microsoft Office Word</Application>
  <DocSecurity>0</DocSecurity>
  <Lines>57</Lines>
  <Paragraphs>47</Paragraphs>
  <ScaleCrop>false</ScaleCrop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Chase</dc:creator>
  <cp:keywords/>
  <dc:description/>
  <cp:lastModifiedBy>MSARDAN</cp:lastModifiedBy>
  <cp:revision>3</cp:revision>
  <dcterms:created xsi:type="dcterms:W3CDTF">2021-07-01T12:47:00Z</dcterms:created>
  <dcterms:modified xsi:type="dcterms:W3CDTF">2022-01-08T21:45:00Z</dcterms:modified>
</cp:coreProperties>
</file>