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01E5" w14:textId="75E546FA" w:rsidR="00CB2A4E" w:rsidRPr="00CB2A4E" w:rsidRDefault="00CB2A4E" w:rsidP="00CB2A4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B2A4E">
        <w:rPr>
          <w:rFonts w:ascii="Times New Roman" w:hAnsi="Times New Roman" w:cs="Times New Roman"/>
          <w:b/>
          <w:bCs/>
          <w:lang w:val="en-US"/>
        </w:rPr>
        <w:t>Supplement 2</w:t>
      </w:r>
    </w:p>
    <w:p w14:paraId="0A574200" w14:textId="77777777" w:rsidR="00CB2A4E" w:rsidRDefault="00CB2A4E" w:rsidP="00CB2A4E">
      <w:pPr>
        <w:jc w:val="center"/>
        <w:rPr>
          <w:rFonts w:ascii="Times New Roman" w:hAnsi="Times New Roman" w:cs="Times New Roman"/>
          <w:lang w:val="en-US"/>
        </w:rPr>
      </w:pPr>
    </w:p>
    <w:p w14:paraId="5B1BD664" w14:textId="5C4E2EDF" w:rsidR="00CB2A4E" w:rsidRPr="00A94B09" w:rsidRDefault="00CB2A4E" w:rsidP="00CB2A4E">
      <w:pPr>
        <w:jc w:val="center"/>
        <w:rPr>
          <w:rFonts w:ascii="Times New Roman" w:hAnsi="Times New Roman" w:cs="Times New Roman"/>
          <w:lang w:val="en-US"/>
        </w:rPr>
      </w:pPr>
      <w:r w:rsidRPr="00A94B09">
        <w:rPr>
          <w:rFonts w:ascii="Times New Roman" w:hAnsi="Times New Roman" w:cs="Times New Roman"/>
          <w:lang w:val="en-US"/>
        </w:rPr>
        <w:t>Public inpatient healthcare units, discharges, and COVID-19 inpatient mortality</w:t>
      </w:r>
      <w:r w:rsidRPr="00A94B09">
        <w:rPr>
          <w:rFonts w:ascii="Times New Roman" w:hAnsi="Times New Roman" w:cs="Times New Roman"/>
          <w:lang w:val="en-US"/>
        </w:rPr>
        <w:br w:type="textWrapping" w:clear="all"/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1090"/>
        <w:gridCol w:w="1134"/>
        <w:gridCol w:w="1172"/>
        <w:gridCol w:w="694"/>
        <w:gridCol w:w="1122"/>
        <w:gridCol w:w="1028"/>
        <w:gridCol w:w="1134"/>
        <w:gridCol w:w="1072"/>
        <w:gridCol w:w="594"/>
        <w:gridCol w:w="1122"/>
      </w:tblGrid>
      <w:tr w:rsidR="00CB2A4E" w:rsidRPr="00A94B09" w14:paraId="1B2C269B" w14:textId="77777777" w:rsidTr="004E453B">
        <w:trPr>
          <w:jc w:val="center"/>
        </w:trPr>
        <w:tc>
          <w:tcPr>
            <w:tcW w:w="1428" w:type="dxa"/>
            <w:vMerge w:val="restart"/>
            <w:tcBorders>
              <w:top w:val="single" w:sz="4" w:space="0" w:color="auto"/>
              <w:bottom w:val="nil"/>
            </w:tcBorders>
          </w:tcPr>
          <w:p w14:paraId="55FCB12A" w14:textId="77777777" w:rsidR="00CB2A4E" w:rsidRPr="00A94B09" w:rsidRDefault="00CB2A4E" w:rsidP="004E4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Government </w:t>
            </w:r>
          </w:p>
          <w:p w14:paraId="5A25753E" w14:textId="77777777" w:rsidR="00CB2A4E" w:rsidRPr="00A94B09" w:rsidRDefault="00CB2A4E" w:rsidP="004E4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</w:t>
            </w:r>
          </w:p>
        </w:tc>
        <w:tc>
          <w:tcPr>
            <w:tcW w:w="52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A0FB552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Public SUS</w:t>
            </w:r>
          </w:p>
        </w:tc>
        <w:tc>
          <w:tcPr>
            <w:tcW w:w="49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ABF6E8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Public non-SUS</w:t>
            </w:r>
          </w:p>
        </w:tc>
      </w:tr>
      <w:tr w:rsidR="00CB2A4E" w:rsidRPr="00A94B09" w14:paraId="151B8CF4" w14:textId="77777777" w:rsidTr="004E453B">
        <w:trPr>
          <w:jc w:val="center"/>
        </w:trPr>
        <w:tc>
          <w:tcPr>
            <w:tcW w:w="1428" w:type="dxa"/>
            <w:vMerge/>
            <w:tcBorders>
              <w:top w:val="nil"/>
              <w:bottom w:val="nil"/>
            </w:tcBorders>
          </w:tcPr>
          <w:p w14:paraId="07D1D9C2" w14:textId="77777777" w:rsidR="00CB2A4E" w:rsidRPr="00A94B09" w:rsidRDefault="00CB2A4E" w:rsidP="004E4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0" w:type="dxa"/>
            <w:vMerge w:val="restart"/>
            <w:tcBorders>
              <w:top w:val="single" w:sz="4" w:space="0" w:color="auto"/>
              <w:bottom w:val="nil"/>
            </w:tcBorders>
          </w:tcPr>
          <w:p w14:paraId="189BABF7" w14:textId="77777777" w:rsidR="00CB2A4E" w:rsidRPr="00A94B09" w:rsidRDefault="00CB2A4E" w:rsidP="004E453B">
            <w:pPr>
              <w:rPr>
                <w:rFonts w:ascii="Times New Roman" w:hAnsi="Times New Roman" w:cs="Times New Roman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Inpatient care units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14:paraId="2720D6F5" w14:textId="77777777" w:rsidR="00CB2A4E" w:rsidRPr="00A94B09" w:rsidRDefault="00CB2A4E" w:rsidP="004E453B">
            <w:pPr>
              <w:rPr>
                <w:rFonts w:ascii="Times New Roman" w:hAnsi="Times New Roman" w:cs="Times New Roman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Discharges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bottom w:val="nil"/>
            </w:tcBorders>
          </w:tcPr>
          <w:p w14:paraId="31E33FA2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Inpatient mortality (%)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bottom w:val="nil"/>
            </w:tcBorders>
          </w:tcPr>
          <w:p w14:paraId="760D0064" w14:textId="77777777" w:rsidR="00CB2A4E" w:rsidRPr="00A94B09" w:rsidRDefault="00CB2A4E" w:rsidP="004E453B">
            <w:pPr>
              <w:rPr>
                <w:rFonts w:ascii="Times New Roman" w:hAnsi="Times New Roman" w:cs="Times New Roman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Inpatient care units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14:paraId="6BD4F4A9" w14:textId="77777777" w:rsidR="00CB2A4E" w:rsidRPr="00A94B09" w:rsidRDefault="00CB2A4E" w:rsidP="004E453B">
            <w:pPr>
              <w:rPr>
                <w:rFonts w:ascii="Times New Roman" w:hAnsi="Times New Roman" w:cs="Times New Roman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Discharges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bottom w:val="nil"/>
            </w:tcBorders>
          </w:tcPr>
          <w:p w14:paraId="63BAECCE" w14:textId="77777777" w:rsidR="00CB2A4E" w:rsidRPr="00A94B09" w:rsidRDefault="00CB2A4E" w:rsidP="004E453B">
            <w:pPr>
              <w:rPr>
                <w:rFonts w:ascii="Times New Roman" w:hAnsi="Times New Roman" w:cs="Times New Roman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Inpatient mortality (%)</w:t>
            </w:r>
          </w:p>
        </w:tc>
      </w:tr>
      <w:tr w:rsidR="00CB2A4E" w:rsidRPr="00A94B09" w14:paraId="079733A7" w14:textId="77777777" w:rsidTr="004E453B">
        <w:trPr>
          <w:jc w:val="center"/>
        </w:trPr>
        <w:tc>
          <w:tcPr>
            <w:tcW w:w="1428" w:type="dxa"/>
            <w:vMerge/>
            <w:tcBorders>
              <w:top w:val="nil"/>
              <w:bottom w:val="single" w:sz="4" w:space="0" w:color="auto"/>
            </w:tcBorders>
          </w:tcPr>
          <w:p w14:paraId="5CFB389E" w14:textId="77777777" w:rsidR="00CB2A4E" w:rsidRPr="00A94B09" w:rsidRDefault="00CB2A4E" w:rsidP="004E4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0" w:type="dxa"/>
            <w:vMerge/>
            <w:tcBorders>
              <w:top w:val="nil"/>
              <w:bottom w:val="single" w:sz="4" w:space="0" w:color="auto"/>
            </w:tcBorders>
          </w:tcPr>
          <w:p w14:paraId="2CB7E648" w14:textId="77777777" w:rsidR="00CB2A4E" w:rsidRPr="00A94B09" w:rsidRDefault="00CB2A4E" w:rsidP="004E45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260A2CAD" w14:textId="77777777" w:rsidR="00CB2A4E" w:rsidRPr="00A94B09" w:rsidRDefault="00CB2A4E" w:rsidP="004E45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</w:tcPr>
          <w:p w14:paraId="6F60BE7D" w14:textId="77777777" w:rsidR="00CB2A4E" w:rsidRPr="00A94B09" w:rsidRDefault="00CB2A4E" w:rsidP="004E453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Proportion</w:t>
            </w:r>
          </w:p>
        </w:tc>
        <w:tc>
          <w:tcPr>
            <w:tcW w:w="694" w:type="dxa"/>
            <w:tcBorders>
              <w:top w:val="nil"/>
              <w:bottom w:val="single" w:sz="4" w:space="0" w:color="auto"/>
            </w:tcBorders>
          </w:tcPr>
          <w:p w14:paraId="6D78B2D9" w14:textId="77777777" w:rsidR="00CB2A4E" w:rsidRPr="00A94B09" w:rsidRDefault="00CB2A4E" w:rsidP="004E453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STD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</w:tcPr>
          <w:p w14:paraId="4A722F55" w14:textId="77777777" w:rsidR="00CB2A4E" w:rsidRPr="00A94B09" w:rsidRDefault="00CB2A4E" w:rsidP="004E453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28" w:type="dxa"/>
            <w:vMerge/>
            <w:tcBorders>
              <w:top w:val="nil"/>
              <w:bottom w:val="single" w:sz="4" w:space="0" w:color="auto"/>
            </w:tcBorders>
          </w:tcPr>
          <w:p w14:paraId="198EBD80" w14:textId="77777777" w:rsidR="00CB2A4E" w:rsidRPr="00A94B09" w:rsidRDefault="00CB2A4E" w:rsidP="004E45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1408A760" w14:textId="77777777" w:rsidR="00CB2A4E" w:rsidRPr="00A94B09" w:rsidRDefault="00CB2A4E" w:rsidP="004E453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2" w:type="dxa"/>
            <w:tcBorders>
              <w:top w:val="nil"/>
              <w:bottom w:val="single" w:sz="4" w:space="0" w:color="auto"/>
            </w:tcBorders>
          </w:tcPr>
          <w:p w14:paraId="2B09D97B" w14:textId="77777777" w:rsidR="00CB2A4E" w:rsidRPr="00A94B09" w:rsidRDefault="00CB2A4E" w:rsidP="004E453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Proportion</w:t>
            </w: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</w:tcPr>
          <w:p w14:paraId="33E901BA" w14:textId="77777777" w:rsidR="00CB2A4E" w:rsidRPr="00A94B09" w:rsidRDefault="00CB2A4E" w:rsidP="004E453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STD</w:t>
            </w:r>
          </w:p>
        </w:tc>
        <w:tc>
          <w:tcPr>
            <w:tcW w:w="1122" w:type="dxa"/>
            <w:tcBorders>
              <w:top w:val="nil"/>
              <w:bottom w:val="single" w:sz="4" w:space="0" w:color="auto"/>
            </w:tcBorders>
          </w:tcPr>
          <w:p w14:paraId="0CF3FF56" w14:textId="77777777" w:rsidR="00CB2A4E" w:rsidRPr="00A94B09" w:rsidRDefault="00CB2A4E" w:rsidP="004E453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</w:tr>
      <w:tr w:rsidR="00CB2A4E" w:rsidRPr="00A94B09" w14:paraId="71BA3699" w14:textId="77777777" w:rsidTr="004E453B">
        <w:trPr>
          <w:jc w:val="center"/>
        </w:trPr>
        <w:tc>
          <w:tcPr>
            <w:tcW w:w="1428" w:type="dxa"/>
            <w:tcBorders>
              <w:top w:val="single" w:sz="4" w:space="0" w:color="auto"/>
            </w:tcBorders>
          </w:tcPr>
          <w:p w14:paraId="4EA543FE" w14:textId="77777777" w:rsidR="00CB2A4E" w:rsidRPr="00A94B09" w:rsidRDefault="00CB2A4E" w:rsidP="004E4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Federal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352E3533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  <w:p w14:paraId="48BBBBC5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(3,5%)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1F5107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20,324</w:t>
            </w:r>
          </w:p>
          <w:p w14:paraId="7D7458EC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(3.2%)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73845EB3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38.2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14:paraId="3831FABB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48.6</w:t>
            </w:r>
          </w:p>
        </w:tc>
        <w:tc>
          <w:tcPr>
            <w:tcW w:w="1122" w:type="dxa"/>
            <w:tcBorders>
              <w:top w:val="single" w:sz="4" w:space="0" w:color="auto"/>
            </w:tcBorders>
          </w:tcPr>
          <w:p w14:paraId="706C9B97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37.5; 38.9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1199F0E3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  <w:p w14:paraId="59BADFD9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(1.5%)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12A6830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6,881</w:t>
            </w:r>
          </w:p>
          <w:p w14:paraId="02EBE9E9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(1.1%)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2F79357C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35.7</w:t>
            </w: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5805A579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47.9</w:t>
            </w:r>
          </w:p>
        </w:tc>
        <w:tc>
          <w:tcPr>
            <w:tcW w:w="1122" w:type="dxa"/>
            <w:tcBorders>
              <w:top w:val="single" w:sz="4" w:space="0" w:color="auto"/>
            </w:tcBorders>
          </w:tcPr>
          <w:p w14:paraId="6BA9F21D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34.6; 36.9</w:t>
            </w:r>
          </w:p>
        </w:tc>
      </w:tr>
      <w:tr w:rsidR="00CB2A4E" w:rsidRPr="00A94B09" w14:paraId="06FC4100" w14:textId="77777777" w:rsidTr="004E453B">
        <w:trPr>
          <w:jc w:val="center"/>
        </w:trPr>
        <w:tc>
          <w:tcPr>
            <w:tcW w:w="1428" w:type="dxa"/>
          </w:tcPr>
          <w:p w14:paraId="0FCD735C" w14:textId="77777777" w:rsidR="00CB2A4E" w:rsidRPr="00A94B09" w:rsidRDefault="00CB2A4E" w:rsidP="004E4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State</w:t>
            </w:r>
          </w:p>
        </w:tc>
        <w:tc>
          <w:tcPr>
            <w:tcW w:w="1090" w:type="dxa"/>
          </w:tcPr>
          <w:p w14:paraId="57CF59ED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346</w:t>
            </w:r>
          </w:p>
          <w:p w14:paraId="48B9BA34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(38.5%)</w:t>
            </w:r>
          </w:p>
        </w:tc>
        <w:tc>
          <w:tcPr>
            <w:tcW w:w="1134" w:type="dxa"/>
          </w:tcPr>
          <w:p w14:paraId="18294651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312,669</w:t>
            </w:r>
          </w:p>
          <w:p w14:paraId="027B5AB6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(48.4%)</w:t>
            </w:r>
          </w:p>
        </w:tc>
        <w:tc>
          <w:tcPr>
            <w:tcW w:w="1172" w:type="dxa"/>
          </w:tcPr>
          <w:p w14:paraId="51539DF5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37.6</w:t>
            </w:r>
          </w:p>
        </w:tc>
        <w:tc>
          <w:tcPr>
            <w:tcW w:w="694" w:type="dxa"/>
          </w:tcPr>
          <w:p w14:paraId="0FDF8F6F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48.4</w:t>
            </w:r>
          </w:p>
        </w:tc>
        <w:tc>
          <w:tcPr>
            <w:tcW w:w="1122" w:type="dxa"/>
          </w:tcPr>
          <w:p w14:paraId="0E8E4E20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37.4; 37.8</w:t>
            </w:r>
          </w:p>
        </w:tc>
        <w:tc>
          <w:tcPr>
            <w:tcW w:w="1028" w:type="dxa"/>
          </w:tcPr>
          <w:p w14:paraId="0457C8F7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14:paraId="36C56D12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(0.9%)</w:t>
            </w:r>
          </w:p>
        </w:tc>
        <w:tc>
          <w:tcPr>
            <w:tcW w:w="1134" w:type="dxa"/>
          </w:tcPr>
          <w:p w14:paraId="4EF60E00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6,205</w:t>
            </w:r>
          </w:p>
          <w:p w14:paraId="5083F442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(1.0%)</w:t>
            </w:r>
          </w:p>
        </w:tc>
        <w:tc>
          <w:tcPr>
            <w:tcW w:w="1072" w:type="dxa"/>
          </w:tcPr>
          <w:p w14:paraId="713E7525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28.5</w:t>
            </w:r>
          </w:p>
        </w:tc>
        <w:tc>
          <w:tcPr>
            <w:tcW w:w="594" w:type="dxa"/>
          </w:tcPr>
          <w:p w14:paraId="0420FF3C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45.1</w:t>
            </w:r>
          </w:p>
        </w:tc>
        <w:tc>
          <w:tcPr>
            <w:tcW w:w="1122" w:type="dxa"/>
          </w:tcPr>
          <w:p w14:paraId="00EC5EC4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27.3; 28.6</w:t>
            </w:r>
          </w:p>
        </w:tc>
      </w:tr>
      <w:tr w:rsidR="00CB2A4E" w:rsidRPr="00A94B09" w14:paraId="7CE27434" w14:textId="77777777" w:rsidTr="004E453B">
        <w:trPr>
          <w:jc w:val="center"/>
        </w:trPr>
        <w:tc>
          <w:tcPr>
            <w:tcW w:w="1428" w:type="dxa"/>
          </w:tcPr>
          <w:p w14:paraId="16564E88" w14:textId="77777777" w:rsidR="00CB2A4E" w:rsidRPr="00A94B09" w:rsidRDefault="00CB2A4E" w:rsidP="004E4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Municipal</w:t>
            </w:r>
          </w:p>
        </w:tc>
        <w:tc>
          <w:tcPr>
            <w:tcW w:w="1090" w:type="dxa"/>
          </w:tcPr>
          <w:p w14:paraId="080F78DC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498</w:t>
            </w:r>
          </w:p>
          <w:p w14:paraId="549C49A7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(55.4%</w:t>
            </w:r>
          </w:p>
        </w:tc>
        <w:tc>
          <w:tcPr>
            <w:tcW w:w="1134" w:type="dxa"/>
          </w:tcPr>
          <w:p w14:paraId="0AC276EE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297,330</w:t>
            </w:r>
          </w:p>
          <w:p w14:paraId="61594FCA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(46.1%)</w:t>
            </w:r>
          </w:p>
        </w:tc>
        <w:tc>
          <w:tcPr>
            <w:tcW w:w="1172" w:type="dxa"/>
          </w:tcPr>
          <w:p w14:paraId="3A56F597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37.3</w:t>
            </w:r>
          </w:p>
        </w:tc>
        <w:tc>
          <w:tcPr>
            <w:tcW w:w="694" w:type="dxa"/>
          </w:tcPr>
          <w:p w14:paraId="35186957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48.4</w:t>
            </w:r>
          </w:p>
        </w:tc>
        <w:tc>
          <w:tcPr>
            <w:tcW w:w="1122" w:type="dxa"/>
          </w:tcPr>
          <w:p w14:paraId="048DED06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37.1; 37.4</w:t>
            </w:r>
          </w:p>
        </w:tc>
        <w:tc>
          <w:tcPr>
            <w:tcW w:w="1028" w:type="dxa"/>
          </w:tcPr>
          <w:p w14:paraId="53CABE6B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14:paraId="23F7F467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(0.2%)</w:t>
            </w:r>
          </w:p>
        </w:tc>
        <w:tc>
          <w:tcPr>
            <w:tcW w:w="1134" w:type="dxa"/>
          </w:tcPr>
          <w:p w14:paraId="7A67CB9C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513</w:t>
            </w:r>
          </w:p>
          <w:p w14:paraId="7AFB28B6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(0.1%</w:t>
            </w:r>
          </w:p>
        </w:tc>
        <w:tc>
          <w:tcPr>
            <w:tcW w:w="1072" w:type="dxa"/>
          </w:tcPr>
          <w:p w14:paraId="1055D6DD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30.2</w:t>
            </w:r>
          </w:p>
        </w:tc>
        <w:tc>
          <w:tcPr>
            <w:tcW w:w="594" w:type="dxa"/>
          </w:tcPr>
          <w:p w14:paraId="4820A2CB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46.0</w:t>
            </w:r>
          </w:p>
        </w:tc>
        <w:tc>
          <w:tcPr>
            <w:tcW w:w="1122" w:type="dxa"/>
          </w:tcPr>
          <w:p w14:paraId="27121CAA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26.2; 34.2</w:t>
            </w:r>
          </w:p>
        </w:tc>
      </w:tr>
      <w:tr w:rsidR="00CB2A4E" w:rsidRPr="00A94B09" w14:paraId="43800F45" w14:textId="77777777" w:rsidTr="004E453B">
        <w:trPr>
          <w:jc w:val="center"/>
        </w:trPr>
        <w:tc>
          <w:tcPr>
            <w:tcW w:w="1428" w:type="dxa"/>
          </w:tcPr>
          <w:p w14:paraId="1690F5EA" w14:textId="77777777" w:rsidR="00CB2A4E" w:rsidRPr="00A94B09" w:rsidRDefault="00CB2A4E" w:rsidP="004E45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Public Consortium (Public Association)</w:t>
            </w:r>
          </w:p>
        </w:tc>
        <w:tc>
          <w:tcPr>
            <w:tcW w:w="1090" w:type="dxa"/>
          </w:tcPr>
          <w:p w14:paraId="5236D1C5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1C1A6283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(0.1%)</w:t>
            </w:r>
          </w:p>
        </w:tc>
        <w:tc>
          <w:tcPr>
            <w:tcW w:w="1134" w:type="dxa"/>
          </w:tcPr>
          <w:p w14:paraId="3B41FD4D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1,701</w:t>
            </w:r>
          </w:p>
          <w:p w14:paraId="6D9F5846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(0.3%)</w:t>
            </w:r>
          </w:p>
        </w:tc>
        <w:tc>
          <w:tcPr>
            <w:tcW w:w="1172" w:type="dxa"/>
          </w:tcPr>
          <w:p w14:paraId="150A6573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33.9</w:t>
            </w:r>
          </w:p>
        </w:tc>
        <w:tc>
          <w:tcPr>
            <w:tcW w:w="694" w:type="dxa"/>
          </w:tcPr>
          <w:p w14:paraId="4AE2B588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47.3</w:t>
            </w:r>
          </w:p>
        </w:tc>
        <w:tc>
          <w:tcPr>
            <w:tcW w:w="1122" w:type="dxa"/>
          </w:tcPr>
          <w:p w14:paraId="765B0A8E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4B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31.6; 36.1</w:t>
            </w:r>
          </w:p>
        </w:tc>
        <w:tc>
          <w:tcPr>
            <w:tcW w:w="1028" w:type="dxa"/>
          </w:tcPr>
          <w:p w14:paraId="1DB0D5DC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4091E88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</w:tcPr>
          <w:p w14:paraId="0CE5176F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4" w:type="dxa"/>
          </w:tcPr>
          <w:p w14:paraId="4BC0B080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2" w:type="dxa"/>
          </w:tcPr>
          <w:p w14:paraId="3A3FFAAA" w14:textId="77777777" w:rsidR="00CB2A4E" w:rsidRPr="00A94B09" w:rsidRDefault="00CB2A4E" w:rsidP="004E45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2D696CC" w14:textId="77777777" w:rsidR="00CB2A4E" w:rsidRPr="00A94B09" w:rsidRDefault="00CB2A4E" w:rsidP="00CB2A4E">
      <w:pPr>
        <w:rPr>
          <w:rFonts w:ascii="Times New Roman" w:hAnsi="Times New Roman" w:cs="Times New Roman"/>
          <w:lang w:val="en-US"/>
        </w:rPr>
      </w:pPr>
    </w:p>
    <w:p w14:paraId="1D63C396" w14:textId="77777777" w:rsidR="00CB2A4E" w:rsidRPr="00A94B09" w:rsidRDefault="00CB2A4E" w:rsidP="00CB2A4E">
      <w:pPr>
        <w:rPr>
          <w:rFonts w:ascii="Times New Roman" w:hAnsi="Times New Roman" w:cs="Times New Roman"/>
          <w:lang w:val="en-US"/>
        </w:rPr>
      </w:pPr>
    </w:p>
    <w:p w14:paraId="1753232B" w14:textId="77777777" w:rsidR="00CB2A4E" w:rsidRPr="00A94B09" w:rsidRDefault="00CB2A4E" w:rsidP="00CB2A4E">
      <w:pPr>
        <w:ind w:left="1701" w:right="1134"/>
        <w:jc w:val="both"/>
        <w:rPr>
          <w:rFonts w:ascii="Times New Roman" w:hAnsi="Times New Roman" w:cs="Times New Roman"/>
          <w:lang w:val="en-US"/>
        </w:rPr>
      </w:pPr>
      <w:r w:rsidRPr="00A94B09">
        <w:rPr>
          <w:rFonts w:ascii="Times New Roman" w:hAnsi="Times New Roman" w:cs="Times New Roman"/>
          <w:lang w:val="en-US"/>
        </w:rPr>
        <w:t>Among the public hospitals with COVID-19 hospitalizations, 97.5% were related to the SUS. Municipal SUS units corresponded to the majority (55.4%), comprising 46.1% of the discharges, and was followed by the state SUS units (38.5%), responsible for 48.4 of the discharges. The participation of federal units was much lower.</w:t>
      </w:r>
    </w:p>
    <w:p w14:paraId="6B78DBA5" w14:textId="77777777" w:rsidR="00CB2A4E" w:rsidRPr="00A94B09" w:rsidRDefault="00CB2A4E" w:rsidP="00CB2A4E">
      <w:pPr>
        <w:rPr>
          <w:rFonts w:ascii="Times New Roman" w:hAnsi="Times New Roman" w:cs="Times New Roman"/>
          <w:lang w:val="en-US"/>
        </w:rPr>
      </w:pPr>
    </w:p>
    <w:p w14:paraId="3BAE314E" w14:textId="77777777" w:rsidR="008C5AE3" w:rsidRDefault="008C5AE3"/>
    <w:sectPr w:rsidR="008C5AE3" w:rsidSect="00CB2A4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4E"/>
    <w:rsid w:val="008C5AE3"/>
    <w:rsid w:val="00A135D8"/>
    <w:rsid w:val="00C34504"/>
    <w:rsid w:val="00CB2A4E"/>
    <w:rsid w:val="00EC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AE96"/>
  <w15:chartTrackingRefBased/>
  <w15:docId w15:val="{683D315E-C14F-48C3-B815-CC75EAEB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A4E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B2A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B2A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B2A4E"/>
    <w:rPr>
      <w:kern w:val="0"/>
      <w:sz w:val="20"/>
      <w:szCs w:val="20"/>
      <w14:ligatures w14:val="none"/>
    </w:rPr>
  </w:style>
  <w:style w:type="table" w:styleId="Tabelacomgrade">
    <w:name w:val="Table Grid"/>
    <w:basedOn w:val="Tabelanormal"/>
    <w:uiPriority w:val="39"/>
    <w:rsid w:val="00CB2A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 Portela</dc:creator>
  <cp:keywords/>
  <dc:description/>
  <cp:lastModifiedBy>Margareth Portela</cp:lastModifiedBy>
  <cp:revision>2</cp:revision>
  <dcterms:created xsi:type="dcterms:W3CDTF">2023-09-03T23:15:00Z</dcterms:created>
  <dcterms:modified xsi:type="dcterms:W3CDTF">2023-09-04T02:42:00Z</dcterms:modified>
</cp:coreProperties>
</file>