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</w:rPr>
        <w:t>Changing inequity in health service utilization and financial burden among patients with hypertension in China: Evidence from China Health and Retirement Longitudinal Study (CHARLS), 2011–2018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i/>
          <w:iCs/>
          <w:szCs w:val="21"/>
        </w:rPr>
      </w:pPr>
      <w:bookmarkStart w:id="0" w:name="OLE_LINK6"/>
      <w:r>
        <w:rPr>
          <w:rFonts w:hint="eastAsia" w:ascii="Times New Roman" w:hAnsi="Times New Roman" w:cs="Times New Roman"/>
          <w:i/>
          <w:iCs/>
          <w:szCs w:val="21"/>
        </w:rPr>
        <w:t>Supplementary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cs="Times New Roman"/>
          <w:i/>
          <w:iCs/>
          <w:szCs w:val="21"/>
        </w:rPr>
        <w:t>file</w:t>
      </w:r>
      <w:bookmarkEnd w:id="0"/>
    </w:p>
    <w:p>
      <w:pPr>
        <w:spacing w:line="360" w:lineRule="auto"/>
        <w:jc w:val="center"/>
        <w:rPr>
          <w:rFonts w:hint="eastAsia" w:ascii="Times New Roman" w:hAnsi="Times New Roman" w:cs="Times New Roman"/>
          <w:i/>
          <w:iCs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default" w:ascii="Times New Roman Bold" w:hAnsi="Times New Roman Bold" w:cs="Times New Roman Bold"/>
          <w:b/>
          <w:bCs/>
          <w:szCs w:val="21"/>
        </w:rPr>
        <w:t xml:space="preserve">Table S1 </w:t>
      </w:r>
      <w:r>
        <w:rPr>
          <w:rFonts w:hint="eastAsia" w:ascii="Times New Roman" w:hAnsi="Times New Roman" w:cs="Times New Roman"/>
          <w:szCs w:val="21"/>
        </w:rPr>
        <w:t>Demographic</w:t>
      </w:r>
      <w:r>
        <w:rPr>
          <w:rFonts w:ascii="Times New Roman" w:hAnsi="Times New Roman" w:cs="Times New Roman"/>
          <w:szCs w:val="21"/>
        </w:rPr>
        <w:t xml:space="preserve"> Characteristics </w:t>
      </w:r>
      <w:r>
        <w:rPr>
          <w:rFonts w:hint="eastAsia"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patient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</w:t>
      </w:r>
      <w:r>
        <w:rPr>
          <w:rFonts w:ascii="Times New Roman" w:hAnsi="Times New Roman" w:cs="Times New Roman"/>
          <w:szCs w:val="21"/>
        </w:rPr>
        <w:t>-</w:t>
      </w:r>
      <w:r>
        <w:rPr>
          <w:rFonts w:hint="eastAsia" w:ascii="Times New Roman" w:hAnsi="Times New Roman" w:cs="Times New Roman"/>
          <w:szCs w:val="21"/>
        </w:rPr>
        <w:t>morbidity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status</w:t>
      </w:r>
      <w:r>
        <w:rPr>
          <w:rFonts w:ascii="Times New Roman" w:hAnsi="Times New Roman" w:cs="Times New Roman"/>
          <w:szCs w:val="21"/>
        </w:rPr>
        <w:t xml:space="preserve"> in China, 2011-2018 [n(%) /mean(sd)]</w:t>
      </w:r>
    </w:p>
    <w:tbl>
      <w:tblPr>
        <w:tblStyle w:val="6"/>
        <w:tblW w:w="4999" w:type="pct"/>
        <w:tblInd w:w="0" w:type="dxa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1"/>
        <w:gridCol w:w="2458"/>
        <w:gridCol w:w="2458"/>
        <w:gridCol w:w="2458"/>
        <w:gridCol w:w="2466"/>
      </w:tblGrid>
      <w:tr>
        <w:tc>
          <w:tcPr>
            <w:tcW w:w="1528" w:type="pct"/>
            <w:vMerge w:val="restart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3471" w:type="pct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Co-morbidity status</w:t>
            </w:r>
          </w:p>
        </w:tc>
      </w:tr>
      <w:tr>
        <w:tc>
          <w:tcPr>
            <w:tcW w:w="1528" w:type="pct"/>
            <w:vMerge w:val="continue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2011 wave</w:t>
            </w:r>
          </w:p>
        </w:tc>
        <w:tc>
          <w:tcPr>
            <w:tcW w:w="867" w:type="pct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2013 wave</w:t>
            </w:r>
          </w:p>
        </w:tc>
        <w:tc>
          <w:tcPr>
            <w:tcW w:w="867" w:type="pct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2015 wave</w:t>
            </w:r>
          </w:p>
        </w:tc>
        <w:tc>
          <w:tcPr>
            <w:tcW w:w="867" w:type="pct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2018 wave</w:t>
            </w:r>
          </w:p>
        </w:tc>
      </w:tr>
      <w:tr>
        <w:tc>
          <w:tcPr>
            <w:tcW w:w="1528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867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3161 (18.6%)</w:t>
            </w:r>
          </w:p>
        </w:tc>
        <w:tc>
          <w:tcPr>
            <w:tcW w:w="867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3691 (21.0%)</w:t>
            </w:r>
          </w:p>
        </w:tc>
        <w:tc>
          <w:tcPr>
            <w:tcW w:w="867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3705 (23.0%)</w:t>
            </w:r>
          </w:p>
        </w:tc>
        <w:tc>
          <w:tcPr>
            <w:tcW w:w="867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5500 (27.9%)</w:t>
            </w:r>
          </w:p>
        </w:tc>
      </w:tr>
      <w:tr>
        <w:tc>
          <w:tcPr>
            <w:tcW w:w="1528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Age (years)</w:t>
            </w:r>
          </w:p>
        </w:tc>
        <w:tc>
          <w:tcPr>
            <w:tcW w:w="86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45-54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736 (12.0%)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761 (13.1%)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664 (12.3%)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914 (16.1%)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55-64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1258 (20.0%)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1423 (21.8%)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1301 (23.7%)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1712 (27.3%)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65-74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785 (25.4%)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1017 (28.7%)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1183 (33.0%)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1838 (37.2%)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 and above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382 (26.2%)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490 (28.8%)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557 (34.4%)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920 (40.3%)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336.9***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409.2***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670.2***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774.4</w:t>
            </w: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***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Sex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1428 (17.2%)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1678 (19.7%)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1656 (21.3%)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2505 (26.9%)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1733 (20.0%)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2013 (22.2%)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2049 (24.6%)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2995 (28.7%)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20.9*** 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16.6***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24.4***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8.9**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Marital status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Married or Partnered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2494 (18.4%)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2911 (20.5%)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2885 (22.2%)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4443 (26.4%)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Unmarried and Others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666 (19.7%)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780 (23.3%)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819 (26.6%)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1057 (36.1%)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3.2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12.7***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27.9***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114.5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***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Education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Primary school and below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2191 (19.4%)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2591 (22.3%)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2586 (23.7%)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3764 (29.1%)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Secondary school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889 (16.8%)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1024 (18.3%)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1035 (21.5%)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1621 (25.4%)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College and above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78 (21.6%)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76 (21.4%)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84 (24.5%)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115 (27.0%)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18.5***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35.9***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9.8**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29.7</w:t>
            </w: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***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Residence status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Rural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1651 (16.9%)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1973 (19.6%)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1864 (22.1%)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2969 (26.9%)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Urban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944 (24.8%)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1047 (25.8%)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971 (26.6%)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1304 (32.9%)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Rural-to-urban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564 (16.7%)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662 (19.5%)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645 (20.3%)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1101 (27.5%)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121.7***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72.3***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43.3***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53.6</w:t>
            </w: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***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Health insurance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176 (15.7%)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121 (17.8%)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289 (21.7%)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141 (23.8%)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UEBMI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436 (25.0%)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510 (25.1%)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401 (25.6%)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808 (31.7%)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URRBMI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2333 (17.8%)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2815 (20.4%)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2606 (22.8%)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4181 (27.4%)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Others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203 (22.5%)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208 (23.8%)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295 (24.0%)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368 (28.1%)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67.7***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32.1***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8.0*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25.5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***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Socioeconomic group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Quintile1 (lowest)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470 (16.5%)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467 (20.1%)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478 (21.9%)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822 (24.9%)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Quintile2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476 (16.7%)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463 (19.9%)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476 (21.8%)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949 (27.8%)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Quintile3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536 (18.8%)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448 (19.2%)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447 (20.5%)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929 (27.1%)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Quintile4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553 (19.4%)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517 (22.2%)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539 (24.7%)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1012 (30.0%)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Quintile5 (highest)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624 (21.9%)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526 (22.7%)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498 (22.8%)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962 (29.8%)</w:t>
            </w:r>
          </w:p>
        </w:tc>
      </w:tr>
      <w:tr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sz w:val="21"/>
                        <w:szCs w:val="21"/>
                      </w:rPr>
                    </m:ctrlPr>
                  </m:sup>
                </m:sSup>
              </m:oMath>
            </m:oMathPara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36.9***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13.0**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12.2*</w:t>
            </w:r>
          </w:p>
        </w:tc>
        <w:tc>
          <w:tcPr>
            <w:tcW w:w="86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29.0</w:t>
            </w:r>
            <w:r>
              <w:rPr>
                <w:rFonts w:hint="default" w:ascii="Times New Roman Regular" w:hAnsi="Times New Roman Regular" w:eastAsia="Times New Roman Regular" w:cs="Times New Roman Regular"/>
                <w:color w:val="auto"/>
                <w:kern w:val="2"/>
                <w:sz w:val="21"/>
                <w:szCs w:val="21"/>
                <w:lang w:val="en-US" w:eastAsia="zh-CN" w:bidi="ar"/>
              </w:rPr>
              <w:t>***</w:t>
            </w:r>
          </w:p>
        </w:tc>
      </w:tr>
    </w:tbl>
    <w:p>
      <w:pPr>
        <w:spacing w:line="360" w:lineRule="auto"/>
        <w:jc w:val="both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*** p &lt; 0.001, ** p &lt; 0.01, * p &lt; 0.05 significance test.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Co-morbidity status: In this study, we defined Co-morbidity status as participant with hypertension and one or more self-reported diagnosed physical non-communicable diseases (diabetes, dyslipidaemia, heart disease, stroke, cancer, chronic lung disease, digestive disease, liver disease, kidney disease, and arthritis). We did not include individuals with self-reported psychiatric and memory-related diseases due to potential recall bias.</w:t>
      </w:r>
    </w:p>
    <w:p>
      <w:pPr>
        <w:spacing w:line="360" w:lineRule="auto"/>
        <w:jc w:val="center"/>
        <w:rPr>
          <w:rFonts w:hint="default" w:ascii="Times New Roman Bold" w:hAnsi="Times New Roman Bold" w:cs="Times New Roman Bold"/>
          <w:b/>
          <w:bCs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Cs w:val="21"/>
          <w:lang w:val="en-US" w:eastAsia="zh-CN"/>
        </w:rPr>
        <w:t>Table S2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Changes in health care expenses of patients with different insurance types in China, 2011-2018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1401"/>
        <w:gridCol w:w="1401"/>
        <w:gridCol w:w="1401"/>
        <w:gridCol w:w="1443"/>
        <w:gridCol w:w="1401"/>
        <w:gridCol w:w="1401"/>
        <w:gridCol w:w="1409"/>
        <w:gridCol w:w="1440"/>
      </w:tblGrid>
      <w:tr>
        <w:trPr>
          <w:trHeight w:val="90" w:hRule="atLeast"/>
        </w:trPr>
        <w:tc>
          <w:tcPr>
            <w:tcW w:w="1014" w:type="pct"/>
            <w:vMerge w:val="restart"/>
            <w:tcBorders>
              <w:top w:val="doub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 xml:space="preserve">Variables </w:t>
            </w:r>
          </w:p>
        </w:tc>
        <w:tc>
          <w:tcPr>
            <w:tcW w:w="1991" w:type="pct"/>
            <w:gridSpan w:val="4"/>
            <w:tcBorders>
              <w:top w:val="double" w:color="auto" w:sz="4" w:space="0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Outpatient service [mean]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% of OOP</w:t>
            </w:r>
          </w:p>
        </w:tc>
        <w:tc>
          <w:tcPr>
            <w:tcW w:w="1993" w:type="pct"/>
            <w:gridSpan w:val="4"/>
            <w:tcBorders>
              <w:top w:val="double" w:color="auto" w:sz="4" w:space="0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Inpatient service [mean]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% of OOP</w:t>
            </w:r>
          </w:p>
        </w:tc>
      </w:tr>
      <w:tr>
        <w:tc>
          <w:tcPr>
            <w:tcW w:w="10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2011 wave</w:t>
            </w: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2013 wave</w:t>
            </w: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2015 wave</w:t>
            </w:r>
          </w:p>
        </w:tc>
        <w:tc>
          <w:tcPr>
            <w:tcW w:w="506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2018 wave</w:t>
            </w: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2011 wave</w:t>
            </w: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2013 wave</w:t>
            </w:r>
          </w:p>
        </w:tc>
        <w:tc>
          <w:tcPr>
            <w:tcW w:w="497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2015 wave</w:t>
            </w:r>
          </w:p>
        </w:tc>
        <w:tc>
          <w:tcPr>
            <w:tcW w:w="506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2018 wave</w:t>
            </w:r>
          </w:p>
        </w:tc>
      </w:tr>
      <w:tr>
        <w:tc>
          <w:tcPr>
            <w:tcW w:w="10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Total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86.9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82.4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82.2</w:t>
            </w: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79.5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62.7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55.9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53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51.2</w:t>
            </w:r>
          </w:p>
        </w:tc>
      </w:tr>
      <w:t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Health insurance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</w:tr>
      <w:t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None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98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95.7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83.8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93.5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87.6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88.2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59.1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73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</w:tr>
      <w:t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UEBMI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63.3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64.2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66.4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63.5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41.5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38.1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36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41.7</w:t>
            </w:r>
          </w:p>
        </w:tc>
      </w:tr>
      <w:t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URRBMI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90.6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85.6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85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83.9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70.1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60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57.1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53.2</w:t>
            </w:r>
          </w:p>
        </w:tc>
      </w:tr>
      <w:tr>
        <w:tc>
          <w:tcPr>
            <w:tcW w:w="1014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Others</w:t>
            </w:r>
          </w:p>
        </w:tc>
        <w:tc>
          <w:tcPr>
            <w:tcW w:w="494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74.7</w:t>
            </w:r>
          </w:p>
        </w:tc>
        <w:tc>
          <w:tcPr>
            <w:tcW w:w="494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71.4</w:t>
            </w:r>
          </w:p>
        </w:tc>
        <w:tc>
          <w:tcPr>
            <w:tcW w:w="494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74.7</w:t>
            </w:r>
          </w:p>
        </w:tc>
        <w:tc>
          <w:tcPr>
            <w:tcW w:w="506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66.1</w:t>
            </w:r>
          </w:p>
        </w:tc>
        <w:tc>
          <w:tcPr>
            <w:tcW w:w="494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39.9</w:t>
            </w:r>
          </w:p>
        </w:tc>
        <w:tc>
          <w:tcPr>
            <w:tcW w:w="494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45.6</w:t>
            </w:r>
          </w:p>
        </w:tc>
        <w:tc>
          <w:tcPr>
            <w:tcW w:w="497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46.8</w:t>
            </w:r>
          </w:p>
        </w:tc>
        <w:tc>
          <w:tcPr>
            <w:tcW w:w="506" w:type="pct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48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.0</w:t>
            </w:r>
          </w:p>
        </w:tc>
      </w:tr>
    </w:tbl>
    <w:p>
      <w:pPr>
        <w:spacing w:line="360" w:lineRule="auto"/>
        <w:jc w:val="both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A8"/>
    <w:rsid w:val="00014B9C"/>
    <w:rsid w:val="00026D89"/>
    <w:rsid w:val="00063FBD"/>
    <w:rsid w:val="00090CB8"/>
    <w:rsid w:val="000A7C4A"/>
    <w:rsid w:val="000C1644"/>
    <w:rsid w:val="000C41AD"/>
    <w:rsid w:val="000D0E50"/>
    <w:rsid w:val="001155CF"/>
    <w:rsid w:val="001400D0"/>
    <w:rsid w:val="00142DAA"/>
    <w:rsid w:val="001455CF"/>
    <w:rsid w:val="001624C1"/>
    <w:rsid w:val="00186894"/>
    <w:rsid w:val="00195465"/>
    <w:rsid w:val="001D71EC"/>
    <w:rsid w:val="0021036F"/>
    <w:rsid w:val="002266A3"/>
    <w:rsid w:val="00230D2B"/>
    <w:rsid w:val="0025537B"/>
    <w:rsid w:val="00273BBD"/>
    <w:rsid w:val="00313834"/>
    <w:rsid w:val="00337289"/>
    <w:rsid w:val="00340DAC"/>
    <w:rsid w:val="003659D1"/>
    <w:rsid w:val="00371075"/>
    <w:rsid w:val="00377714"/>
    <w:rsid w:val="00401628"/>
    <w:rsid w:val="00405D1E"/>
    <w:rsid w:val="0042064D"/>
    <w:rsid w:val="0042240E"/>
    <w:rsid w:val="004361E6"/>
    <w:rsid w:val="00437833"/>
    <w:rsid w:val="004901EE"/>
    <w:rsid w:val="004C6A33"/>
    <w:rsid w:val="004D7946"/>
    <w:rsid w:val="004E32E2"/>
    <w:rsid w:val="005021FB"/>
    <w:rsid w:val="00514DC5"/>
    <w:rsid w:val="00515584"/>
    <w:rsid w:val="005235E4"/>
    <w:rsid w:val="005237D8"/>
    <w:rsid w:val="005468D1"/>
    <w:rsid w:val="0054799C"/>
    <w:rsid w:val="005831C7"/>
    <w:rsid w:val="005C3221"/>
    <w:rsid w:val="005E6D95"/>
    <w:rsid w:val="005F45A1"/>
    <w:rsid w:val="005F59B0"/>
    <w:rsid w:val="006020A7"/>
    <w:rsid w:val="006053C7"/>
    <w:rsid w:val="00611BBE"/>
    <w:rsid w:val="00621E49"/>
    <w:rsid w:val="0064057F"/>
    <w:rsid w:val="00652BAE"/>
    <w:rsid w:val="00654C64"/>
    <w:rsid w:val="00661446"/>
    <w:rsid w:val="006A41E1"/>
    <w:rsid w:val="006A6AE1"/>
    <w:rsid w:val="006D0E1E"/>
    <w:rsid w:val="006D59C9"/>
    <w:rsid w:val="006E3FAA"/>
    <w:rsid w:val="00703CB3"/>
    <w:rsid w:val="0072116B"/>
    <w:rsid w:val="00731564"/>
    <w:rsid w:val="00776F85"/>
    <w:rsid w:val="007E3EE2"/>
    <w:rsid w:val="007E4580"/>
    <w:rsid w:val="0085351E"/>
    <w:rsid w:val="008705D3"/>
    <w:rsid w:val="008A3B36"/>
    <w:rsid w:val="008A70A8"/>
    <w:rsid w:val="008C00A6"/>
    <w:rsid w:val="008C095A"/>
    <w:rsid w:val="008E12DB"/>
    <w:rsid w:val="008F4511"/>
    <w:rsid w:val="00910BFE"/>
    <w:rsid w:val="009277A9"/>
    <w:rsid w:val="009307DD"/>
    <w:rsid w:val="009608FE"/>
    <w:rsid w:val="009666CA"/>
    <w:rsid w:val="009667FD"/>
    <w:rsid w:val="009A0858"/>
    <w:rsid w:val="009A2F40"/>
    <w:rsid w:val="009D58D0"/>
    <w:rsid w:val="009E4437"/>
    <w:rsid w:val="00A160CC"/>
    <w:rsid w:val="00A7313E"/>
    <w:rsid w:val="00B26771"/>
    <w:rsid w:val="00B30020"/>
    <w:rsid w:val="00B33EE6"/>
    <w:rsid w:val="00B34D0B"/>
    <w:rsid w:val="00B46911"/>
    <w:rsid w:val="00B503D2"/>
    <w:rsid w:val="00B50557"/>
    <w:rsid w:val="00B61D3E"/>
    <w:rsid w:val="00B940D2"/>
    <w:rsid w:val="00B97E3E"/>
    <w:rsid w:val="00BE422A"/>
    <w:rsid w:val="00C55E16"/>
    <w:rsid w:val="00C87190"/>
    <w:rsid w:val="00CA0020"/>
    <w:rsid w:val="00D236F2"/>
    <w:rsid w:val="00D4724A"/>
    <w:rsid w:val="00E20A8E"/>
    <w:rsid w:val="00E501D9"/>
    <w:rsid w:val="00E535A9"/>
    <w:rsid w:val="00E57F77"/>
    <w:rsid w:val="00E76A18"/>
    <w:rsid w:val="00E900E9"/>
    <w:rsid w:val="00EC1ACE"/>
    <w:rsid w:val="00EC2315"/>
    <w:rsid w:val="00EC67F7"/>
    <w:rsid w:val="00EF4EF5"/>
    <w:rsid w:val="00F25417"/>
    <w:rsid w:val="00F442AF"/>
    <w:rsid w:val="00F540C2"/>
    <w:rsid w:val="00F666C3"/>
    <w:rsid w:val="00F9674D"/>
    <w:rsid w:val="00FD11B1"/>
    <w:rsid w:val="00FE10F9"/>
    <w:rsid w:val="00FF1DA4"/>
    <w:rsid w:val="373D76FA"/>
    <w:rsid w:val="3D1D5AEF"/>
    <w:rsid w:val="4BFF4E23"/>
    <w:rsid w:val="4DFD579E"/>
    <w:rsid w:val="4E51B4BA"/>
    <w:rsid w:val="5BEF5D09"/>
    <w:rsid w:val="65FF39AF"/>
    <w:rsid w:val="6C930BC3"/>
    <w:rsid w:val="6D7F324B"/>
    <w:rsid w:val="77F86B21"/>
    <w:rsid w:val="7EEB8830"/>
    <w:rsid w:val="7FBE95E2"/>
    <w:rsid w:val="F5C6A256"/>
    <w:rsid w:val="FB7B4301"/>
    <w:rsid w:val="FCCDF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pageBreakBefore/>
      <w:widowControl/>
      <w:spacing w:before="100" w:beforeAutospacing="1" w:line="578" w:lineRule="auto"/>
      <w:jc w:val="left"/>
      <w:outlineLvl w:val="0"/>
    </w:pPr>
    <w:rPr>
      <w:rFonts w:ascii="Calibri" w:hAnsi="Calibri" w:eastAsia="Calibri" w:cs="Times New Roman"/>
      <w:b/>
      <w:bCs/>
      <w:kern w:val="44"/>
      <w:sz w:val="24"/>
    </w:rPr>
  </w:style>
  <w:style w:type="paragraph" w:styleId="3">
    <w:name w:val="heading 2"/>
    <w:basedOn w:val="1"/>
    <w:next w:val="1"/>
    <w:link w:val="8"/>
    <w:unhideWhenUsed/>
    <w:qFormat/>
    <w:uiPriority w:val="9"/>
    <w:pPr>
      <w:keepNext/>
      <w:keepLines/>
      <w:widowControl/>
      <w:spacing w:before="100" w:beforeAutospacing="1" w:after="260" w:line="415" w:lineRule="auto"/>
      <w:jc w:val="left"/>
      <w:outlineLvl w:val="1"/>
    </w:pPr>
    <w:rPr>
      <w:rFonts w:ascii="Calibri" w:hAnsi="Calibri" w:eastAsia="Calibri" w:cstheme="majorBidi"/>
      <w:b/>
      <w:bCs/>
      <w:kern w:val="0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figures"/>
    <w:basedOn w:val="1"/>
    <w:next w:val="1"/>
    <w:unhideWhenUsed/>
    <w:qFormat/>
    <w:uiPriority w:val="99"/>
    <w:pPr>
      <w:widowControl/>
      <w:tabs>
        <w:tab w:val="right" w:leader="dot" w:pos="8296"/>
      </w:tabs>
      <w:spacing w:line="360" w:lineRule="auto"/>
    </w:pPr>
    <w:rPr>
      <w:rFonts w:ascii="Times New Roman" w:hAnsi="Times New Roman" w:eastAsia="Times New Roman" w:cs="宋体"/>
      <w:bCs/>
      <w:color w:val="000000" w:themeColor="text1"/>
      <w:kern w:val="0"/>
      <w:sz w:val="24"/>
      <w14:textFill>
        <w14:solidFill>
          <w14:schemeClr w14:val="tx1"/>
        </w14:solidFill>
      </w14:textFill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7"/>
    <w:link w:val="3"/>
    <w:uiPriority w:val="9"/>
    <w:rPr>
      <w:rFonts w:ascii="Calibri" w:hAnsi="Calibri" w:eastAsia="Calibri" w:cstheme="majorBidi"/>
      <w:b/>
      <w:bCs/>
      <w:kern w:val="0"/>
      <w:szCs w:val="32"/>
    </w:rPr>
  </w:style>
  <w:style w:type="character" w:customStyle="1" w:styleId="9">
    <w:name w:val="标题 1 字符"/>
    <w:basedOn w:val="7"/>
    <w:link w:val="2"/>
    <w:uiPriority w:val="9"/>
    <w:rPr>
      <w:rFonts w:ascii="Calibri" w:hAnsi="Calibri" w:eastAsia="Calibri" w:cs="Times New Roman"/>
      <w:b/>
      <w:bCs/>
      <w:kern w:val="44"/>
      <w:sz w:val="24"/>
    </w:rPr>
  </w:style>
  <w:style w:type="character" w:customStyle="1" w:styleId="10">
    <w:name w:val="font61"/>
    <w:basedOn w:val="7"/>
    <w:uiPriority w:val="0"/>
    <w:rPr>
      <w:rFonts w:hint="default" w:ascii="Times New Roman Regular" w:hAnsi="Times New Roman Regular" w:eastAsia="Times New Roman Regular" w:cs="Times New Roman Regular"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855</Characters>
  <Lines>1</Lines>
  <Paragraphs>1</Paragraphs>
  <TotalTime>85</TotalTime>
  <ScaleCrop>false</ScaleCrop>
  <LinksUpToDate>false</LinksUpToDate>
  <CharactersWithSpaces>1002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2023-08-18T02:57:00Z</dcterms:created>
  <dc:creator>皓晴 汤</dc:creator>
  <cp:lastModifiedBy>Haoqing Tang</cp:lastModifiedBy>
  <dcterms:modified xsi:type="dcterms:W3CDTF">2023-10-28T16:00:52Z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F0C562EE62D990AEB4BF3C65B6829CF5_43</vt:lpwstr>
  </property>
</Properties>
</file>