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4BFCF6" w14:textId="6CC17067" w:rsidR="0042305E" w:rsidRDefault="00FB0AC7">
      <w:r>
        <w:t>Appendix 1</w:t>
      </w:r>
    </w:p>
    <w:p w14:paraId="20081DEE" w14:textId="4B8C9F20" w:rsidR="00FB0AC7" w:rsidRDefault="00FB0AC7">
      <w:r>
        <w:t>Table 1. Domains, themes and concepts from qualitative analysis of interviews with researchers and health service leaders about key implementation factors influencing equity.</w:t>
      </w:r>
    </w:p>
    <w:tbl>
      <w:tblPr>
        <w:tblW w:w="0" w:type="auto"/>
        <w:tblLook w:val="04A0" w:firstRow="1" w:lastRow="0" w:firstColumn="1" w:lastColumn="0" w:noHBand="0" w:noVBand="1"/>
      </w:tblPr>
      <w:tblGrid>
        <w:gridCol w:w="1948"/>
        <w:gridCol w:w="2600"/>
        <w:gridCol w:w="3023"/>
        <w:gridCol w:w="6377"/>
      </w:tblGrid>
      <w:tr w:rsidR="00FB0AC7" w:rsidRPr="00096CE0" w14:paraId="24510A59" w14:textId="77777777" w:rsidTr="00FB0AC7">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489EF68" w14:textId="77777777" w:rsidR="00FB0AC7" w:rsidRPr="00096CE0" w:rsidRDefault="00FB0AC7" w:rsidP="00C165F8">
            <w:pPr>
              <w:spacing w:after="0"/>
              <w:rPr>
                <w:rFonts w:ascii="Calibri" w:eastAsia="Times New Roman" w:hAnsi="Calibri" w:cs="Calibri"/>
                <w:b/>
                <w:bCs/>
                <w:color w:val="000000"/>
                <w:szCs w:val="20"/>
                <w:lang w:eastAsia="en-GB"/>
              </w:rPr>
            </w:pPr>
            <w:r w:rsidRPr="00096CE0">
              <w:rPr>
                <w:rFonts w:ascii="Calibri" w:eastAsia="Times New Roman" w:hAnsi="Calibri" w:cs="Calibri"/>
                <w:b/>
                <w:bCs/>
                <w:color w:val="000000"/>
                <w:szCs w:val="20"/>
                <w:lang w:val="en-AU" w:eastAsia="en-GB"/>
              </w:rPr>
              <w:t>Third order domain</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3AB2289F" w14:textId="77777777" w:rsidR="00FB0AC7" w:rsidRPr="00096CE0" w:rsidRDefault="00FB0AC7" w:rsidP="00C165F8">
            <w:pPr>
              <w:spacing w:after="0"/>
              <w:rPr>
                <w:rFonts w:ascii="Calibri" w:eastAsia="Times New Roman" w:hAnsi="Calibri" w:cs="Calibri"/>
                <w:b/>
                <w:bCs/>
                <w:color w:val="000000"/>
                <w:szCs w:val="20"/>
                <w:lang w:eastAsia="en-GB"/>
              </w:rPr>
            </w:pPr>
            <w:r w:rsidRPr="00096CE0">
              <w:rPr>
                <w:rFonts w:ascii="Calibri" w:eastAsia="Times New Roman" w:hAnsi="Calibri" w:cs="Calibri"/>
                <w:b/>
                <w:bCs/>
                <w:color w:val="000000"/>
                <w:szCs w:val="20"/>
                <w:lang w:val="en-AU" w:eastAsia="en-GB"/>
              </w:rPr>
              <w:t>Second order theme</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5FCD2C4F" w14:textId="77777777" w:rsidR="00FB0AC7" w:rsidRPr="00096CE0" w:rsidRDefault="00FB0AC7" w:rsidP="00C165F8">
            <w:pPr>
              <w:spacing w:after="0"/>
              <w:rPr>
                <w:rFonts w:ascii="Calibri" w:eastAsia="Times New Roman" w:hAnsi="Calibri" w:cs="Calibri"/>
                <w:b/>
                <w:bCs/>
                <w:color w:val="000000"/>
                <w:szCs w:val="20"/>
                <w:lang w:eastAsia="en-GB"/>
              </w:rPr>
            </w:pPr>
            <w:r w:rsidRPr="00096CE0">
              <w:rPr>
                <w:rFonts w:ascii="Calibri" w:eastAsia="Times New Roman" w:hAnsi="Calibri" w:cs="Calibri"/>
                <w:b/>
                <w:bCs/>
                <w:color w:val="000000"/>
                <w:szCs w:val="20"/>
                <w:lang w:val="en-AU" w:eastAsia="en-GB"/>
              </w:rPr>
              <w:t>First order concept</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5D29B6A7" w14:textId="77777777" w:rsidR="00FB0AC7" w:rsidRPr="00096CE0" w:rsidRDefault="00FB0AC7" w:rsidP="00C165F8">
            <w:pPr>
              <w:spacing w:after="0"/>
              <w:rPr>
                <w:rFonts w:ascii="Calibri" w:eastAsia="Times New Roman" w:hAnsi="Calibri" w:cs="Calibri"/>
                <w:b/>
                <w:bCs/>
                <w:color w:val="000000"/>
                <w:szCs w:val="20"/>
                <w:lang w:eastAsia="en-GB"/>
              </w:rPr>
            </w:pPr>
            <w:r w:rsidRPr="00096CE0">
              <w:rPr>
                <w:rFonts w:ascii="Calibri" w:eastAsia="Times New Roman" w:hAnsi="Calibri" w:cs="Calibri"/>
                <w:b/>
                <w:bCs/>
                <w:color w:val="000000"/>
                <w:szCs w:val="20"/>
                <w:lang w:val="en-AU" w:eastAsia="en-GB"/>
              </w:rPr>
              <w:t>Definition</w:t>
            </w:r>
          </w:p>
        </w:tc>
      </w:tr>
      <w:tr w:rsidR="00FB0AC7" w:rsidRPr="00096CE0" w14:paraId="24B85693" w14:textId="77777777" w:rsidTr="00FB0AC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406BE77"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Macro Environment</w:t>
            </w:r>
          </w:p>
        </w:tc>
        <w:tc>
          <w:tcPr>
            <w:tcW w:w="0" w:type="auto"/>
            <w:tcBorders>
              <w:top w:val="nil"/>
              <w:left w:val="nil"/>
              <w:bottom w:val="single" w:sz="4" w:space="0" w:color="auto"/>
              <w:right w:val="single" w:sz="4" w:space="0" w:color="auto"/>
            </w:tcBorders>
            <w:shd w:val="clear" w:color="auto" w:fill="auto"/>
            <w:vAlign w:val="center"/>
            <w:hideMark/>
          </w:tcPr>
          <w:p w14:paraId="21C5B5AC"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Policy</w:t>
            </w:r>
          </w:p>
        </w:tc>
        <w:tc>
          <w:tcPr>
            <w:tcW w:w="0" w:type="auto"/>
            <w:tcBorders>
              <w:top w:val="nil"/>
              <w:left w:val="nil"/>
              <w:bottom w:val="single" w:sz="4" w:space="0" w:color="auto"/>
              <w:right w:val="single" w:sz="4" w:space="0" w:color="auto"/>
            </w:tcBorders>
            <w:shd w:val="clear" w:color="auto" w:fill="auto"/>
            <w:vAlign w:val="center"/>
            <w:hideMark/>
          </w:tcPr>
          <w:p w14:paraId="38D7442D"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Policy</w:t>
            </w:r>
          </w:p>
        </w:tc>
        <w:tc>
          <w:tcPr>
            <w:tcW w:w="0" w:type="auto"/>
            <w:tcBorders>
              <w:top w:val="nil"/>
              <w:left w:val="nil"/>
              <w:bottom w:val="single" w:sz="4" w:space="0" w:color="auto"/>
              <w:right w:val="single" w:sz="4" w:space="0" w:color="auto"/>
            </w:tcBorders>
            <w:shd w:val="clear" w:color="auto" w:fill="auto"/>
            <w:vAlign w:val="center"/>
            <w:hideMark/>
          </w:tcPr>
          <w:p w14:paraId="355F5122"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Refers to the political levers that influence the design and/or implementation process</w:t>
            </w:r>
          </w:p>
        </w:tc>
      </w:tr>
      <w:tr w:rsidR="00FB0AC7" w:rsidRPr="00096CE0" w14:paraId="60520320" w14:textId="77777777" w:rsidTr="00FB0AC7">
        <w:trPr>
          <w:trHeight w:val="20"/>
        </w:trPr>
        <w:tc>
          <w:tcPr>
            <w:tcW w:w="0" w:type="auto"/>
            <w:tcBorders>
              <w:top w:val="single" w:sz="4" w:space="0" w:color="auto"/>
              <w:left w:val="single" w:sz="4" w:space="0" w:color="auto"/>
              <w:bottom w:val="single" w:sz="18" w:space="0" w:color="auto"/>
              <w:right w:val="single" w:sz="4" w:space="0" w:color="auto"/>
            </w:tcBorders>
            <w:shd w:val="clear" w:color="auto" w:fill="auto"/>
            <w:vAlign w:val="center"/>
            <w:hideMark/>
          </w:tcPr>
          <w:p w14:paraId="4EDE1B58"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Macro Environment</w:t>
            </w:r>
          </w:p>
        </w:tc>
        <w:tc>
          <w:tcPr>
            <w:tcW w:w="0" w:type="auto"/>
            <w:tcBorders>
              <w:top w:val="single" w:sz="4" w:space="0" w:color="auto"/>
              <w:left w:val="nil"/>
              <w:bottom w:val="single" w:sz="18" w:space="0" w:color="auto"/>
              <w:right w:val="single" w:sz="4" w:space="0" w:color="auto"/>
            </w:tcBorders>
            <w:shd w:val="clear" w:color="auto" w:fill="auto"/>
            <w:vAlign w:val="center"/>
            <w:hideMark/>
          </w:tcPr>
          <w:p w14:paraId="39CBE5EC" w14:textId="77777777" w:rsidR="00FB0AC7" w:rsidRPr="00096CE0" w:rsidRDefault="00FB0AC7" w:rsidP="00C165F8">
            <w:pPr>
              <w:spacing w:after="0"/>
              <w:rPr>
                <w:rFonts w:ascii="Calibri" w:eastAsia="Times New Roman" w:hAnsi="Calibri" w:cs="Calibri"/>
                <w:color w:val="000000"/>
                <w:szCs w:val="20"/>
                <w:lang w:eastAsia="en-GB"/>
              </w:rPr>
            </w:pPr>
            <w:r>
              <w:rPr>
                <w:rFonts w:ascii="Calibri" w:eastAsia="Times New Roman" w:hAnsi="Calibri" w:cs="Calibri"/>
                <w:color w:val="000000"/>
                <w:szCs w:val="20"/>
                <w:lang w:val="en-AU" w:eastAsia="en-GB"/>
              </w:rPr>
              <w:t>Funding</w:t>
            </w:r>
          </w:p>
        </w:tc>
        <w:tc>
          <w:tcPr>
            <w:tcW w:w="0" w:type="auto"/>
            <w:tcBorders>
              <w:top w:val="single" w:sz="4" w:space="0" w:color="auto"/>
              <w:left w:val="nil"/>
              <w:bottom w:val="single" w:sz="18" w:space="0" w:color="auto"/>
              <w:right w:val="single" w:sz="4" w:space="0" w:color="auto"/>
            </w:tcBorders>
            <w:shd w:val="clear" w:color="auto" w:fill="auto"/>
            <w:vAlign w:val="center"/>
            <w:hideMark/>
          </w:tcPr>
          <w:p w14:paraId="5E40583D"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Funding arrangements</w:t>
            </w:r>
          </w:p>
        </w:tc>
        <w:tc>
          <w:tcPr>
            <w:tcW w:w="0" w:type="auto"/>
            <w:tcBorders>
              <w:top w:val="single" w:sz="4" w:space="0" w:color="auto"/>
              <w:left w:val="nil"/>
              <w:bottom w:val="single" w:sz="18" w:space="0" w:color="auto"/>
              <w:right w:val="single" w:sz="4" w:space="0" w:color="auto"/>
            </w:tcBorders>
            <w:shd w:val="clear" w:color="auto" w:fill="auto"/>
            <w:vAlign w:val="center"/>
            <w:hideMark/>
          </w:tcPr>
          <w:p w14:paraId="6585FD44"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Relates to any aspect of funding for the design and/or implementation of the initiative</w:t>
            </w:r>
          </w:p>
        </w:tc>
      </w:tr>
      <w:tr w:rsidR="00FB0AC7" w:rsidRPr="00096CE0" w14:paraId="5EA4DD3A" w14:textId="77777777" w:rsidTr="00FB0AC7">
        <w:trPr>
          <w:trHeight w:val="20"/>
        </w:trPr>
        <w:tc>
          <w:tcPr>
            <w:tcW w:w="0" w:type="auto"/>
            <w:tcBorders>
              <w:top w:val="single" w:sz="18" w:space="0" w:color="auto"/>
              <w:left w:val="single" w:sz="4" w:space="0" w:color="auto"/>
              <w:bottom w:val="single" w:sz="4" w:space="0" w:color="auto"/>
              <w:right w:val="single" w:sz="4" w:space="0" w:color="auto"/>
            </w:tcBorders>
            <w:shd w:val="clear" w:color="auto" w:fill="auto"/>
            <w:vAlign w:val="center"/>
            <w:hideMark/>
          </w:tcPr>
          <w:p w14:paraId="454ED245"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Enabling equity environment</w:t>
            </w:r>
          </w:p>
        </w:tc>
        <w:tc>
          <w:tcPr>
            <w:tcW w:w="0" w:type="auto"/>
            <w:tcBorders>
              <w:top w:val="single" w:sz="18" w:space="0" w:color="auto"/>
              <w:left w:val="nil"/>
              <w:bottom w:val="single" w:sz="4" w:space="0" w:color="auto"/>
              <w:right w:val="single" w:sz="4" w:space="0" w:color="auto"/>
            </w:tcBorders>
            <w:shd w:val="clear" w:color="auto" w:fill="auto"/>
            <w:vAlign w:val="center"/>
            <w:hideMark/>
          </w:tcPr>
          <w:p w14:paraId="7BE56D44"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Partnership</w:t>
            </w:r>
          </w:p>
        </w:tc>
        <w:tc>
          <w:tcPr>
            <w:tcW w:w="0" w:type="auto"/>
            <w:tcBorders>
              <w:top w:val="single" w:sz="18" w:space="0" w:color="auto"/>
              <w:left w:val="nil"/>
              <w:bottom w:val="single" w:sz="4" w:space="0" w:color="auto"/>
              <w:right w:val="single" w:sz="4" w:space="0" w:color="auto"/>
            </w:tcBorders>
            <w:shd w:val="clear" w:color="auto" w:fill="auto"/>
            <w:vAlign w:val="center"/>
            <w:hideMark/>
          </w:tcPr>
          <w:p w14:paraId="2B9DBF7E"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Community engagement</w:t>
            </w:r>
          </w:p>
        </w:tc>
        <w:tc>
          <w:tcPr>
            <w:tcW w:w="0" w:type="auto"/>
            <w:tcBorders>
              <w:top w:val="single" w:sz="18" w:space="0" w:color="auto"/>
              <w:left w:val="nil"/>
              <w:bottom w:val="single" w:sz="4" w:space="0" w:color="auto"/>
              <w:right w:val="single" w:sz="4" w:space="0" w:color="auto"/>
            </w:tcBorders>
            <w:shd w:val="clear" w:color="auto" w:fill="auto"/>
            <w:vAlign w:val="center"/>
            <w:hideMark/>
          </w:tcPr>
          <w:p w14:paraId="5DC80CEE"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Engagement with the community in the design of the  intervention/research.  This is engagement at multiple levels – community leadership, community based organisations, and other stakeholders</w:t>
            </w:r>
          </w:p>
        </w:tc>
      </w:tr>
      <w:tr w:rsidR="00FB0AC7" w:rsidRPr="00096CE0" w14:paraId="79AD7146" w14:textId="77777777" w:rsidTr="00FB0AC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5C7E0F2"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Enabling equity environment</w:t>
            </w:r>
          </w:p>
        </w:tc>
        <w:tc>
          <w:tcPr>
            <w:tcW w:w="0" w:type="auto"/>
            <w:tcBorders>
              <w:top w:val="nil"/>
              <w:left w:val="nil"/>
              <w:bottom w:val="single" w:sz="4" w:space="0" w:color="auto"/>
              <w:right w:val="single" w:sz="4" w:space="0" w:color="auto"/>
            </w:tcBorders>
            <w:shd w:val="clear" w:color="auto" w:fill="auto"/>
            <w:vAlign w:val="center"/>
            <w:hideMark/>
          </w:tcPr>
          <w:p w14:paraId="100D8CD1"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Partnership</w:t>
            </w:r>
          </w:p>
        </w:tc>
        <w:tc>
          <w:tcPr>
            <w:tcW w:w="0" w:type="auto"/>
            <w:tcBorders>
              <w:top w:val="nil"/>
              <w:left w:val="nil"/>
              <w:bottom w:val="single" w:sz="4" w:space="0" w:color="auto"/>
              <w:right w:val="single" w:sz="4" w:space="0" w:color="auto"/>
            </w:tcBorders>
            <w:shd w:val="clear" w:color="auto" w:fill="auto"/>
            <w:vAlign w:val="center"/>
            <w:hideMark/>
          </w:tcPr>
          <w:p w14:paraId="72DFECCA"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Engaging with te ao Māori</w:t>
            </w:r>
          </w:p>
        </w:tc>
        <w:tc>
          <w:tcPr>
            <w:tcW w:w="0" w:type="auto"/>
            <w:tcBorders>
              <w:top w:val="nil"/>
              <w:left w:val="nil"/>
              <w:bottom w:val="single" w:sz="4" w:space="0" w:color="auto"/>
              <w:right w:val="single" w:sz="4" w:space="0" w:color="auto"/>
            </w:tcBorders>
            <w:shd w:val="clear" w:color="auto" w:fill="auto"/>
            <w:vAlign w:val="center"/>
            <w:hideMark/>
          </w:tcPr>
          <w:p w14:paraId="138BEA6F"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Understanding and incorporating te ao Maori into the ways of working, design and implementation processes</w:t>
            </w:r>
          </w:p>
        </w:tc>
      </w:tr>
      <w:tr w:rsidR="00FB0AC7" w:rsidRPr="00096CE0" w14:paraId="38104676" w14:textId="77777777" w:rsidTr="00FB0AC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DDF792D"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Enabling equity environment</w:t>
            </w:r>
          </w:p>
        </w:tc>
        <w:tc>
          <w:tcPr>
            <w:tcW w:w="0" w:type="auto"/>
            <w:tcBorders>
              <w:top w:val="nil"/>
              <w:left w:val="nil"/>
              <w:bottom w:val="single" w:sz="4" w:space="0" w:color="auto"/>
              <w:right w:val="single" w:sz="4" w:space="0" w:color="auto"/>
            </w:tcBorders>
            <w:shd w:val="clear" w:color="auto" w:fill="auto"/>
            <w:vAlign w:val="center"/>
            <w:hideMark/>
          </w:tcPr>
          <w:p w14:paraId="513878CE"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Partnership</w:t>
            </w:r>
          </w:p>
        </w:tc>
        <w:tc>
          <w:tcPr>
            <w:tcW w:w="0" w:type="auto"/>
            <w:tcBorders>
              <w:top w:val="nil"/>
              <w:left w:val="nil"/>
              <w:bottom w:val="single" w:sz="4" w:space="0" w:color="auto"/>
              <w:right w:val="single" w:sz="4" w:space="0" w:color="auto"/>
            </w:tcBorders>
            <w:shd w:val="clear" w:color="auto" w:fill="auto"/>
            <w:vAlign w:val="center"/>
            <w:hideMark/>
          </w:tcPr>
          <w:p w14:paraId="7E7F5F48"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Whānau engagement and relationships</w:t>
            </w:r>
          </w:p>
        </w:tc>
        <w:tc>
          <w:tcPr>
            <w:tcW w:w="0" w:type="auto"/>
            <w:tcBorders>
              <w:top w:val="nil"/>
              <w:left w:val="nil"/>
              <w:bottom w:val="single" w:sz="4" w:space="0" w:color="auto"/>
              <w:right w:val="single" w:sz="4" w:space="0" w:color="auto"/>
            </w:tcBorders>
            <w:shd w:val="clear" w:color="auto" w:fill="auto"/>
            <w:vAlign w:val="center"/>
            <w:hideMark/>
          </w:tcPr>
          <w:p w14:paraId="7777554C"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Connections with the wider whanau as a part of the design and implementation processes</w:t>
            </w:r>
          </w:p>
        </w:tc>
      </w:tr>
      <w:tr w:rsidR="00FB0AC7" w:rsidRPr="00096CE0" w14:paraId="0BBF00E2" w14:textId="77777777" w:rsidTr="00FB0AC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36BEE76"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Enabling equity environment</w:t>
            </w:r>
          </w:p>
        </w:tc>
        <w:tc>
          <w:tcPr>
            <w:tcW w:w="0" w:type="auto"/>
            <w:tcBorders>
              <w:top w:val="nil"/>
              <w:left w:val="nil"/>
              <w:bottom w:val="single" w:sz="4" w:space="0" w:color="auto"/>
              <w:right w:val="single" w:sz="4" w:space="0" w:color="auto"/>
            </w:tcBorders>
            <w:shd w:val="clear" w:color="auto" w:fill="auto"/>
            <w:vAlign w:val="center"/>
            <w:hideMark/>
          </w:tcPr>
          <w:p w14:paraId="3EA81DA7"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Partnership</w:t>
            </w:r>
          </w:p>
        </w:tc>
        <w:tc>
          <w:tcPr>
            <w:tcW w:w="0" w:type="auto"/>
            <w:tcBorders>
              <w:top w:val="nil"/>
              <w:left w:val="nil"/>
              <w:bottom w:val="single" w:sz="4" w:space="0" w:color="auto"/>
              <w:right w:val="single" w:sz="4" w:space="0" w:color="auto"/>
            </w:tcBorders>
            <w:shd w:val="clear" w:color="auto" w:fill="auto"/>
            <w:vAlign w:val="center"/>
            <w:hideMark/>
          </w:tcPr>
          <w:p w14:paraId="52866203"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Whanaungatanga</w:t>
            </w:r>
          </w:p>
        </w:tc>
        <w:tc>
          <w:tcPr>
            <w:tcW w:w="0" w:type="auto"/>
            <w:tcBorders>
              <w:top w:val="nil"/>
              <w:left w:val="nil"/>
              <w:bottom w:val="single" w:sz="4" w:space="0" w:color="auto"/>
              <w:right w:val="single" w:sz="4" w:space="0" w:color="auto"/>
            </w:tcBorders>
            <w:shd w:val="clear" w:color="auto" w:fill="auto"/>
            <w:vAlign w:val="center"/>
            <w:hideMark/>
          </w:tcPr>
          <w:p w14:paraId="086AFED6"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Getting to know one another and building relationships so effective partnerships and ways of working occur</w:t>
            </w:r>
          </w:p>
        </w:tc>
      </w:tr>
      <w:tr w:rsidR="00FB0AC7" w:rsidRPr="00096CE0" w14:paraId="5A6666C2" w14:textId="77777777" w:rsidTr="00FB0AC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99186DD"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Enabling equity environment</w:t>
            </w:r>
          </w:p>
        </w:tc>
        <w:tc>
          <w:tcPr>
            <w:tcW w:w="0" w:type="auto"/>
            <w:tcBorders>
              <w:top w:val="nil"/>
              <w:left w:val="nil"/>
              <w:bottom w:val="single" w:sz="4" w:space="0" w:color="auto"/>
              <w:right w:val="single" w:sz="4" w:space="0" w:color="auto"/>
            </w:tcBorders>
            <w:shd w:val="clear" w:color="auto" w:fill="auto"/>
            <w:vAlign w:val="center"/>
            <w:hideMark/>
          </w:tcPr>
          <w:p w14:paraId="1EEF9EEF"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Partnership</w:t>
            </w:r>
          </w:p>
        </w:tc>
        <w:tc>
          <w:tcPr>
            <w:tcW w:w="0" w:type="auto"/>
            <w:tcBorders>
              <w:top w:val="nil"/>
              <w:left w:val="nil"/>
              <w:bottom w:val="single" w:sz="4" w:space="0" w:color="auto"/>
              <w:right w:val="single" w:sz="4" w:space="0" w:color="auto"/>
            </w:tcBorders>
            <w:shd w:val="clear" w:color="auto" w:fill="auto"/>
            <w:vAlign w:val="center"/>
            <w:hideMark/>
          </w:tcPr>
          <w:p w14:paraId="69B0F7B6"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Partnership</w:t>
            </w:r>
          </w:p>
        </w:tc>
        <w:tc>
          <w:tcPr>
            <w:tcW w:w="0" w:type="auto"/>
            <w:tcBorders>
              <w:top w:val="nil"/>
              <w:left w:val="nil"/>
              <w:bottom w:val="single" w:sz="4" w:space="0" w:color="auto"/>
              <w:right w:val="single" w:sz="4" w:space="0" w:color="auto"/>
            </w:tcBorders>
            <w:shd w:val="clear" w:color="auto" w:fill="auto"/>
            <w:vAlign w:val="center"/>
            <w:hideMark/>
          </w:tcPr>
          <w:p w14:paraId="451BE67F"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Organisations and individuals working together to design and implement.</w:t>
            </w:r>
          </w:p>
        </w:tc>
      </w:tr>
      <w:tr w:rsidR="00FB0AC7" w:rsidRPr="00096CE0" w14:paraId="153711F6" w14:textId="77777777" w:rsidTr="00FB0AC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5810B67"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Enabling equity environment</w:t>
            </w:r>
          </w:p>
        </w:tc>
        <w:tc>
          <w:tcPr>
            <w:tcW w:w="0" w:type="auto"/>
            <w:tcBorders>
              <w:top w:val="nil"/>
              <w:left w:val="nil"/>
              <w:bottom w:val="single" w:sz="4" w:space="0" w:color="auto"/>
              <w:right w:val="single" w:sz="4" w:space="0" w:color="auto"/>
            </w:tcBorders>
            <w:shd w:val="clear" w:color="auto" w:fill="auto"/>
            <w:vAlign w:val="center"/>
            <w:hideMark/>
          </w:tcPr>
          <w:p w14:paraId="629F299C"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Workforce/Training</w:t>
            </w:r>
          </w:p>
        </w:tc>
        <w:tc>
          <w:tcPr>
            <w:tcW w:w="0" w:type="auto"/>
            <w:tcBorders>
              <w:top w:val="nil"/>
              <w:left w:val="nil"/>
              <w:bottom w:val="single" w:sz="4" w:space="0" w:color="auto"/>
              <w:right w:val="single" w:sz="4" w:space="0" w:color="auto"/>
            </w:tcBorders>
            <w:shd w:val="clear" w:color="auto" w:fill="auto"/>
            <w:vAlign w:val="center"/>
            <w:hideMark/>
          </w:tcPr>
          <w:p w14:paraId="0F0C328C"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Recruitment/workforce</w:t>
            </w:r>
          </w:p>
        </w:tc>
        <w:tc>
          <w:tcPr>
            <w:tcW w:w="0" w:type="auto"/>
            <w:tcBorders>
              <w:top w:val="nil"/>
              <w:left w:val="nil"/>
              <w:bottom w:val="single" w:sz="4" w:space="0" w:color="auto"/>
              <w:right w:val="single" w:sz="4" w:space="0" w:color="auto"/>
            </w:tcBorders>
            <w:shd w:val="clear" w:color="auto" w:fill="auto"/>
            <w:vAlign w:val="center"/>
            <w:hideMark/>
          </w:tcPr>
          <w:p w14:paraId="61FBD569"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The workforce is representative of the local community the intervention is targeted to reach.</w:t>
            </w:r>
          </w:p>
        </w:tc>
      </w:tr>
      <w:tr w:rsidR="00FB0AC7" w:rsidRPr="00096CE0" w14:paraId="77FC2C82" w14:textId="77777777" w:rsidTr="00FB0AC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CB8C4A8"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Enabling equity environment</w:t>
            </w:r>
          </w:p>
        </w:tc>
        <w:tc>
          <w:tcPr>
            <w:tcW w:w="0" w:type="auto"/>
            <w:tcBorders>
              <w:top w:val="nil"/>
              <w:left w:val="nil"/>
              <w:bottom w:val="single" w:sz="4" w:space="0" w:color="auto"/>
              <w:right w:val="single" w:sz="4" w:space="0" w:color="auto"/>
            </w:tcBorders>
            <w:shd w:val="clear" w:color="auto" w:fill="auto"/>
            <w:vAlign w:val="center"/>
            <w:hideMark/>
          </w:tcPr>
          <w:p w14:paraId="575D6D5F"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Workforce/training</w:t>
            </w:r>
          </w:p>
        </w:tc>
        <w:tc>
          <w:tcPr>
            <w:tcW w:w="0" w:type="auto"/>
            <w:tcBorders>
              <w:top w:val="nil"/>
              <w:left w:val="nil"/>
              <w:bottom w:val="single" w:sz="4" w:space="0" w:color="auto"/>
              <w:right w:val="single" w:sz="4" w:space="0" w:color="auto"/>
            </w:tcBorders>
            <w:shd w:val="clear" w:color="auto" w:fill="auto"/>
            <w:vAlign w:val="center"/>
            <w:hideMark/>
          </w:tcPr>
          <w:p w14:paraId="3639B798"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Training</w:t>
            </w:r>
          </w:p>
        </w:tc>
        <w:tc>
          <w:tcPr>
            <w:tcW w:w="0" w:type="auto"/>
            <w:tcBorders>
              <w:top w:val="nil"/>
              <w:left w:val="nil"/>
              <w:bottom w:val="single" w:sz="4" w:space="0" w:color="auto"/>
              <w:right w:val="single" w:sz="4" w:space="0" w:color="auto"/>
            </w:tcBorders>
            <w:shd w:val="clear" w:color="auto" w:fill="auto"/>
            <w:vAlign w:val="center"/>
            <w:hideMark/>
          </w:tcPr>
          <w:p w14:paraId="5F451324"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The extent of resources and focus on training up the workforce</w:t>
            </w:r>
          </w:p>
        </w:tc>
      </w:tr>
      <w:tr w:rsidR="00FB0AC7" w:rsidRPr="00096CE0" w14:paraId="78230379" w14:textId="77777777" w:rsidTr="00FB0AC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0446EAA"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Enabling equity environment</w:t>
            </w:r>
          </w:p>
        </w:tc>
        <w:tc>
          <w:tcPr>
            <w:tcW w:w="0" w:type="auto"/>
            <w:tcBorders>
              <w:top w:val="nil"/>
              <w:left w:val="nil"/>
              <w:bottom w:val="single" w:sz="4" w:space="0" w:color="auto"/>
              <w:right w:val="single" w:sz="4" w:space="0" w:color="auto"/>
            </w:tcBorders>
            <w:shd w:val="clear" w:color="auto" w:fill="auto"/>
            <w:vAlign w:val="center"/>
            <w:hideMark/>
          </w:tcPr>
          <w:p w14:paraId="7C5637E9"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Workforce/training</w:t>
            </w:r>
          </w:p>
        </w:tc>
        <w:tc>
          <w:tcPr>
            <w:tcW w:w="0" w:type="auto"/>
            <w:tcBorders>
              <w:top w:val="nil"/>
              <w:left w:val="nil"/>
              <w:bottom w:val="single" w:sz="4" w:space="0" w:color="auto"/>
              <w:right w:val="single" w:sz="4" w:space="0" w:color="auto"/>
            </w:tcBorders>
            <w:shd w:val="clear" w:color="auto" w:fill="auto"/>
            <w:vAlign w:val="center"/>
            <w:hideMark/>
          </w:tcPr>
          <w:p w14:paraId="12ABE2C7"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Task definition</w:t>
            </w:r>
          </w:p>
        </w:tc>
        <w:tc>
          <w:tcPr>
            <w:tcW w:w="0" w:type="auto"/>
            <w:tcBorders>
              <w:top w:val="nil"/>
              <w:left w:val="nil"/>
              <w:bottom w:val="single" w:sz="4" w:space="0" w:color="auto"/>
              <w:right w:val="single" w:sz="4" w:space="0" w:color="auto"/>
            </w:tcBorders>
            <w:shd w:val="clear" w:color="auto" w:fill="auto"/>
            <w:vAlign w:val="center"/>
            <w:hideMark/>
          </w:tcPr>
          <w:p w14:paraId="6727ACF4"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The clarity of roles, responsibilities, and tasks in the delivery of the program</w:t>
            </w:r>
          </w:p>
        </w:tc>
      </w:tr>
      <w:tr w:rsidR="00FB0AC7" w:rsidRPr="00096CE0" w14:paraId="7DB467A1" w14:textId="77777777" w:rsidTr="00FB0AC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2493C4E"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lastRenderedPageBreak/>
              <w:t>Enabling equity environment</w:t>
            </w:r>
          </w:p>
        </w:tc>
        <w:tc>
          <w:tcPr>
            <w:tcW w:w="0" w:type="auto"/>
            <w:tcBorders>
              <w:top w:val="nil"/>
              <w:left w:val="nil"/>
              <w:bottom w:val="single" w:sz="4" w:space="0" w:color="auto"/>
              <w:right w:val="single" w:sz="4" w:space="0" w:color="auto"/>
            </w:tcBorders>
            <w:shd w:val="clear" w:color="auto" w:fill="auto"/>
            <w:vAlign w:val="center"/>
            <w:hideMark/>
          </w:tcPr>
          <w:p w14:paraId="7E9B6635"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Values/attitudes/beliefs</w:t>
            </w:r>
          </w:p>
        </w:tc>
        <w:tc>
          <w:tcPr>
            <w:tcW w:w="0" w:type="auto"/>
            <w:tcBorders>
              <w:top w:val="nil"/>
              <w:left w:val="nil"/>
              <w:bottom w:val="single" w:sz="4" w:space="0" w:color="auto"/>
              <w:right w:val="single" w:sz="4" w:space="0" w:color="auto"/>
            </w:tcBorders>
            <w:shd w:val="clear" w:color="auto" w:fill="auto"/>
            <w:vAlign w:val="center"/>
            <w:hideMark/>
          </w:tcPr>
          <w:p w14:paraId="2AACF26C"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Trust</w:t>
            </w:r>
          </w:p>
        </w:tc>
        <w:tc>
          <w:tcPr>
            <w:tcW w:w="0" w:type="auto"/>
            <w:tcBorders>
              <w:top w:val="nil"/>
              <w:left w:val="nil"/>
              <w:bottom w:val="single" w:sz="4" w:space="0" w:color="auto"/>
              <w:right w:val="single" w:sz="4" w:space="0" w:color="auto"/>
            </w:tcBorders>
            <w:shd w:val="clear" w:color="auto" w:fill="auto"/>
            <w:vAlign w:val="center"/>
            <w:hideMark/>
          </w:tcPr>
          <w:p w14:paraId="47DCD3C1"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Refers to the reliance of different roles within the design and implementation processes to be playing their part, and trusting in their relationships</w:t>
            </w:r>
          </w:p>
        </w:tc>
      </w:tr>
      <w:tr w:rsidR="00FB0AC7" w:rsidRPr="00096CE0" w14:paraId="2E2FC4BE" w14:textId="77777777" w:rsidTr="00FB0AC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CF88780"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Enabling equity environment</w:t>
            </w:r>
          </w:p>
        </w:tc>
        <w:tc>
          <w:tcPr>
            <w:tcW w:w="0" w:type="auto"/>
            <w:tcBorders>
              <w:top w:val="nil"/>
              <w:left w:val="nil"/>
              <w:bottom w:val="single" w:sz="4" w:space="0" w:color="auto"/>
              <w:right w:val="single" w:sz="4" w:space="0" w:color="auto"/>
            </w:tcBorders>
            <w:shd w:val="clear" w:color="auto" w:fill="auto"/>
            <w:vAlign w:val="center"/>
            <w:hideMark/>
          </w:tcPr>
          <w:p w14:paraId="3572DE4A"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Values/attitudes/beliefs</w:t>
            </w:r>
          </w:p>
        </w:tc>
        <w:tc>
          <w:tcPr>
            <w:tcW w:w="0" w:type="auto"/>
            <w:tcBorders>
              <w:top w:val="nil"/>
              <w:left w:val="nil"/>
              <w:bottom w:val="single" w:sz="4" w:space="0" w:color="auto"/>
              <w:right w:val="single" w:sz="4" w:space="0" w:color="auto"/>
            </w:tcBorders>
            <w:shd w:val="clear" w:color="auto" w:fill="auto"/>
            <w:vAlign w:val="center"/>
            <w:hideMark/>
          </w:tcPr>
          <w:p w14:paraId="12C69DD8"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Coordination with other agencies</w:t>
            </w:r>
          </w:p>
        </w:tc>
        <w:tc>
          <w:tcPr>
            <w:tcW w:w="0" w:type="auto"/>
            <w:tcBorders>
              <w:top w:val="nil"/>
              <w:left w:val="nil"/>
              <w:bottom w:val="single" w:sz="4" w:space="0" w:color="auto"/>
              <w:right w:val="single" w:sz="4" w:space="0" w:color="auto"/>
            </w:tcBorders>
            <w:shd w:val="clear" w:color="auto" w:fill="auto"/>
            <w:vAlign w:val="center"/>
            <w:hideMark/>
          </w:tcPr>
          <w:p w14:paraId="68A21C97"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When services/organisations come together to work in a way that is embedded</w:t>
            </w:r>
          </w:p>
        </w:tc>
      </w:tr>
      <w:tr w:rsidR="00FB0AC7" w:rsidRPr="00096CE0" w14:paraId="619BA10E" w14:textId="77777777" w:rsidTr="00FB0AC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99B7879"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Enabling equity environment</w:t>
            </w:r>
          </w:p>
        </w:tc>
        <w:tc>
          <w:tcPr>
            <w:tcW w:w="0" w:type="auto"/>
            <w:tcBorders>
              <w:top w:val="nil"/>
              <w:left w:val="nil"/>
              <w:bottom w:val="single" w:sz="4" w:space="0" w:color="auto"/>
              <w:right w:val="single" w:sz="4" w:space="0" w:color="auto"/>
            </w:tcBorders>
            <w:shd w:val="clear" w:color="auto" w:fill="auto"/>
            <w:vAlign w:val="center"/>
            <w:hideMark/>
          </w:tcPr>
          <w:p w14:paraId="5C69B6C9"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Values/attitudes/beliefs</w:t>
            </w:r>
          </w:p>
        </w:tc>
        <w:tc>
          <w:tcPr>
            <w:tcW w:w="0" w:type="auto"/>
            <w:tcBorders>
              <w:top w:val="nil"/>
              <w:left w:val="nil"/>
              <w:bottom w:val="single" w:sz="4" w:space="0" w:color="auto"/>
              <w:right w:val="single" w:sz="4" w:space="0" w:color="auto"/>
            </w:tcBorders>
            <w:shd w:val="clear" w:color="auto" w:fill="auto"/>
            <w:vAlign w:val="center"/>
            <w:hideMark/>
          </w:tcPr>
          <w:p w14:paraId="5E962E89"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 xml:space="preserve">Engagement </w:t>
            </w:r>
          </w:p>
        </w:tc>
        <w:tc>
          <w:tcPr>
            <w:tcW w:w="0" w:type="auto"/>
            <w:tcBorders>
              <w:top w:val="nil"/>
              <w:left w:val="nil"/>
              <w:bottom w:val="single" w:sz="4" w:space="0" w:color="auto"/>
              <w:right w:val="single" w:sz="4" w:space="0" w:color="auto"/>
            </w:tcBorders>
            <w:shd w:val="clear" w:color="auto" w:fill="auto"/>
            <w:vAlign w:val="center"/>
            <w:hideMark/>
          </w:tcPr>
          <w:p w14:paraId="42841EBA"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How different individuals and organisations take interest in one another to facilitate collaboration and support outcomes</w:t>
            </w:r>
          </w:p>
        </w:tc>
      </w:tr>
      <w:tr w:rsidR="00FB0AC7" w:rsidRPr="00096CE0" w14:paraId="3EA7653B" w14:textId="77777777" w:rsidTr="00FB0AC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A7E8DF9"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Enabling equity environment</w:t>
            </w:r>
          </w:p>
        </w:tc>
        <w:tc>
          <w:tcPr>
            <w:tcW w:w="0" w:type="auto"/>
            <w:tcBorders>
              <w:top w:val="nil"/>
              <w:left w:val="nil"/>
              <w:bottom w:val="single" w:sz="4" w:space="0" w:color="auto"/>
              <w:right w:val="single" w:sz="4" w:space="0" w:color="auto"/>
            </w:tcBorders>
            <w:shd w:val="clear" w:color="auto" w:fill="auto"/>
            <w:vAlign w:val="center"/>
            <w:hideMark/>
          </w:tcPr>
          <w:p w14:paraId="541954E9"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Values/attitudes/beliefs</w:t>
            </w:r>
          </w:p>
        </w:tc>
        <w:tc>
          <w:tcPr>
            <w:tcW w:w="0" w:type="auto"/>
            <w:tcBorders>
              <w:top w:val="nil"/>
              <w:left w:val="nil"/>
              <w:bottom w:val="single" w:sz="4" w:space="0" w:color="auto"/>
              <w:right w:val="single" w:sz="4" w:space="0" w:color="auto"/>
            </w:tcBorders>
            <w:shd w:val="clear" w:color="auto" w:fill="auto"/>
            <w:vAlign w:val="center"/>
            <w:hideMark/>
          </w:tcPr>
          <w:p w14:paraId="6ADB451C"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Unconscious bias</w:t>
            </w:r>
          </w:p>
        </w:tc>
        <w:tc>
          <w:tcPr>
            <w:tcW w:w="0" w:type="auto"/>
            <w:tcBorders>
              <w:top w:val="nil"/>
              <w:left w:val="nil"/>
              <w:bottom w:val="single" w:sz="4" w:space="0" w:color="auto"/>
              <w:right w:val="single" w:sz="4" w:space="0" w:color="auto"/>
            </w:tcBorders>
            <w:shd w:val="clear" w:color="auto" w:fill="auto"/>
            <w:vAlign w:val="center"/>
            <w:hideMark/>
          </w:tcPr>
          <w:p w14:paraId="78F73489"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Reports of cultural bias amongst stakeholders</w:t>
            </w:r>
          </w:p>
        </w:tc>
      </w:tr>
      <w:tr w:rsidR="00FB0AC7" w:rsidRPr="00096CE0" w14:paraId="00911851" w14:textId="77777777" w:rsidTr="00FB0AC7">
        <w:trPr>
          <w:trHeight w:val="20"/>
        </w:trPr>
        <w:tc>
          <w:tcPr>
            <w:tcW w:w="0" w:type="auto"/>
            <w:tcBorders>
              <w:top w:val="single" w:sz="4" w:space="0" w:color="auto"/>
              <w:left w:val="single" w:sz="4" w:space="0" w:color="auto"/>
              <w:bottom w:val="single" w:sz="18" w:space="0" w:color="auto"/>
              <w:right w:val="single" w:sz="4" w:space="0" w:color="auto"/>
            </w:tcBorders>
            <w:shd w:val="clear" w:color="auto" w:fill="auto"/>
            <w:vAlign w:val="center"/>
            <w:hideMark/>
          </w:tcPr>
          <w:p w14:paraId="36E34CD8"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Enabling equity environment</w:t>
            </w:r>
          </w:p>
        </w:tc>
        <w:tc>
          <w:tcPr>
            <w:tcW w:w="0" w:type="auto"/>
            <w:tcBorders>
              <w:top w:val="single" w:sz="4" w:space="0" w:color="auto"/>
              <w:left w:val="nil"/>
              <w:bottom w:val="single" w:sz="18" w:space="0" w:color="auto"/>
              <w:right w:val="single" w:sz="4" w:space="0" w:color="auto"/>
            </w:tcBorders>
            <w:shd w:val="clear" w:color="auto" w:fill="auto"/>
            <w:vAlign w:val="center"/>
            <w:hideMark/>
          </w:tcPr>
          <w:p w14:paraId="4907CE17"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Values/attitudes/beliefs</w:t>
            </w:r>
          </w:p>
        </w:tc>
        <w:tc>
          <w:tcPr>
            <w:tcW w:w="0" w:type="auto"/>
            <w:tcBorders>
              <w:top w:val="single" w:sz="4" w:space="0" w:color="auto"/>
              <w:left w:val="nil"/>
              <w:bottom w:val="single" w:sz="18" w:space="0" w:color="auto"/>
              <w:right w:val="single" w:sz="4" w:space="0" w:color="auto"/>
            </w:tcBorders>
            <w:shd w:val="clear" w:color="auto" w:fill="auto"/>
            <w:vAlign w:val="center"/>
            <w:hideMark/>
          </w:tcPr>
          <w:p w14:paraId="4B7A171B"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Beliefs/preferences of the recipient.</w:t>
            </w:r>
          </w:p>
        </w:tc>
        <w:tc>
          <w:tcPr>
            <w:tcW w:w="0" w:type="auto"/>
            <w:tcBorders>
              <w:top w:val="single" w:sz="4" w:space="0" w:color="auto"/>
              <w:left w:val="nil"/>
              <w:bottom w:val="single" w:sz="18" w:space="0" w:color="auto"/>
              <w:right w:val="single" w:sz="4" w:space="0" w:color="auto"/>
            </w:tcBorders>
            <w:shd w:val="clear" w:color="auto" w:fill="auto"/>
            <w:vAlign w:val="center"/>
            <w:hideMark/>
          </w:tcPr>
          <w:p w14:paraId="25D53CFA"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Attitudes, beliefs, assumptions of the patient/whānau that impacts on their engagement in the intervention</w:t>
            </w:r>
          </w:p>
        </w:tc>
      </w:tr>
      <w:tr w:rsidR="00FB0AC7" w:rsidRPr="00096CE0" w14:paraId="5987BA29" w14:textId="77777777" w:rsidTr="00FB0AC7">
        <w:trPr>
          <w:trHeight w:val="20"/>
        </w:trPr>
        <w:tc>
          <w:tcPr>
            <w:tcW w:w="0" w:type="auto"/>
            <w:tcBorders>
              <w:top w:val="single" w:sz="18" w:space="0" w:color="auto"/>
              <w:left w:val="single" w:sz="4" w:space="0" w:color="auto"/>
              <w:bottom w:val="single" w:sz="4" w:space="0" w:color="auto"/>
              <w:right w:val="single" w:sz="4" w:space="0" w:color="auto"/>
            </w:tcBorders>
            <w:shd w:val="clear" w:color="auto" w:fill="auto"/>
            <w:vAlign w:val="center"/>
            <w:hideMark/>
          </w:tcPr>
          <w:p w14:paraId="595E9891"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 xml:space="preserve">Change </w:t>
            </w:r>
            <w:r>
              <w:rPr>
                <w:rFonts w:ascii="Calibri" w:eastAsia="Times New Roman" w:hAnsi="Calibri" w:cs="Calibri"/>
                <w:color w:val="000000"/>
                <w:szCs w:val="20"/>
                <w:lang w:val="en-AU" w:eastAsia="en-GB"/>
              </w:rPr>
              <w:t>r</w:t>
            </w:r>
            <w:r w:rsidRPr="00096CE0">
              <w:rPr>
                <w:rFonts w:ascii="Calibri" w:eastAsia="Times New Roman" w:hAnsi="Calibri" w:cs="Calibri"/>
                <w:color w:val="000000"/>
                <w:szCs w:val="20"/>
                <w:lang w:val="en-AU" w:eastAsia="en-GB"/>
              </w:rPr>
              <w:t>eadiness</w:t>
            </w:r>
          </w:p>
        </w:tc>
        <w:tc>
          <w:tcPr>
            <w:tcW w:w="0" w:type="auto"/>
            <w:tcBorders>
              <w:top w:val="single" w:sz="18" w:space="0" w:color="auto"/>
              <w:left w:val="nil"/>
              <w:bottom w:val="single" w:sz="4" w:space="0" w:color="auto"/>
              <w:right w:val="single" w:sz="4" w:space="0" w:color="auto"/>
            </w:tcBorders>
            <w:shd w:val="clear" w:color="auto" w:fill="auto"/>
            <w:vAlign w:val="center"/>
            <w:hideMark/>
          </w:tcPr>
          <w:p w14:paraId="1D0FD4E9"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Agreement on the appropriateness</w:t>
            </w:r>
          </w:p>
        </w:tc>
        <w:tc>
          <w:tcPr>
            <w:tcW w:w="0" w:type="auto"/>
            <w:tcBorders>
              <w:top w:val="single" w:sz="18" w:space="0" w:color="auto"/>
              <w:left w:val="nil"/>
              <w:bottom w:val="single" w:sz="4" w:space="0" w:color="auto"/>
              <w:right w:val="single" w:sz="4" w:space="0" w:color="auto"/>
            </w:tcBorders>
            <w:shd w:val="clear" w:color="auto" w:fill="auto"/>
            <w:vAlign w:val="center"/>
            <w:hideMark/>
          </w:tcPr>
          <w:p w14:paraId="0367B29C"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Shared vision</w:t>
            </w:r>
          </w:p>
        </w:tc>
        <w:tc>
          <w:tcPr>
            <w:tcW w:w="0" w:type="auto"/>
            <w:tcBorders>
              <w:top w:val="single" w:sz="18" w:space="0" w:color="auto"/>
              <w:left w:val="nil"/>
              <w:bottom w:val="single" w:sz="4" w:space="0" w:color="auto"/>
              <w:right w:val="single" w:sz="4" w:space="0" w:color="auto"/>
            </w:tcBorders>
            <w:shd w:val="clear" w:color="auto" w:fill="auto"/>
            <w:vAlign w:val="center"/>
            <w:hideMark/>
          </w:tcPr>
          <w:p w14:paraId="3C3BB47C"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The extent to which there is a common view on the need for the intervention, and the agreement on how appropriate the intervention is</w:t>
            </w:r>
          </w:p>
        </w:tc>
      </w:tr>
      <w:tr w:rsidR="00FB0AC7" w:rsidRPr="00096CE0" w14:paraId="2470A609" w14:textId="77777777" w:rsidTr="00FB0AC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6FD8AD0"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 xml:space="preserve">Change </w:t>
            </w:r>
            <w:r>
              <w:rPr>
                <w:rFonts w:ascii="Calibri" w:eastAsia="Times New Roman" w:hAnsi="Calibri" w:cs="Calibri"/>
                <w:color w:val="000000"/>
                <w:szCs w:val="20"/>
                <w:lang w:val="en-AU" w:eastAsia="en-GB"/>
              </w:rPr>
              <w:t>r</w:t>
            </w:r>
            <w:r w:rsidRPr="00096CE0">
              <w:rPr>
                <w:rFonts w:ascii="Calibri" w:eastAsia="Times New Roman" w:hAnsi="Calibri" w:cs="Calibri"/>
                <w:color w:val="000000"/>
                <w:szCs w:val="20"/>
                <w:lang w:val="en-AU" w:eastAsia="en-GB"/>
              </w:rPr>
              <w:t>eadiness</w:t>
            </w:r>
          </w:p>
        </w:tc>
        <w:tc>
          <w:tcPr>
            <w:tcW w:w="0" w:type="auto"/>
            <w:tcBorders>
              <w:top w:val="nil"/>
              <w:left w:val="nil"/>
              <w:bottom w:val="single" w:sz="4" w:space="0" w:color="auto"/>
              <w:right w:val="single" w:sz="4" w:space="0" w:color="auto"/>
            </w:tcBorders>
            <w:shd w:val="clear" w:color="auto" w:fill="auto"/>
            <w:vAlign w:val="center"/>
            <w:hideMark/>
          </w:tcPr>
          <w:p w14:paraId="07C33830"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Agreement on the appropriateness</w:t>
            </w:r>
          </w:p>
        </w:tc>
        <w:tc>
          <w:tcPr>
            <w:tcW w:w="0" w:type="auto"/>
            <w:tcBorders>
              <w:top w:val="nil"/>
              <w:left w:val="nil"/>
              <w:bottom w:val="single" w:sz="4" w:space="0" w:color="auto"/>
              <w:right w:val="single" w:sz="4" w:space="0" w:color="auto"/>
            </w:tcBorders>
            <w:shd w:val="clear" w:color="auto" w:fill="auto"/>
            <w:vAlign w:val="center"/>
            <w:hideMark/>
          </w:tcPr>
          <w:p w14:paraId="674F4F1E"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Attitudes, assumptions, beliefs</w:t>
            </w:r>
          </w:p>
        </w:tc>
        <w:tc>
          <w:tcPr>
            <w:tcW w:w="0" w:type="auto"/>
            <w:tcBorders>
              <w:top w:val="nil"/>
              <w:left w:val="nil"/>
              <w:bottom w:val="single" w:sz="4" w:space="0" w:color="auto"/>
              <w:right w:val="single" w:sz="4" w:space="0" w:color="auto"/>
            </w:tcBorders>
            <w:shd w:val="clear" w:color="auto" w:fill="auto"/>
            <w:vAlign w:val="center"/>
            <w:hideMark/>
          </w:tcPr>
          <w:p w14:paraId="689B2F40"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The attitudes, assumptions, beliefs of individual stakeholders about the intervention itself, of the implementation process</w:t>
            </w:r>
          </w:p>
        </w:tc>
      </w:tr>
      <w:tr w:rsidR="00FB0AC7" w:rsidRPr="00096CE0" w14:paraId="761D86EA" w14:textId="77777777" w:rsidTr="00FB0AC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09E5D72"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Change readiness</w:t>
            </w:r>
          </w:p>
        </w:tc>
        <w:tc>
          <w:tcPr>
            <w:tcW w:w="0" w:type="auto"/>
            <w:tcBorders>
              <w:top w:val="nil"/>
              <w:left w:val="nil"/>
              <w:bottom w:val="single" w:sz="4" w:space="0" w:color="auto"/>
              <w:right w:val="single" w:sz="4" w:space="0" w:color="auto"/>
            </w:tcBorders>
            <w:shd w:val="clear" w:color="auto" w:fill="auto"/>
            <w:vAlign w:val="center"/>
            <w:hideMark/>
          </w:tcPr>
          <w:p w14:paraId="26739E68"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mi-NZ" w:eastAsia="en-GB"/>
              </w:rPr>
              <w:t>Championship</w:t>
            </w:r>
          </w:p>
        </w:tc>
        <w:tc>
          <w:tcPr>
            <w:tcW w:w="0" w:type="auto"/>
            <w:tcBorders>
              <w:top w:val="nil"/>
              <w:left w:val="nil"/>
              <w:bottom w:val="single" w:sz="4" w:space="0" w:color="auto"/>
              <w:right w:val="single" w:sz="4" w:space="0" w:color="auto"/>
            </w:tcBorders>
            <w:shd w:val="clear" w:color="auto" w:fill="auto"/>
            <w:vAlign w:val="center"/>
            <w:hideMark/>
          </w:tcPr>
          <w:p w14:paraId="3C90B3E7"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Program championship</w:t>
            </w:r>
          </w:p>
        </w:tc>
        <w:tc>
          <w:tcPr>
            <w:tcW w:w="0" w:type="auto"/>
            <w:tcBorders>
              <w:top w:val="nil"/>
              <w:left w:val="nil"/>
              <w:bottom w:val="single" w:sz="4" w:space="0" w:color="auto"/>
              <w:right w:val="single" w:sz="4" w:space="0" w:color="auto"/>
            </w:tcBorders>
            <w:shd w:val="clear" w:color="auto" w:fill="auto"/>
            <w:vAlign w:val="center"/>
            <w:hideMark/>
          </w:tcPr>
          <w:p w14:paraId="165280A2"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Activities at all levels to champion the purpose and aims of the program across different stakeholder groups</w:t>
            </w:r>
          </w:p>
        </w:tc>
      </w:tr>
      <w:tr w:rsidR="00FB0AC7" w:rsidRPr="00096CE0" w14:paraId="5F486D75" w14:textId="77777777" w:rsidTr="00FB0AC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5CDA475"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Change readiness</w:t>
            </w:r>
          </w:p>
        </w:tc>
        <w:tc>
          <w:tcPr>
            <w:tcW w:w="0" w:type="auto"/>
            <w:tcBorders>
              <w:top w:val="nil"/>
              <w:left w:val="nil"/>
              <w:bottom w:val="single" w:sz="4" w:space="0" w:color="auto"/>
              <w:right w:val="single" w:sz="4" w:space="0" w:color="auto"/>
            </w:tcBorders>
            <w:shd w:val="clear" w:color="auto" w:fill="auto"/>
            <w:vAlign w:val="center"/>
            <w:hideMark/>
          </w:tcPr>
          <w:p w14:paraId="1D2B1A9C"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Compatibility</w:t>
            </w:r>
          </w:p>
        </w:tc>
        <w:tc>
          <w:tcPr>
            <w:tcW w:w="0" w:type="auto"/>
            <w:tcBorders>
              <w:top w:val="nil"/>
              <w:left w:val="nil"/>
              <w:bottom w:val="single" w:sz="4" w:space="0" w:color="auto"/>
              <w:right w:val="single" w:sz="4" w:space="0" w:color="auto"/>
            </w:tcBorders>
            <w:shd w:val="clear" w:color="auto" w:fill="auto"/>
            <w:vAlign w:val="center"/>
            <w:hideMark/>
          </w:tcPr>
          <w:p w14:paraId="19A8A10D"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Competing demands</w:t>
            </w:r>
          </w:p>
        </w:tc>
        <w:tc>
          <w:tcPr>
            <w:tcW w:w="0" w:type="auto"/>
            <w:tcBorders>
              <w:top w:val="nil"/>
              <w:left w:val="nil"/>
              <w:bottom w:val="single" w:sz="4" w:space="0" w:color="auto"/>
              <w:right w:val="single" w:sz="4" w:space="0" w:color="auto"/>
            </w:tcBorders>
            <w:shd w:val="clear" w:color="auto" w:fill="auto"/>
            <w:vAlign w:val="center"/>
            <w:hideMark/>
          </w:tcPr>
          <w:p w14:paraId="7537230C"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The trade-offs or competing demands that impact on the design and/or implementation process</w:t>
            </w:r>
          </w:p>
        </w:tc>
      </w:tr>
      <w:tr w:rsidR="00FB0AC7" w:rsidRPr="00096CE0" w14:paraId="3EB13BB3" w14:textId="77777777" w:rsidTr="00FB0AC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89C0322"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Change readiness</w:t>
            </w:r>
          </w:p>
        </w:tc>
        <w:tc>
          <w:tcPr>
            <w:tcW w:w="0" w:type="auto"/>
            <w:tcBorders>
              <w:top w:val="nil"/>
              <w:left w:val="nil"/>
              <w:bottom w:val="single" w:sz="4" w:space="0" w:color="auto"/>
              <w:right w:val="single" w:sz="4" w:space="0" w:color="auto"/>
            </w:tcBorders>
            <w:shd w:val="clear" w:color="auto" w:fill="auto"/>
            <w:vAlign w:val="center"/>
            <w:hideMark/>
          </w:tcPr>
          <w:p w14:paraId="14312332"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Compatibility</w:t>
            </w:r>
          </w:p>
        </w:tc>
        <w:tc>
          <w:tcPr>
            <w:tcW w:w="0" w:type="auto"/>
            <w:tcBorders>
              <w:top w:val="nil"/>
              <w:left w:val="nil"/>
              <w:bottom w:val="single" w:sz="4" w:space="0" w:color="auto"/>
              <w:right w:val="single" w:sz="4" w:space="0" w:color="auto"/>
            </w:tcBorders>
            <w:shd w:val="clear" w:color="auto" w:fill="auto"/>
            <w:vAlign w:val="center"/>
            <w:hideMark/>
          </w:tcPr>
          <w:p w14:paraId="3C1FE1BF"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Compatibility</w:t>
            </w:r>
          </w:p>
        </w:tc>
        <w:tc>
          <w:tcPr>
            <w:tcW w:w="0" w:type="auto"/>
            <w:tcBorders>
              <w:top w:val="nil"/>
              <w:left w:val="nil"/>
              <w:bottom w:val="single" w:sz="4" w:space="0" w:color="auto"/>
              <w:right w:val="single" w:sz="4" w:space="0" w:color="auto"/>
            </w:tcBorders>
            <w:shd w:val="clear" w:color="auto" w:fill="auto"/>
            <w:vAlign w:val="center"/>
            <w:hideMark/>
          </w:tcPr>
          <w:p w14:paraId="2E243926"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 xml:space="preserve">The appropriateness and of the intervention within the organisation’s context </w:t>
            </w:r>
          </w:p>
        </w:tc>
      </w:tr>
      <w:tr w:rsidR="00FB0AC7" w:rsidRPr="00096CE0" w14:paraId="3DBC79AD" w14:textId="77777777" w:rsidTr="00FB0AC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04C1426"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Change readiness</w:t>
            </w:r>
          </w:p>
        </w:tc>
        <w:tc>
          <w:tcPr>
            <w:tcW w:w="0" w:type="auto"/>
            <w:tcBorders>
              <w:top w:val="nil"/>
              <w:left w:val="nil"/>
              <w:bottom w:val="single" w:sz="4" w:space="0" w:color="auto"/>
              <w:right w:val="single" w:sz="4" w:space="0" w:color="auto"/>
            </w:tcBorders>
            <w:shd w:val="clear" w:color="auto" w:fill="auto"/>
            <w:vAlign w:val="center"/>
            <w:hideMark/>
          </w:tcPr>
          <w:p w14:paraId="71ADD2A3"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Compatibility</w:t>
            </w:r>
          </w:p>
        </w:tc>
        <w:tc>
          <w:tcPr>
            <w:tcW w:w="0" w:type="auto"/>
            <w:tcBorders>
              <w:top w:val="nil"/>
              <w:left w:val="nil"/>
              <w:bottom w:val="single" w:sz="4" w:space="0" w:color="auto"/>
              <w:right w:val="single" w:sz="4" w:space="0" w:color="auto"/>
            </w:tcBorders>
            <w:shd w:val="clear" w:color="auto" w:fill="auto"/>
            <w:vAlign w:val="center"/>
            <w:hideMark/>
          </w:tcPr>
          <w:p w14:paraId="3476B971"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Adaptability</w:t>
            </w:r>
          </w:p>
        </w:tc>
        <w:tc>
          <w:tcPr>
            <w:tcW w:w="0" w:type="auto"/>
            <w:tcBorders>
              <w:top w:val="nil"/>
              <w:left w:val="nil"/>
              <w:bottom w:val="single" w:sz="4" w:space="0" w:color="auto"/>
              <w:right w:val="single" w:sz="4" w:space="0" w:color="auto"/>
            </w:tcBorders>
            <w:shd w:val="clear" w:color="auto" w:fill="auto"/>
            <w:vAlign w:val="center"/>
            <w:hideMark/>
          </w:tcPr>
          <w:p w14:paraId="49B4F233"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The degree to which the intervention can be adapted to the local context, and the mechanisms to support this</w:t>
            </w:r>
          </w:p>
        </w:tc>
      </w:tr>
      <w:tr w:rsidR="00FB0AC7" w:rsidRPr="00096CE0" w14:paraId="070A73B7" w14:textId="77777777" w:rsidTr="00FB0AC7">
        <w:trPr>
          <w:trHeight w:val="20"/>
        </w:trPr>
        <w:tc>
          <w:tcPr>
            <w:tcW w:w="0" w:type="auto"/>
            <w:tcBorders>
              <w:top w:val="single" w:sz="4" w:space="0" w:color="auto"/>
              <w:left w:val="single" w:sz="4" w:space="0" w:color="auto"/>
              <w:bottom w:val="single" w:sz="18" w:space="0" w:color="auto"/>
              <w:right w:val="single" w:sz="4" w:space="0" w:color="auto"/>
            </w:tcBorders>
            <w:shd w:val="clear" w:color="auto" w:fill="auto"/>
            <w:vAlign w:val="center"/>
            <w:hideMark/>
          </w:tcPr>
          <w:p w14:paraId="0294B1F3"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Change readiness</w:t>
            </w:r>
          </w:p>
        </w:tc>
        <w:tc>
          <w:tcPr>
            <w:tcW w:w="0" w:type="auto"/>
            <w:tcBorders>
              <w:top w:val="single" w:sz="4" w:space="0" w:color="auto"/>
              <w:left w:val="nil"/>
              <w:bottom w:val="single" w:sz="18" w:space="0" w:color="auto"/>
              <w:right w:val="single" w:sz="4" w:space="0" w:color="auto"/>
            </w:tcBorders>
            <w:shd w:val="clear" w:color="auto" w:fill="auto"/>
            <w:vAlign w:val="center"/>
            <w:hideMark/>
          </w:tcPr>
          <w:p w14:paraId="1D7B716D"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Compatibility</w:t>
            </w:r>
          </w:p>
        </w:tc>
        <w:tc>
          <w:tcPr>
            <w:tcW w:w="0" w:type="auto"/>
            <w:tcBorders>
              <w:top w:val="single" w:sz="4" w:space="0" w:color="auto"/>
              <w:left w:val="nil"/>
              <w:bottom w:val="single" w:sz="18" w:space="0" w:color="auto"/>
              <w:right w:val="single" w:sz="4" w:space="0" w:color="auto"/>
            </w:tcBorders>
            <w:shd w:val="clear" w:color="auto" w:fill="auto"/>
            <w:vAlign w:val="center"/>
            <w:hideMark/>
          </w:tcPr>
          <w:p w14:paraId="23BB1448"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Clinical demands</w:t>
            </w:r>
          </w:p>
        </w:tc>
        <w:tc>
          <w:tcPr>
            <w:tcW w:w="0" w:type="auto"/>
            <w:tcBorders>
              <w:top w:val="single" w:sz="4" w:space="0" w:color="auto"/>
              <w:left w:val="nil"/>
              <w:bottom w:val="single" w:sz="18" w:space="0" w:color="auto"/>
              <w:right w:val="single" w:sz="4" w:space="0" w:color="auto"/>
            </w:tcBorders>
            <w:shd w:val="clear" w:color="auto" w:fill="auto"/>
            <w:vAlign w:val="center"/>
            <w:hideMark/>
          </w:tcPr>
          <w:p w14:paraId="5B05C2AE"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Competing demands in the service delivery context meaning ideal processes to address principles of equity are not followed</w:t>
            </w:r>
          </w:p>
        </w:tc>
      </w:tr>
      <w:tr w:rsidR="00FB0AC7" w:rsidRPr="00096CE0" w14:paraId="2905F31A" w14:textId="77777777" w:rsidTr="00FB0AC7">
        <w:trPr>
          <w:trHeight w:val="20"/>
        </w:trPr>
        <w:tc>
          <w:tcPr>
            <w:tcW w:w="0" w:type="auto"/>
            <w:tcBorders>
              <w:top w:val="single" w:sz="18" w:space="0" w:color="auto"/>
              <w:left w:val="single" w:sz="4" w:space="0" w:color="auto"/>
              <w:bottom w:val="single" w:sz="4" w:space="0" w:color="auto"/>
              <w:right w:val="single" w:sz="4" w:space="0" w:color="auto"/>
            </w:tcBorders>
            <w:shd w:val="clear" w:color="auto" w:fill="auto"/>
            <w:vAlign w:val="center"/>
            <w:hideMark/>
          </w:tcPr>
          <w:p w14:paraId="3705F98A"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Implementation factors</w:t>
            </w:r>
          </w:p>
        </w:tc>
        <w:tc>
          <w:tcPr>
            <w:tcW w:w="0" w:type="auto"/>
            <w:tcBorders>
              <w:top w:val="single" w:sz="18" w:space="0" w:color="auto"/>
              <w:left w:val="nil"/>
              <w:bottom w:val="single" w:sz="4" w:space="0" w:color="auto"/>
              <w:right w:val="single" w:sz="4" w:space="0" w:color="auto"/>
            </w:tcBorders>
            <w:shd w:val="clear" w:color="auto" w:fill="auto"/>
            <w:vAlign w:val="center"/>
            <w:hideMark/>
          </w:tcPr>
          <w:p w14:paraId="7B42F69A"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mi-NZ" w:eastAsia="en-GB"/>
              </w:rPr>
              <w:t>Leadership</w:t>
            </w:r>
          </w:p>
        </w:tc>
        <w:tc>
          <w:tcPr>
            <w:tcW w:w="0" w:type="auto"/>
            <w:tcBorders>
              <w:top w:val="single" w:sz="18" w:space="0" w:color="auto"/>
              <w:left w:val="nil"/>
              <w:bottom w:val="single" w:sz="4" w:space="0" w:color="auto"/>
              <w:right w:val="single" w:sz="4" w:space="0" w:color="auto"/>
            </w:tcBorders>
            <w:shd w:val="clear" w:color="auto" w:fill="auto"/>
            <w:vAlign w:val="center"/>
            <w:hideMark/>
          </w:tcPr>
          <w:p w14:paraId="52FB591F"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mi-NZ" w:eastAsia="en-GB"/>
              </w:rPr>
              <w:t>Governance</w:t>
            </w:r>
          </w:p>
        </w:tc>
        <w:tc>
          <w:tcPr>
            <w:tcW w:w="0" w:type="auto"/>
            <w:tcBorders>
              <w:top w:val="single" w:sz="18" w:space="0" w:color="auto"/>
              <w:left w:val="nil"/>
              <w:bottom w:val="single" w:sz="4" w:space="0" w:color="auto"/>
              <w:right w:val="single" w:sz="4" w:space="0" w:color="auto"/>
            </w:tcBorders>
            <w:shd w:val="clear" w:color="auto" w:fill="auto"/>
            <w:vAlign w:val="center"/>
            <w:hideMark/>
          </w:tcPr>
          <w:p w14:paraId="0F96D8C0"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Relates to how the intervention design and implementation processes are governed.</w:t>
            </w:r>
          </w:p>
        </w:tc>
      </w:tr>
      <w:tr w:rsidR="00FB0AC7" w:rsidRPr="00096CE0" w14:paraId="766B685C" w14:textId="77777777" w:rsidTr="00FB0AC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44BEC82"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Implementation factors</w:t>
            </w:r>
          </w:p>
        </w:tc>
        <w:tc>
          <w:tcPr>
            <w:tcW w:w="0" w:type="auto"/>
            <w:tcBorders>
              <w:top w:val="nil"/>
              <w:left w:val="nil"/>
              <w:bottom w:val="single" w:sz="4" w:space="0" w:color="auto"/>
              <w:right w:val="single" w:sz="4" w:space="0" w:color="auto"/>
            </w:tcBorders>
            <w:shd w:val="clear" w:color="auto" w:fill="auto"/>
            <w:vAlign w:val="center"/>
            <w:hideMark/>
          </w:tcPr>
          <w:p w14:paraId="4FBD1CAE"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mi-NZ" w:eastAsia="en-GB"/>
              </w:rPr>
              <w:t>Leadership</w:t>
            </w:r>
          </w:p>
        </w:tc>
        <w:tc>
          <w:tcPr>
            <w:tcW w:w="0" w:type="auto"/>
            <w:tcBorders>
              <w:top w:val="nil"/>
              <w:left w:val="nil"/>
              <w:bottom w:val="single" w:sz="4" w:space="0" w:color="auto"/>
              <w:right w:val="single" w:sz="4" w:space="0" w:color="auto"/>
            </w:tcBorders>
            <w:shd w:val="clear" w:color="auto" w:fill="auto"/>
            <w:vAlign w:val="center"/>
            <w:hideMark/>
          </w:tcPr>
          <w:p w14:paraId="250216CE"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Leadership</w:t>
            </w:r>
          </w:p>
        </w:tc>
        <w:tc>
          <w:tcPr>
            <w:tcW w:w="0" w:type="auto"/>
            <w:tcBorders>
              <w:top w:val="nil"/>
              <w:left w:val="nil"/>
              <w:bottom w:val="single" w:sz="4" w:space="0" w:color="auto"/>
              <w:right w:val="single" w:sz="4" w:space="0" w:color="auto"/>
            </w:tcBorders>
            <w:shd w:val="clear" w:color="auto" w:fill="auto"/>
            <w:vAlign w:val="center"/>
            <w:hideMark/>
          </w:tcPr>
          <w:p w14:paraId="5C319D46"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Leadership at an organisational level or team level.</w:t>
            </w:r>
          </w:p>
        </w:tc>
      </w:tr>
      <w:tr w:rsidR="00FB0AC7" w:rsidRPr="00096CE0" w14:paraId="5F199B2F" w14:textId="77777777" w:rsidTr="00FB0AC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18F7AC6"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lastRenderedPageBreak/>
              <w:t>Implementation factors</w:t>
            </w:r>
          </w:p>
        </w:tc>
        <w:tc>
          <w:tcPr>
            <w:tcW w:w="0" w:type="auto"/>
            <w:tcBorders>
              <w:top w:val="nil"/>
              <w:left w:val="nil"/>
              <w:bottom w:val="single" w:sz="4" w:space="0" w:color="auto"/>
              <w:right w:val="single" w:sz="4" w:space="0" w:color="auto"/>
            </w:tcBorders>
            <w:shd w:val="clear" w:color="auto" w:fill="auto"/>
            <w:vAlign w:val="center"/>
            <w:hideMark/>
          </w:tcPr>
          <w:p w14:paraId="4865C064"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Collaborative design</w:t>
            </w:r>
          </w:p>
        </w:tc>
        <w:tc>
          <w:tcPr>
            <w:tcW w:w="0" w:type="auto"/>
            <w:tcBorders>
              <w:top w:val="nil"/>
              <w:left w:val="nil"/>
              <w:bottom w:val="single" w:sz="4" w:space="0" w:color="auto"/>
              <w:right w:val="single" w:sz="4" w:space="0" w:color="auto"/>
            </w:tcBorders>
            <w:shd w:val="clear" w:color="auto" w:fill="auto"/>
            <w:vAlign w:val="center"/>
            <w:hideMark/>
          </w:tcPr>
          <w:p w14:paraId="02929A98"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Intervention design</w:t>
            </w:r>
          </w:p>
        </w:tc>
        <w:tc>
          <w:tcPr>
            <w:tcW w:w="0" w:type="auto"/>
            <w:tcBorders>
              <w:top w:val="nil"/>
              <w:left w:val="nil"/>
              <w:bottom w:val="single" w:sz="4" w:space="0" w:color="auto"/>
              <w:right w:val="single" w:sz="4" w:space="0" w:color="auto"/>
            </w:tcBorders>
            <w:shd w:val="clear" w:color="auto" w:fill="auto"/>
            <w:vAlign w:val="center"/>
            <w:hideMark/>
          </w:tcPr>
          <w:p w14:paraId="4D4159AA"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The extent to which the community of interest are involved in the design of the intervention, e.g. part of the design team, in an advisory capacity, in a governance role</w:t>
            </w:r>
          </w:p>
        </w:tc>
      </w:tr>
      <w:tr w:rsidR="00FB0AC7" w:rsidRPr="00096CE0" w14:paraId="72934E91" w14:textId="77777777" w:rsidTr="00FB0AC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4635567"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Implementation factors</w:t>
            </w:r>
          </w:p>
        </w:tc>
        <w:tc>
          <w:tcPr>
            <w:tcW w:w="0" w:type="auto"/>
            <w:tcBorders>
              <w:top w:val="nil"/>
              <w:left w:val="nil"/>
              <w:bottom w:val="single" w:sz="4" w:space="0" w:color="auto"/>
              <w:right w:val="single" w:sz="4" w:space="0" w:color="auto"/>
            </w:tcBorders>
            <w:shd w:val="clear" w:color="auto" w:fill="auto"/>
            <w:vAlign w:val="center"/>
            <w:hideMark/>
          </w:tcPr>
          <w:p w14:paraId="21D04FE0"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Learning and improvement</w:t>
            </w:r>
          </w:p>
        </w:tc>
        <w:tc>
          <w:tcPr>
            <w:tcW w:w="0" w:type="auto"/>
            <w:tcBorders>
              <w:top w:val="nil"/>
              <w:left w:val="nil"/>
              <w:bottom w:val="single" w:sz="4" w:space="0" w:color="auto"/>
              <w:right w:val="single" w:sz="4" w:space="0" w:color="auto"/>
            </w:tcBorders>
            <w:shd w:val="clear" w:color="auto" w:fill="auto"/>
            <w:vAlign w:val="center"/>
            <w:hideMark/>
          </w:tcPr>
          <w:p w14:paraId="4F94F6CD"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Feedback and interpretation or process/outcome data</w:t>
            </w:r>
          </w:p>
        </w:tc>
        <w:tc>
          <w:tcPr>
            <w:tcW w:w="0" w:type="auto"/>
            <w:tcBorders>
              <w:top w:val="nil"/>
              <w:left w:val="nil"/>
              <w:bottom w:val="single" w:sz="4" w:space="0" w:color="auto"/>
              <w:right w:val="single" w:sz="4" w:space="0" w:color="auto"/>
            </w:tcBorders>
            <w:shd w:val="clear" w:color="auto" w:fill="auto"/>
            <w:vAlign w:val="center"/>
            <w:hideMark/>
          </w:tcPr>
          <w:p w14:paraId="20CCF9AE"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Data examined includes an understanding of the context in which the material is collected from. This includes the ability to interpret the data from the contexts of the lived experience of those targeted.</w:t>
            </w:r>
          </w:p>
        </w:tc>
      </w:tr>
      <w:tr w:rsidR="00FB0AC7" w:rsidRPr="00096CE0" w14:paraId="1C61F3C6" w14:textId="77777777" w:rsidTr="00FB0AC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83A0006"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Implementation factors</w:t>
            </w:r>
          </w:p>
        </w:tc>
        <w:tc>
          <w:tcPr>
            <w:tcW w:w="0" w:type="auto"/>
            <w:tcBorders>
              <w:top w:val="nil"/>
              <w:left w:val="nil"/>
              <w:bottom w:val="single" w:sz="4" w:space="0" w:color="auto"/>
              <w:right w:val="single" w:sz="4" w:space="0" w:color="auto"/>
            </w:tcBorders>
            <w:shd w:val="clear" w:color="auto" w:fill="auto"/>
            <w:vAlign w:val="center"/>
            <w:hideMark/>
          </w:tcPr>
          <w:p w14:paraId="041F96AA"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Learning and improvement</w:t>
            </w:r>
          </w:p>
        </w:tc>
        <w:tc>
          <w:tcPr>
            <w:tcW w:w="0" w:type="auto"/>
            <w:tcBorders>
              <w:top w:val="nil"/>
              <w:left w:val="nil"/>
              <w:bottom w:val="single" w:sz="4" w:space="0" w:color="auto"/>
              <w:right w:val="single" w:sz="4" w:space="0" w:color="auto"/>
            </w:tcBorders>
            <w:shd w:val="clear" w:color="auto" w:fill="auto"/>
            <w:vAlign w:val="center"/>
            <w:hideMark/>
          </w:tcPr>
          <w:p w14:paraId="4AE398E0"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Translation and uptake</w:t>
            </w:r>
          </w:p>
        </w:tc>
        <w:tc>
          <w:tcPr>
            <w:tcW w:w="0" w:type="auto"/>
            <w:tcBorders>
              <w:top w:val="nil"/>
              <w:left w:val="nil"/>
              <w:bottom w:val="single" w:sz="4" w:space="0" w:color="auto"/>
              <w:right w:val="single" w:sz="4" w:space="0" w:color="auto"/>
            </w:tcBorders>
            <w:shd w:val="clear" w:color="auto" w:fill="auto"/>
            <w:vAlign w:val="center"/>
            <w:hideMark/>
          </w:tcPr>
          <w:p w14:paraId="186CAE28"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Strategies built into the design of the research/intervention to support the translation and uptake of findings in other similar communities.</w:t>
            </w:r>
          </w:p>
        </w:tc>
      </w:tr>
      <w:tr w:rsidR="00FB0AC7" w:rsidRPr="00096CE0" w14:paraId="010112F4" w14:textId="77777777" w:rsidTr="00FB0AC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4D1B217"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Implementation factors</w:t>
            </w:r>
          </w:p>
        </w:tc>
        <w:tc>
          <w:tcPr>
            <w:tcW w:w="0" w:type="auto"/>
            <w:tcBorders>
              <w:top w:val="nil"/>
              <w:left w:val="nil"/>
              <w:bottom w:val="single" w:sz="4" w:space="0" w:color="auto"/>
              <w:right w:val="single" w:sz="4" w:space="0" w:color="auto"/>
            </w:tcBorders>
            <w:shd w:val="clear" w:color="auto" w:fill="auto"/>
            <w:vAlign w:val="center"/>
            <w:hideMark/>
          </w:tcPr>
          <w:p w14:paraId="2BAA2148"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Learning and improvement</w:t>
            </w:r>
          </w:p>
        </w:tc>
        <w:tc>
          <w:tcPr>
            <w:tcW w:w="0" w:type="auto"/>
            <w:tcBorders>
              <w:top w:val="nil"/>
              <w:left w:val="nil"/>
              <w:bottom w:val="single" w:sz="4" w:space="0" w:color="auto"/>
              <w:right w:val="single" w:sz="4" w:space="0" w:color="auto"/>
            </w:tcBorders>
            <w:shd w:val="clear" w:color="auto" w:fill="auto"/>
            <w:vAlign w:val="center"/>
            <w:hideMark/>
          </w:tcPr>
          <w:p w14:paraId="38CB83A0"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Sustainability</w:t>
            </w:r>
          </w:p>
        </w:tc>
        <w:tc>
          <w:tcPr>
            <w:tcW w:w="0" w:type="auto"/>
            <w:tcBorders>
              <w:top w:val="nil"/>
              <w:left w:val="nil"/>
              <w:bottom w:val="single" w:sz="4" w:space="0" w:color="auto"/>
              <w:right w:val="single" w:sz="4" w:space="0" w:color="auto"/>
            </w:tcBorders>
            <w:shd w:val="clear" w:color="auto" w:fill="auto"/>
            <w:vAlign w:val="center"/>
            <w:hideMark/>
          </w:tcPr>
          <w:p w14:paraId="72855B00"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Approaches developed to support the development and scaling of the intervention beyond the initial pilot</w:t>
            </w:r>
          </w:p>
        </w:tc>
      </w:tr>
      <w:tr w:rsidR="00FB0AC7" w:rsidRPr="00096CE0" w14:paraId="65AD0EFD" w14:textId="77777777" w:rsidTr="00FB0AC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140C92C"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Implementation factors</w:t>
            </w:r>
          </w:p>
        </w:tc>
        <w:tc>
          <w:tcPr>
            <w:tcW w:w="0" w:type="auto"/>
            <w:tcBorders>
              <w:top w:val="nil"/>
              <w:left w:val="nil"/>
              <w:bottom w:val="single" w:sz="4" w:space="0" w:color="auto"/>
              <w:right w:val="single" w:sz="4" w:space="0" w:color="auto"/>
            </w:tcBorders>
            <w:shd w:val="clear" w:color="auto" w:fill="auto"/>
            <w:vAlign w:val="center"/>
            <w:hideMark/>
          </w:tcPr>
          <w:p w14:paraId="4D726F1B"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Equity outcomes</w:t>
            </w:r>
          </w:p>
        </w:tc>
        <w:tc>
          <w:tcPr>
            <w:tcW w:w="0" w:type="auto"/>
            <w:tcBorders>
              <w:top w:val="nil"/>
              <w:left w:val="nil"/>
              <w:bottom w:val="single" w:sz="4" w:space="0" w:color="auto"/>
              <w:right w:val="single" w:sz="4" w:space="0" w:color="auto"/>
            </w:tcBorders>
            <w:shd w:val="clear" w:color="auto" w:fill="auto"/>
            <w:vAlign w:val="center"/>
            <w:hideMark/>
          </w:tcPr>
          <w:p w14:paraId="3A1D4726"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Equity outcomes (access)</w:t>
            </w:r>
          </w:p>
        </w:tc>
        <w:tc>
          <w:tcPr>
            <w:tcW w:w="0" w:type="auto"/>
            <w:tcBorders>
              <w:top w:val="nil"/>
              <w:left w:val="nil"/>
              <w:bottom w:val="single" w:sz="4" w:space="0" w:color="auto"/>
              <w:right w:val="single" w:sz="4" w:space="0" w:color="auto"/>
            </w:tcBorders>
            <w:shd w:val="clear" w:color="auto" w:fill="auto"/>
            <w:vAlign w:val="center"/>
            <w:hideMark/>
          </w:tcPr>
          <w:p w14:paraId="103F40FE"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Factors that mention access to health services</w:t>
            </w:r>
          </w:p>
        </w:tc>
      </w:tr>
      <w:tr w:rsidR="00FB0AC7" w:rsidRPr="00096CE0" w14:paraId="45B4A1B9" w14:textId="77777777" w:rsidTr="00FB0AC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B24DB06"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Implementation factors</w:t>
            </w:r>
          </w:p>
        </w:tc>
        <w:tc>
          <w:tcPr>
            <w:tcW w:w="0" w:type="auto"/>
            <w:tcBorders>
              <w:top w:val="nil"/>
              <w:left w:val="nil"/>
              <w:bottom w:val="single" w:sz="4" w:space="0" w:color="auto"/>
              <w:right w:val="single" w:sz="4" w:space="0" w:color="auto"/>
            </w:tcBorders>
            <w:shd w:val="clear" w:color="auto" w:fill="auto"/>
            <w:vAlign w:val="center"/>
            <w:hideMark/>
          </w:tcPr>
          <w:p w14:paraId="0FF34A3A"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Equity outcomes</w:t>
            </w:r>
          </w:p>
        </w:tc>
        <w:tc>
          <w:tcPr>
            <w:tcW w:w="0" w:type="auto"/>
            <w:tcBorders>
              <w:top w:val="nil"/>
              <w:left w:val="nil"/>
              <w:bottom w:val="single" w:sz="4" w:space="0" w:color="auto"/>
              <w:right w:val="single" w:sz="4" w:space="0" w:color="auto"/>
            </w:tcBorders>
            <w:shd w:val="clear" w:color="auto" w:fill="auto"/>
            <w:vAlign w:val="center"/>
            <w:hideMark/>
          </w:tcPr>
          <w:p w14:paraId="03734CC5"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Equity outcomes (quality)</w:t>
            </w:r>
          </w:p>
        </w:tc>
        <w:tc>
          <w:tcPr>
            <w:tcW w:w="0" w:type="auto"/>
            <w:tcBorders>
              <w:top w:val="nil"/>
              <w:left w:val="nil"/>
              <w:bottom w:val="single" w:sz="4" w:space="0" w:color="auto"/>
              <w:right w:val="single" w:sz="4" w:space="0" w:color="auto"/>
            </w:tcBorders>
            <w:shd w:val="clear" w:color="auto" w:fill="auto"/>
            <w:vAlign w:val="center"/>
            <w:hideMark/>
          </w:tcPr>
          <w:p w14:paraId="7954CFCB"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Data that discusses the experience and the point of care, and the feelings of being safe</w:t>
            </w:r>
          </w:p>
        </w:tc>
      </w:tr>
      <w:tr w:rsidR="00FB0AC7" w:rsidRPr="00096CE0" w14:paraId="3D3F3B82" w14:textId="77777777" w:rsidTr="00FB0AC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DACFD2A"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Implementation factors</w:t>
            </w:r>
          </w:p>
        </w:tc>
        <w:tc>
          <w:tcPr>
            <w:tcW w:w="0" w:type="auto"/>
            <w:tcBorders>
              <w:top w:val="nil"/>
              <w:left w:val="nil"/>
              <w:bottom w:val="single" w:sz="4" w:space="0" w:color="auto"/>
              <w:right w:val="single" w:sz="4" w:space="0" w:color="auto"/>
            </w:tcBorders>
            <w:shd w:val="clear" w:color="auto" w:fill="auto"/>
            <w:vAlign w:val="center"/>
            <w:hideMark/>
          </w:tcPr>
          <w:p w14:paraId="30790E9F"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Equity outcomes</w:t>
            </w:r>
          </w:p>
        </w:tc>
        <w:tc>
          <w:tcPr>
            <w:tcW w:w="0" w:type="auto"/>
            <w:tcBorders>
              <w:top w:val="nil"/>
              <w:left w:val="nil"/>
              <w:bottom w:val="single" w:sz="4" w:space="0" w:color="auto"/>
              <w:right w:val="single" w:sz="4" w:space="0" w:color="auto"/>
            </w:tcBorders>
            <w:shd w:val="clear" w:color="auto" w:fill="auto"/>
            <w:vAlign w:val="center"/>
            <w:hideMark/>
          </w:tcPr>
          <w:p w14:paraId="2F32C5DA"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Equity outcomes (clinical)</w:t>
            </w:r>
          </w:p>
        </w:tc>
        <w:tc>
          <w:tcPr>
            <w:tcW w:w="0" w:type="auto"/>
            <w:tcBorders>
              <w:top w:val="nil"/>
              <w:left w:val="nil"/>
              <w:bottom w:val="single" w:sz="4" w:space="0" w:color="auto"/>
              <w:right w:val="single" w:sz="4" w:space="0" w:color="auto"/>
            </w:tcBorders>
            <w:shd w:val="clear" w:color="auto" w:fill="auto"/>
            <w:vAlign w:val="center"/>
            <w:hideMark/>
          </w:tcPr>
          <w:p w14:paraId="49DCF8BD"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Data that talks about the clinical outcomes from the intervention</w:t>
            </w:r>
          </w:p>
        </w:tc>
      </w:tr>
      <w:tr w:rsidR="00FB0AC7" w:rsidRPr="00096CE0" w14:paraId="264D02BC" w14:textId="77777777" w:rsidTr="00FB0AC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DDAC3B1"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Implementation factors</w:t>
            </w:r>
          </w:p>
        </w:tc>
        <w:tc>
          <w:tcPr>
            <w:tcW w:w="0" w:type="auto"/>
            <w:tcBorders>
              <w:top w:val="nil"/>
              <w:left w:val="nil"/>
              <w:bottom w:val="single" w:sz="4" w:space="0" w:color="auto"/>
              <w:right w:val="single" w:sz="4" w:space="0" w:color="auto"/>
            </w:tcBorders>
            <w:shd w:val="clear" w:color="auto" w:fill="auto"/>
            <w:vAlign w:val="center"/>
            <w:hideMark/>
          </w:tcPr>
          <w:p w14:paraId="0C92327F"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Team dynamics</w:t>
            </w:r>
          </w:p>
        </w:tc>
        <w:tc>
          <w:tcPr>
            <w:tcW w:w="0" w:type="auto"/>
            <w:tcBorders>
              <w:top w:val="nil"/>
              <w:left w:val="nil"/>
              <w:bottom w:val="single" w:sz="4" w:space="0" w:color="auto"/>
              <w:right w:val="single" w:sz="4" w:space="0" w:color="auto"/>
            </w:tcBorders>
            <w:shd w:val="clear" w:color="auto" w:fill="auto"/>
            <w:vAlign w:val="center"/>
            <w:hideMark/>
          </w:tcPr>
          <w:p w14:paraId="5FA7F9C4"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Personal relationships</w:t>
            </w:r>
          </w:p>
        </w:tc>
        <w:tc>
          <w:tcPr>
            <w:tcW w:w="0" w:type="auto"/>
            <w:tcBorders>
              <w:top w:val="nil"/>
              <w:left w:val="nil"/>
              <w:bottom w:val="single" w:sz="4" w:space="0" w:color="auto"/>
              <w:right w:val="single" w:sz="4" w:space="0" w:color="auto"/>
            </w:tcBorders>
            <w:shd w:val="clear" w:color="auto" w:fill="auto"/>
            <w:vAlign w:val="center"/>
            <w:hideMark/>
          </w:tcPr>
          <w:p w14:paraId="4A25C6EB"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Existing relationships between individuals involved in the design and/or implementation</w:t>
            </w:r>
          </w:p>
        </w:tc>
      </w:tr>
      <w:tr w:rsidR="00FB0AC7" w:rsidRPr="00096CE0" w14:paraId="558D0A78" w14:textId="77777777" w:rsidTr="00FB0AC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36EA635"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Implementation factors</w:t>
            </w:r>
          </w:p>
        </w:tc>
        <w:tc>
          <w:tcPr>
            <w:tcW w:w="0" w:type="auto"/>
            <w:tcBorders>
              <w:top w:val="nil"/>
              <w:left w:val="nil"/>
              <w:bottom w:val="single" w:sz="4" w:space="0" w:color="auto"/>
              <w:right w:val="single" w:sz="4" w:space="0" w:color="auto"/>
            </w:tcBorders>
            <w:shd w:val="clear" w:color="auto" w:fill="auto"/>
            <w:vAlign w:val="center"/>
            <w:hideMark/>
          </w:tcPr>
          <w:p w14:paraId="76EB3D21"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Team dynamics</w:t>
            </w:r>
          </w:p>
        </w:tc>
        <w:tc>
          <w:tcPr>
            <w:tcW w:w="0" w:type="auto"/>
            <w:tcBorders>
              <w:top w:val="nil"/>
              <w:left w:val="nil"/>
              <w:bottom w:val="single" w:sz="4" w:space="0" w:color="auto"/>
              <w:right w:val="single" w:sz="4" w:space="0" w:color="auto"/>
            </w:tcBorders>
            <w:shd w:val="clear" w:color="auto" w:fill="auto"/>
            <w:vAlign w:val="center"/>
            <w:hideMark/>
          </w:tcPr>
          <w:p w14:paraId="39952130" w14:textId="6459CF64"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 xml:space="preserve">Team </w:t>
            </w:r>
            <w:r w:rsidR="003A475F">
              <w:rPr>
                <w:rFonts w:ascii="Calibri" w:eastAsia="Times New Roman" w:hAnsi="Calibri" w:cs="Calibri"/>
                <w:color w:val="000000"/>
                <w:szCs w:val="20"/>
                <w:lang w:val="en-AU" w:eastAsia="en-GB"/>
              </w:rPr>
              <w:t>d</w:t>
            </w:r>
            <w:r w:rsidRPr="00096CE0">
              <w:rPr>
                <w:rFonts w:ascii="Calibri" w:eastAsia="Times New Roman" w:hAnsi="Calibri" w:cs="Calibri"/>
                <w:color w:val="000000"/>
                <w:szCs w:val="20"/>
                <w:lang w:val="en-AU" w:eastAsia="en-GB"/>
              </w:rPr>
              <w:t>ynamics</w:t>
            </w:r>
          </w:p>
        </w:tc>
        <w:tc>
          <w:tcPr>
            <w:tcW w:w="0" w:type="auto"/>
            <w:tcBorders>
              <w:top w:val="nil"/>
              <w:left w:val="nil"/>
              <w:bottom w:val="single" w:sz="4" w:space="0" w:color="auto"/>
              <w:right w:val="single" w:sz="4" w:space="0" w:color="auto"/>
            </w:tcBorders>
            <w:shd w:val="clear" w:color="auto" w:fill="auto"/>
            <w:vAlign w:val="center"/>
            <w:hideMark/>
          </w:tcPr>
          <w:p w14:paraId="2926EE34"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The nature of the individuals making up the team to effect the design and/or implementation processes</w:t>
            </w:r>
          </w:p>
        </w:tc>
      </w:tr>
      <w:tr w:rsidR="00FB0AC7" w:rsidRPr="00096CE0" w14:paraId="780A516D" w14:textId="77777777" w:rsidTr="00FB0AC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ED785AC"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Implementation factors</w:t>
            </w:r>
          </w:p>
        </w:tc>
        <w:tc>
          <w:tcPr>
            <w:tcW w:w="0" w:type="auto"/>
            <w:tcBorders>
              <w:top w:val="nil"/>
              <w:left w:val="nil"/>
              <w:bottom w:val="single" w:sz="4" w:space="0" w:color="auto"/>
              <w:right w:val="single" w:sz="4" w:space="0" w:color="auto"/>
            </w:tcBorders>
            <w:shd w:val="clear" w:color="auto" w:fill="auto"/>
            <w:vAlign w:val="center"/>
            <w:hideMark/>
          </w:tcPr>
          <w:p w14:paraId="4D2FD66C"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Culture</w:t>
            </w:r>
          </w:p>
        </w:tc>
        <w:tc>
          <w:tcPr>
            <w:tcW w:w="0" w:type="auto"/>
            <w:tcBorders>
              <w:top w:val="nil"/>
              <w:left w:val="nil"/>
              <w:bottom w:val="single" w:sz="4" w:space="0" w:color="auto"/>
              <w:right w:val="single" w:sz="4" w:space="0" w:color="auto"/>
            </w:tcBorders>
            <w:shd w:val="clear" w:color="auto" w:fill="auto"/>
            <w:vAlign w:val="center"/>
            <w:hideMark/>
          </w:tcPr>
          <w:p w14:paraId="3F41DD41"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Organisational culture</w:t>
            </w:r>
          </w:p>
        </w:tc>
        <w:tc>
          <w:tcPr>
            <w:tcW w:w="0" w:type="auto"/>
            <w:tcBorders>
              <w:top w:val="nil"/>
              <w:left w:val="nil"/>
              <w:bottom w:val="single" w:sz="4" w:space="0" w:color="auto"/>
              <w:right w:val="single" w:sz="4" w:space="0" w:color="auto"/>
            </w:tcBorders>
            <w:shd w:val="clear" w:color="auto" w:fill="auto"/>
            <w:vAlign w:val="center"/>
            <w:hideMark/>
          </w:tcPr>
          <w:p w14:paraId="5CD1CF4B"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The embedded culture of an organisation that impacts on the design and/or implementation processes.</w:t>
            </w:r>
          </w:p>
        </w:tc>
      </w:tr>
      <w:tr w:rsidR="00FB0AC7" w:rsidRPr="00096CE0" w14:paraId="35645034" w14:textId="77777777" w:rsidTr="00FB0AC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EE2B2FE"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Implementation factors</w:t>
            </w:r>
          </w:p>
        </w:tc>
        <w:tc>
          <w:tcPr>
            <w:tcW w:w="0" w:type="auto"/>
            <w:tcBorders>
              <w:top w:val="nil"/>
              <w:left w:val="nil"/>
              <w:bottom w:val="single" w:sz="4" w:space="0" w:color="auto"/>
              <w:right w:val="single" w:sz="4" w:space="0" w:color="auto"/>
            </w:tcBorders>
            <w:shd w:val="clear" w:color="auto" w:fill="auto"/>
            <w:vAlign w:val="center"/>
            <w:hideMark/>
          </w:tcPr>
          <w:p w14:paraId="19F97F6F"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Communication</w:t>
            </w:r>
          </w:p>
        </w:tc>
        <w:tc>
          <w:tcPr>
            <w:tcW w:w="0" w:type="auto"/>
            <w:tcBorders>
              <w:top w:val="nil"/>
              <w:left w:val="nil"/>
              <w:bottom w:val="single" w:sz="4" w:space="0" w:color="auto"/>
              <w:right w:val="single" w:sz="4" w:space="0" w:color="auto"/>
            </w:tcBorders>
            <w:shd w:val="clear" w:color="auto" w:fill="auto"/>
            <w:vAlign w:val="center"/>
            <w:hideMark/>
          </w:tcPr>
          <w:p w14:paraId="139A91E7"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Communication</w:t>
            </w:r>
          </w:p>
        </w:tc>
        <w:tc>
          <w:tcPr>
            <w:tcW w:w="0" w:type="auto"/>
            <w:tcBorders>
              <w:top w:val="nil"/>
              <w:left w:val="nil"/>
              <w:bottom w:val="single" w:sz="4" w:space="0" w:color="auto"/>
              <w:right w:val="single" w:sz="4" w:space="0" w:color="auto"/>
            </w:tcBorders>
            <w:shd w:val="clear" w:color="auto" w:fill="auto"/>
            <w:vAlign w:val="center"/>
            <w:hideMark/>
          </w:tcPr>
          <w:p w14:paraId="2BDC16D2"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Communication between different roles and/or organisations to support the design and/or implementation</w:t>
            </w:r>
          </w:p>
        </w:tc>
      </w:tr>
      <w:tr w:rsidR="00FB0AC7" w:rsidRPr="00096CE0" w14:paraId="15E6A277" w14:textId="77777777" w:rsidTr="00FB0AC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465B387"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Implementation factors</w:t>
            </w:r>
          </w:p>
        </w:tc>
        <w:tc>
          <w:tcPr>
            <w:tcW w:w="0" w:type="auto"/>
            <w:tcBorders>
              <w:top w:val="nil"/>
              <w:left w:val="nil"/>
              <w:bottom w:val="single" w:sz="4" w:space="0" w:color="auto"/>
              <w:right w:val="single" w:sz="4" w:space="0" w:color="auto"/>
            </w:tcBorders>
            <w:shd w:val="clear" w:color="auto" w:fill="auto"/>
            <w:vAlign w:val="center"/>
            <w:hideMark/>
          </w:tcPr>
          <w:p w14:paraId="2CA53DAD"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Communication</w:t>
            </w:r>
          </w:p>
        </w:tc>
        <w:tc>
          <w:tcPr>
            <w:tcW w:w="0" w:type="auto"/>
            <w:tcBorders>
              <w:top w:val="nil"/>
              <w:left w:val="nil"/>
              <w:bottom w:val="single" w:sz="4" w:space="0" w:color="auto"/>
              <w:right w:val="single" w:sz="4" w:space="0" w:color="auto"/>
            </w:tcBorders>
            <w:shd w:val="clear" w:color="auto" w:fill="auto"/>
            <w:vAlign w:val="center"/>
            <w:hideMark/>
          </w:tcPr>
          <w:p w14:paraId="5A3BE472"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Shared decision making</w:t>
            </w:r>
          </w:p>
        </w:tc>
        <w:tc>
          <w:tcPr>
            <w:tcW w:w="0" w:type="auto"/>
            <w:tcBorders>
              <w:top w:val="nil"/>
              <w:left w:val="nil"/>
              <w:bottom w:val="single" w:sz="4" w:space="0" w:color="auto"/>
              <w:right w:val="single" w:sz="4" w:space="0" w:color="auto"/>
            </w:tcBorders>
            <w:shd w:val="clear" w:color="auto" w:fill="auto"/>
            <w:vAlign w:val="center"/>
            <w:hideMark/>
          </w:tcPr>
          <w:p w14:paraId="46B7D802"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How decision making occurs within the set-up, roll out, and scaling up of the intervention</w:t>
            </w:r>
          </w:p>
        </w:tc>
      </w:tr>
      <w:tr w:rsidR="00FB0AC7" w:rsidRPr="00096CE0" w14:paraId="4CA2D461" w14:textId="77777777" w:rsidTr="00FB0AC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BF36B9F"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Implementation factors</w:t>
            </w:r>
          </w:p>
        </w:tc>
        <w:tc>
          <w:tcPr>
            <w:tcW w:w="0" w:type="auto"/>
            <w:tcBorders>
              <w:top w:val="nil"/>
              <w:left w:val="nil"/>
              <w:bottom w:val="single" w:sz="4" w:space="0" w:color="auto"/>
              <w:right w:val="single" w:sz="4" w:space="0" w:color="auto"/>
            </w:tcBorders>
            <w:shd w:val="clear" w:color="auto" w:fill="auto"/>
            <w:vAlign w:val="center"/>
            <w:hideMark/>
          </w:tcPr>
          <w:p w14:paraId="54749C09"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Adequate resources</w:t>
            </w:r>
          </w:p>
        </w:tc>
        <w:tc>
          <w:tcPr>
            <w:tcW w:w="0" w:type="auto"/>
            <w:tcBorders>
              <w:top w:val="nil"/>
              <w:left w:val="nil"/>
              <w:bottom w:val="single" w:sz="4" w:space="0" w:color="auto"/>
              <w:right w:val="single" w:sz="4" w:space="0" w:color="auto"/>
            </w:tcBorders>
            <w:shd w:val="clear" w:color="auto" w:fill="auto"/>
            <w:vAlign w:val="center"/>
            <w:hideMark/>
          </w:tcPr>
          <w:p w14:paraId="1892E6FB"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Infrastructure</w:t>
            </w:r>
          </w:p>
        </w:tc>
        <w:tc>
          <w:tcPr>
            <w:tcW w:w="0" w:type="auto"/>
            <w:tcBorders>
              <w:top w:val="nil"/>
              <w:left w:val="nil"/>
              <w:bottom w:val="single" w:sz="4" w:space="0" w:color="auto"/>
              <w:right w:val="single" w:sz="4" w:space="0" w:color="auto"/>
            </w:tcBorders>
            <w:shd w:val="clear" w:color="auto" w:fill="auto"/>
            <w:vAlign w:val="center"/>
            <w:hideMark/>
          </w:tcPr>
          <w:p w14:paraId="56B3D943"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Relates to the physical environment, tools and space, and how it affects the design and/or implementation processes.</w:t>
            </w:r>
          </w:p>
        </w:tc>
      </w:tr>
      <w:tr w:rsidR="00FB0AC7" w:rsidRPr="00096CE0" w14:paraId="04440BC8" w14:textId="77777777" w:rsidTr="00FB0AC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DBA5C71"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lastRenderedPageBreak/>
              <w:t>Implementation factors</w:t>
            </w:r>
          </w:p>
        </w:tc>
        <w:tc>
          <w:tcPr>
            <w:tcW w:w="0" w:type="auto"/>
            <w:tcBorders>
              <w:top w:val="nil"/>
              <w:left w:val="nil"/>
              <w:bottom w:val="single" w:sz="4" w:space="0" w:color="auto"/>
              <w:right w:val="single" w:sz="4" w:space="0" w:color="auto"/>
            </w:tcBorders>
            <w:shd w:val="clear" w:color="auto" w:fill="auto"/>
            <w:vAlign w:val="center"/>
            <w:hideMark/>
          </w:tcPr>
          <w:p w14:paraId="11790E4E"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Adequate resources</w:t>
            </w:r>
          </w:p>
        </w:tc>
        <w:tc>
          <w:tcPr>
            <w:tcW w:w="0" w:type="auto"/>
            <w:tcBorders>
              <w:top w:val="nil"/>
              <w:left w:val="nil"/>
              <w:bottom w:val="single" w:sz="4" w:space="0" w:color="auto"/>
              <w:right w:val="single" w:sz="4" w:space="0" w:color="auto"/>
            </w:tcBorders>
            <w:shd w:val="clear" w:color="auto" w:fill="auto"/>
            <w:vAlign w:val="center"/>
            <w:hideMark/>
          </w:tcPr>
          <w:p w14:paraId="6C26831A"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Technical infrastructure</w:t>
            </w:r>
          </w:p>
        </w:tc>
        <w:tc>
          <w:tcPr>
            <w:tcW w:w="0" w:type="auto"/>
            <w:tcBorders>
              <w:top w:val="nil"/>
              <w:left w:val="nil"/>
              <w:bottom w:val="single" w:sz="4" w:space="0" w:color="auto"/>
              <w:right w:val="single" w:sz="4" w:space="0" w:color="auto"/>
            </w:tcBorders>
            <w:shd w:val="clear" w:color="auto" w:fill="auto"/>
            <w:vAlign w:val="center"/>
            <w:hideMark/>
          </w:tcPr>
          <w:p w14:paraId="1C806233"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The extent and appropriateness of the technical resources (IT, communication, data capture/sharing) to support the implementation of the intervention.</w:t>
            </w:r>
          </w:p>
        </w:tc>
      </w:tr>
      <w:tr w:rsidR="00FB0AC7" w:rsidRPr="00096CE0" w14:paraId="3D13A3D2" w14:textId="77777777" w:rsidTr="00FB0AC7">
        <w:trPr>
          <w:trHeight w:val="20"/>
        </w:trPr>
        <w:tc>
          <w:tcPr>
            <w:tcW w:w="0" w:type="auto"/>
            <w:tcBorders>
              <w:top w:val="single" w:sz="4" w:space="0" w:color="auto"/>
              <w:left w:val="single" w:sz="4" w:space="0" w:color="auto"/>
              <w:bottom w:val="single" w:sz="18" w:space="0" w:color="auto"/>
              <w:right w:val="single" w:sz="4" w:space="0" w:color="auto"/>
            </w:tcBorders>
            <w:shd w:val="clear" w:color="auto" w:fill="auto"/>
            <w:vAlign w:val="center"/>
            <w:hideMark/>
          </w:tcPr>
          <w:p w14:paraId="4184B58C"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Implementation factors</w:t>
            </w:r>
          </w:p>
        </w:tc>
        <w:tc>
          <w:tcPr>
            <w:tcW w:w="0" w:type="auto"/>
            <w:tcBorders>
              <w:top w:val="single" w:sz="4" w:space="0" w:color="auto"/>
              <w:left w:val="nil"/>
              <w:bottom w:val="single" w:sz="18" w:space="0" w:color="auto"/>
              <w:right w:val="single" w:sz="4" w:space="0" w:color="auto"/>
            </w:tcBorders>
            <w:shd w:val="clear" w:color="auto" w:fill="auto"/>
            <w:vAlign w:val="center"/>
            <w:hideMark/>
          </w:tcPr>
          <w:p w14:paraId="1B35970D"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Adequate resources</w:t>
            </w:r>
          </w:p>
        </w:tc>
        <w:tc>
          <w:tcPr>
            <w:tcW w:w="0" w:type="auto"/>
            <w:tcBorders>
              <w:top w:val="single" w:sz="4" w:space="0" w:color="auto"/>
              <w:left w:val="nil"/>
              <w:bottom w:val="single" w:sz="18" w:space="0" w:color="auto"/>
              <w:right w:val="single" w:sz="4" w:space="0" w:color="auto"/>
            </w:tcBorders>
            <w:shd w:val="clear" w:color="auto" w:fill="auto"/>
            <w:vAlign w:val="center"/>
            <w:hideMark/>
          </w:tcPr>
          <w:p w14:paraId="71F0835E"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Health literacy</w:t>
            </w:r>
          </w:p>
        </w:tc>
        <w:tc>
          <w:tcPr>
            <w:tcW w:w="0" w:type="auto"/>
            <w:tcBorders>
              <w:top w:val="single" w:sz="4" w:space="0" w:color="auto"/>
              <w:left w:val="nil"/>
              <w:bottom w:val="single" w:sz="18" w:space="0" w:color="auto"/>
              <w:right w:val="single" w:sz="4" w:space="0" w:color="auto"/>
            </w:tcBorders>
            <w:shd w:val="clear" w:color="auto" w:fill="auto"/>
            <w:vAlign w:val="center"/>
            <w:hideMark/>
          </w:tcPr>
          <w:p w14:paraId="32ECAF73" w14:textId="77777777" w:rsidR="00FB0AC7" w:rsidRPr="00096CE0" w:rsidRDefault="00FB0AC7" w:rsidP="00C165F8">
            <w:pPr>
              <w:spacing w:after="0"/>
              <w:rPr>
                <w:rFonts w:ascii="Calibri" w:eastAsia="Times New Roman" w:hAnsi="Calibri" w:cs="Calibri"/>
                <w:color w:val="000000"/>
                <w:szCs w:val="20"/>
                <w:lang w:eastAsia="en-GB"/>
              </w:rPr>
            </w:pPr>
            <w:r w:rsidRPr="00096CE0">
              <w:rPr>
                <w:rFonts w:ascii="Calibri" w:eastAsia="Times New Roman" w:hAnsi="Calibri" w:cs="Calibri"/>
                <w:color w:val="000000"/>
                <w:szCs w:val="20"/>
                <w:lang w:val="en-AU" w:eastAsia="en-GB"/>
              </w:rPr>
              <w:t>The ability of the individual to find, and use information about health services to inform their decision making</w:t>
            </w:r>
          </w:p>
        </w:tc>
      </w:tr>
    </w:tbl>
    <w:p w14:paraId="43D6D667" w14:textId="77777777" w:rsidR="00FB0AC7" w:rsidRDefault="00FB0AC7"/>
    <w:sectPr w:rsidR="00FB0AC7" w:rsidSect="00FB0AC7">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AC7"/>
    <w:rsid w:val="003A475F"/>
    <w:rsid w:val="0042305E"/>
    <w:rsid w:val="00FB0AC7"/>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5F58B"/>
  <w15:chartTrackingRefBased/>
  <w15:docId w15:val="{545052C7-77D0-4740-B068-487821C93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1006</Words>
  <Characters>5735</Characters>
  <Application>Microsoft Office Word</Application>
  <DocSecurity>0</DocSecurity>
  <Lines>47</Lines>
  <Paragraphs>13</Paragraphs>
  <ScaleCrop>false</ScaleCrop>
  <Company/>
  <LinksUpToDate>false</LinksUpToDate>
  <CharactersWithSpaces>6728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Papillon Gustafson</dc:creator>
  <cp:keywords/>
  <dc:description/>
  <cp:lastModifiedBy>Papillon Gustafson</cp:lastModifiedBy>
  <cp:revision>2</cp:revision>
  <dcterms:created xsi:type="dcterms:W3CDTF">2023-08-28T02:53:00Z</dcterms:created>
  <dcterms:modified xsi:type="dcterms:W3CDTF">2023-08-28T03:01:00Z</dcterms:modified>
</cp:coreProperties>
</file>