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8CF3E" w14:textId="4110DBFA" w:rsidR="005C03E1" w:rsidRDefault="000F0AB0">
      <w:pPr>
        <w:rPr>
          <w:rFonts w:eastAsia="Calibri"/>
          <w:b/>
        </w:rPr>
      </w:pPr>
      <w:r>
        <w:rPr>
          <w:rFonts w:eastAsia="Calibri"/>
          <w:b/>
        </w:rPr>
        <w:t xml:space="preserve">Additional File </w:t>
      </w:r>
      <w:r w:rsidR="00E275A9">
        <w:rPr>
          <w:rFonts w:eastAsia="Calibri"/>
          <w:b/>
        </w:rPr>
        <w:t>4: Data Extraction Tables from Academic and Grey Literature Sources</w:t>
      </w:r>
    </w:p>
    <w:p w14:paraId="43B7C0F6" w14:textId="77777777" w:rsidR="00C061F7" w:rsidRPr="00930D9C" w:rsidRDefault="00C061F7">
      <w:pPr>
        <w:rPr>
          <w:rFonts w:eastAsia="Calibri"/>
        </w:rPr>
      </w:pPr>
    </w:p>
    <w:tbl>
      <w:tblPr>
        <w:tblStyle w:val="2"/>
        <w:tblW w:w="13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00"/>
        <w:gridCol w:w="1185"/>
        <w:gridCol w:w="8085"/>
      </w:tblGrid>
      <w:tr w:rsidR="00443EEC" w:rsidRPr="00930D9C" w14:paraId="77A9FF43" w14:textId="77777777" w:rsidTr="008F022D">
        <w:tc>
          <w:tcPr>
            <w:tcW w:w="13050" w:type="dxa"/>
            <w:gridSpan w:val="4"/>
            <w:tcBorders>
              <w:left w:val="nil"/>
              <w:bottom w:val="single" w:sz="4" w:space="0" w:color="000000"/>
              <w:right w:val="nil"/>
            </w:tcBorders>
          </w:tcPr>
          <w:p w14:paraId="01A024A2" w14:textId="1E1407F8" w:rsidR="00443EEC" w:rsidRPr="00930D9C" w:rsidRDefault="00443EEC">
            <w:pPr>
              <w:rPr>
                <w:rFonts w:eastAsia="Calibri"/>
                <w:b/>
              </w:rPr>
            </w:pPr>
            <w:r>
              <w:rPr>
                <w:rFonts w:eastAsia="Calibri"/>
                <w:b/>
              </w:rPr>
              <w:t xml:space="preserve">Table </w:t>
            </w:r>
            <w:r w:rsidR="00DC27FE">
              <w:rPr>
                <w:rFonts w:eastAsia="Calibri"/>
                <w:b/>
              </w:rPr>
              <w:t>3</w:t>
            </w:r>
            <w:r>
              <w:rPr>
                <w:rFonts w:eastAsia="Calibri"/>
                <w:b/>
              </w:rPr>
              <w:t xml:space="preserve"> </w:t>
            </w:r>
            <w:r>
              <w:rPr>
                <w:rFonts w:eastAsia="Calibri"/>
                <w:bCs/>
              </w:rPr>
              <w:t>Data extracted from academic literature sources</w:t>
            </w:r>
          </w:p>
        </w:tc>
      </w:tr>
      <w:tr w:rsidR="000F0AB0" w:rsidRPr="00930D9C" w14:paraId="198A1E0A" w14:textId="77777777" w:rsidTr="00443EEC">
        <w:tc>
          <w:tcPr>
            <w:tcW w:w="1980" w:type="dxa"/>
            <w:tcBorders>
              <w:left w:val="nil"/>
              <w:bottom w:val="single" w:sz="4" w:space="0" w:color="000000"/>
              <w:right w:val="nil"/>
            </w:tcBorders>
          </w:tcPr>
          <w:p w14:paraId="32535C89" w14:textId="3AA14A02" w:rsidR="000F0AB0" w:rsidRPr="00930D9C" w:rsidRDefault="000F0AB0">
            <w:pPr>
              <w:rPr>
                <w:rFonts w:eastAsia="Calibri"/>
                <w:b/>
              </w:rPr>
            </w:pPr>
            <w:r>
              <w:rPr>
                <w:rFonts w:eastAsia="Calibri"/>
                <w:b/>
              </w:rPr>
              <w:t>Author(s), Year</w:t>
            </w:r>
          </w:p>
        </w:tc>
        <w:tc>
          <w:tcPr>
            <w:tcW w:w="1800" w:type="dxa"/>
            <w:tcBorders>
              <w:left w:val="nil"/>
              <w:bottom w:val="single" w:sz="4" w:space="0" w:color="000000"/>
              <w:right w:val="nil"/>
            </w:tcBorders>
          </w:tcPr>
          <w:p w14:paraId="2F473669" w14:textId="77777777" w:rsidR="000F0AB0" w:rsidRPr="00930D9C" w:rsidRDefault="000F0AB0">
            <w:pPr>
              <w:rPr>
                <w:rFonts w:eastAsia="Calibri"/>
                <w:b/>
              </w:rPr>
            </w:pPr>
            <w:r w:rsidRPr="00930D9C">
              <w:rPr>
                <w:rFonts w:eastAsia="Calibri"/>
                <w:b/>
              </w:rPr>
              <w:t>Research</w:t>
            </w:r>
          </w:p>
          <w:p w14:paraId="59FF1915" w14:textId="3C4BF31C" w:rsidR="000F0AB0" w:rsidRPr="00930D9C" w:rsidRDefault="000F0AB0">
            <w:pPr>
              <w:rPr>
                <w:rFonts w:eastAsia="Calibri"/>
                <w:b/>
              </w:rPr>
            </w:pPr>
            <w:r>
              <w:rPr>
                <w:rFonts w:eastAsia="Calibri"/>
                <w:b/>
              </w:rPr>
              <w:t>Methods</w:t>
            </w:r>
          </w:p>
        </w:tc>
        <w:tc>
          <w:tcPr>
            <w:tcW w:w="1185" w:type="dxa"/>
            <w:tcBorders>
              <w:left w:val="nil"/>
              <w:bottom w:val="single" w:sz="4" w:space="0" w:color="000000"/>
              <w:right w:val="nil"/>
            </w:tcBorders>
          </w:tcPr>
          <w:p w14:paraId="2A722AA6" w14:textId="77777777" w:rsidR="000F0AB0" w:rsidRPr="00930D9C" w:rsidRDefault="000F0AB0">
            <w:pPr>
              <w:rPr>
                <w:rFonts w:eastAsia="Calibri"/>
                <w:b/>
              </w:rPr>
            </w:pPr>
            <w:r w:rsidRPr="00930D9C">
              <w:rPr>
                <w:rFonts w:eastAsia="Calibri"/>
                <w:b/>
              </w:rPr>
              <w:t>Location</w:t>
            </w:r>
          </w:p>
        </w:tc>
        <w:tc>
          <w:tcPr>
            <w:tcW w:w="8085" w:type="dxa"/>
            <w:tcBorders>
              <w:left w:val="nil"/>
              <w:bottom w:val="single" w:sz="4" w:space="0" w:color="000000"/>
              <w:right w:val="nil"/>
            </w:tcBorders>
          </w:tcPr>
          <w:p w14:paraId="78DAEAFB" w14:textId="77777777" w:rsidR="000F0AB0" w:rsidRPr="00930D9C" w:rsidRDefault="000F0AB0">
            <w:pPr>
              <w:rPr>
                <w:rFonts w:eastAsia="Calibri"/>
                <w:b/>
              </w:rPr>
            </w:pPr>
            <w:r w:rsidRPr="00930D9C">
              <w:rPr>
                <w:rFonts w:eastAsia="Calibri"/>
                <w:b/>
              </w:rPr>
              <w:t>Key</w:t>
            </w:r>
          </w:p>
          <w:p w14:paraId="0175A6BC" w14:textId="77777777" w:rsidR="000F0AB0" w:rsidRPr="00930D9C" w:rsidRDefault="000F0AB0">
            <w:pPr>
              <w:rPr>
                <w:rFonts w:eastAsia="Calibri"/>
                <w:b/>
              </w:rPr>
            </w:pPr>
            <w:r w:rsidRPr="00930D9C">
              <w:rPr>
                <w:rFonts w:eastAsia="Calibri"/>
                <w:b/>
              </w:rPr>
              <w:t>Findings</w:t>
            </w:r>
          </w:p>
        </w:tc>
      </w:tr>
      <w:tr w:rsidR="000F0AB0" w:rsidRPr="00930D9C" w14:paraId="1FFEDF52" w14:textId="77777777" w:rsidTr="00443EEC">
        <w:tc>
          <w:tcPr>
            <w:tcW w:w="1980" w:type="dxa"/>
            <w:tcBorders>
              <w:left w:val="nil"/>
              <w:right w:val="nil"/>
            </w:tcBorders>
          </w:tcPr>
          <w:p w14:paraId="62AF31C2" w14:textId="60990836" w:rsidR="000F0AB0" w:rsidRPr="00930D9C" w:rsidRDefault="000F0AB0">
            <w:pPr>
              <w:rPr>
                <w:rFonts w:eastAsia="Calibri"/>
                <w:color w:val="000000"/>
              </w:rPr>
            </w:pPr>
            <w:r w:rsidRPr="00930D9C">
              <w:rPr>
                <w:rFonts w:eastAsia="Calibri"/>
                <w:color w:val="000000"/>
              </w:rPr>
              <w:t>Bartik, Dixon</w:t>
            </w:r>
            <w:r>
              <w:rPr>
                <w:rFonts w:eastAsia="Calibri"/>
                <w:color w:val="000000"/>
              </w:rPr>
              <w:t xml:space="preserve"> </w:t>
            </w:r>
            <w:r w:rsidRPr="00930D9C">
              <w:rPr>
                <w:rFonts w:eastAsia="Calibri"/>
                <w:color w:val="000000"/>
              </w:rPr>
              <w:t xml:space="preserve"> and Dart, 2007</w:t>
            </w:r>
            <w:r>
              <w:rPr>
                <w:rFonts w:eastAsia="Calibri"/>
                <w:color w:val="000000"/>
              </w:rPr>
              <w:t xml:space="preserve"> </w:t>
            </w:r>
            <w:r w:rsidR="005249D1">
              <w:rPr>
                <w:rFonts w:eastAsia="Calibri"/>
                <w:color w:val="000000"/>
              </w:rPr>
              <w:t>(1</w:t>
            </w:r>
            <w:r w:rsidR="00346FDB">
              <w:rPr>
                <w:rFonts w:eastAsia="Calibri"/>
                <w:color w:val="000000"/>
              </w:rPr>
              <w:t>0</w:t>
            </w:r>
            <w:r w:rsidR="005249D1">
              <w:rPr>
                <w:rFonts w:eastAsia="Calibri"/>
                <w:color w:val="000000"/>
              </w:rPr>
              <w:t>)</w:t>
            </w:r>
          </w:p>
        </w:tc>
        <w:tc>
          <w:tcPr>
            <w:tcW w:w="1800" w:type="dxa"/>
            <w:tcBorders>
              <w:left w:val="nil"/>
              <w:right w:val="nil"/>
            </w:tcBorders>
            <w:shd w:val="clear" w:color="auto" w:fill="auto"/>
          </w:tcPr>
          <w:p w14:paraId="18F44213" w14:textId="39FC71B3" w:rsidR="000F0AB0" w:rsidRPr="00930D9C" w:rsidRDefault="000F0AB0">
            <w:pPr>
              <w:rPr>
                <w:rFonts w:eastAsia="Calibri"/>
                <w:highlight w:val="yellow"/>
              </w:rPr>
            </w:pPr>
            <w:r w:rsidRPr="00930D9C">
              <w:rPr>
                <w:rFonts w:eastAsia="Calibri"/>
              </w:rPr>
              <w:t>Program evaluation; (mixed-methods)</w:t>
            </w:r>
          </w:p>
        </w:tc>
        <w:tc>
          <w:tcPr>
            <w:tcW w:w="1185" w:type="dxa"/>
            <w:tcBorders>
              <w:left w:val="nil"/>
              <w:right w:val="nil"/>
            </w:tcBorders>
          </w:tcPr>
          <w:p w14:paraId="6D979A28"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6C01E6C4" w14:textId="77777777" w:rsidR="000F0AB0" w:rsidRPr="00930D9C" w:rsidRDefault="000F0AB0">
            <w:pPr>
              <w:rPr>
                <w:rFonts w:eastAsia="Calibri"/>
              </w:rPr>
            </w:pPr>
            <w:r w:rsidRPr="00930D9C">
              <w:rPr>
                <w:rFonts w:eastAsia="Calibri"/>
              </w:rPr>
              <w:t>Outlined a 3-year program for training Indigenous child and adolescent mental health workers that consists of: employment as a mental health worker with professional support and supervision; a mentoring program; academic study through an accredited program; and a clinical practicum. Authors touch on following considerations for others seeking to implement similar programs: a structured learning environment; management support; ongoing support from supervisors and teachers; and a commitment to personal development.</w:t>
            </w:r>
          </w:p>
        </w:tc>
      </w:tr>
      <w:tr w:rsidR="000F0AB0" w:rsidRPr="00930D9C" w14:paraId="08CDDD46" w14:textId="77777777" w:rsidTr="00443EEC">
        <w:tc>
          <w:tcPr>
            <w:tcW w:w="1980" w:type="dxa"/>
            <w:tcBorders>
              <w:left w:val="nil"/>
              <w:right w:val="nil"/>
            </w:tcBorders>
          </w:tcPr>
          <w:p w14:paraId="0FCA18D8" w14:textId="18B8BA9B" w:rsidR="000F0AB0" w:rsidRPr="00930D9C" w:rsidRDefault="000F0AB0">
            <w:pPr>
              <w:rPr>
                <w:rFonts w:eastAsia="Calibri"/>
                <w:color w:val="000000"/>
              </w:rPr>
            </w:pPr>
            <w:r w:rsidRPr="00930D9C">
              <w:rPr>
                <w:rFonts w:eastAsia="Calibri"/>
                <w:color w:val="000000"/>
              </w:rPr>
              <w:t>Catts</w:t>
            </w:r>
            <w:r>
              <w:rPr>
                <w:rFonts w:eastAsia="Calibri"/>
                <w:color w:val="000000"/>
              </w:rPr>
              <w:t xml:space="preserve"> et al., 2013 </w:t>
            </w:r>
            <w:r w:rsidR="005249D1">
              <w:rPr>
                <w:rFonts w:eastAsia="Calibri"/>
                <w:color w:val="000000"/>
              </w:rPr>
              <w:t>(32)</w:t>
            </w:r>
          </w:p>
        </w:tc>
        <w:tc>
          <w:tcPr>
            <w:tcW w:w="1800" w:type="dxa"/>
            <w:tcBorders>
              <w:left w:val="nil"/>
              <w:right w:val="nil"/>
            </w:tcBorders>
          </w:tcPr>
          <w:p w14:paraId="2E94A267" w14:textId="337F9D7B" w:rsidR="000F0AB0" w:rsidRPr="00930D9C" w:rsidRDefault="000F0AB0">
            <w:pPr>
              <w:rPr>
                <w:rFonts w:eastAsia="Calibri"/>
              </w:rPr>
            </w:pPr>
            <w:r w:rsidRPr="00930D9C">
              <w:rPr>
                <w:rFonts w:eastAsia="Calibri"/>
              </w:rPr>
              <w:t>Empirical (mixed methods)</w:t>
            </w:r>
          </w:p>
        </w:tc>
        <w:tc>
          <w:tcPr>
            <w:tcW w:w="1185" w:type="dxa"/>
            <w:tcBorders>
              <w:left w:val="nil"/>
              <w:right w:val="nil"/>
            </w:tcBorders>
          </w:tcPr>
          <w:p w14:paraId="17271F70"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52EDD33E" w14:textId="77777777" w:rsidR="000F0AB0" w:rsidRPr="00930D9C" w:rsidRDefault="000F0AB0">
            <w:pPr>
              <w:rPr>
                <w:rFonts w:eastAsia="Calibri"/>
              </w:rPr>
            </w:pPr>
            <w:r w:rsidRPr="00930D9C">
              <w:rPr>
                <w:rFonts w:eastAsia="Calibri"/>
              </w:rPr>
              <w:t xml:space="preserve">Found that Indigenous sub-teams coordinated within mainstream mental health services represent a best practice model for the delivery of early psychosis interventions to Indigenous peoples. The Sunshine Coast Cultural Healing Program, which follows an Indigenous sub-team model, enhanced the engagement of Indigenous youth. </w:t>
            </w:r>
          </w:p>
        </w:tc>
      </w:tr>
      <w:tr w:rsidR="000F0AB0" w:rsidRPr="00930D9C" w14:paraId="68D7D93E" w14:textId="77777777" w:rsidTr="00443EEC">
        <w:tc>
          <w:tcPr>
            <w:tcW w:w="1980" w:type="dxa"/>
            <w:tcBorders>
              <w:left w:val="nil"/>
              <w:right w:val="nil"/>
            </w:tcBorders>
          </w:tcPr>
          <w:p w14:paraId="5CAE818C" w14:textId="2B85FA9B" w:rsidR="000F0AB0" w:rsidRPr="00930D9C" w:rsidRDefault="000F0AB0">
            <w:pPr>
              <w:rPr>
                <w:rFonts w:eastAsia="Calibri"/>
              </w:rPr>
            </w:pPr>
            <w:r w:rsidRPr="00930D9C">
              <w:rPr>
                <w:rFonts w:eastAsia="Calibri"/>
              </w:rPr>
              <w:t>Cleworth,</w:t>
            </w:r>
            <w:r>
              <w:rPr>
                <w:rFonts w:eastAsia="Calibri"/>
              </w:rPr>
              <w:t xml:space="preserve"> </w:t>
            </w:r>
            <w:r w:rsidRPr="00930D9C">
              <w:rPr>
                <w:rFonts w:eastAsia="Calibri"/>
              </w:rPr>
              <w:t>Smith,</w:t>
            </w:r>
            <w:r>
              <w:rPr>
                <w:rFonts w:eastAsia="Calibri"/>
              </w:rPr>
              <w:t xml:space="preserve"> </w:t>
            </w:r>
            <w:r w:rsidRPr="00930D9C">
              <w:rPr>
                <w:rFonts w:eastAsia="Calibri"/>
              </w:rPr>
              <w:t>and Sealey, 2006</w:t>
            </w:r>
            <w:r>
              <w:rPr>
                <w:rFonts w:eastAsia="Calibri"/>
              </w:rPr>
              <w:t xml:space="preserve"> </w:t>
            </w:r>
            <w:r w:rsidR="005249D1">
              <w:rPr>
                <w:rFonts w:eastAsia="Calibri"/>
              </w:rPr>
              <w:t>(33)</w:t>
            </w:r>
          </w:p>
        </w:tc>
        <w:tc>
          <w:tcPr>
            <w:tcW w:w="1800" w:type="dxa"/>
            <w:tcBorders>
              <w:left w:val="nil"/>
              <w:right w:val="nil"/>
            </w:tcBorders>
          </w:tcPr>
          <w:p w14:paraId="56F8BCE0" w14:textId="77777777" w:rsidR="000F0AB0" w:rsidRPr="00930D9C" w:rsidRDefault="000F0AB0">
            <w:pPr>
              <w:rPr>
                <w:rFonts w:eastAsia="Calibri"/>
              </w:rPr>
            </w:pPr>
            <w:r w:rsidRPr="00930D9C">
              <w:rPr>
                <w:rFonts w:eastAsia="Calibri"/>
              </w:rPr>
              <w:t>Empirical (quantitative)</w:t>
            </w:r>
          </w:p>
        </w:tc>
        <w:tc>
          <w:tcPr>
            <w:tcW w:w="1185" w:type="dxa"/>
            <w:tcBorders>
              <w:left w:val="nil"/>
              <w:right w:val="nil"/>
            </w:tcBorders>
          </w:tcPr>
          <w:p w14:paraId="1F72D1D1"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12E7FCBF" w14:textId="77777777" w:rsidR="000F0AB0" w:rsidRPr="00930D9C" w:rsidRDefault="000F0AB0">
            <w:pPr>
              <w:rPr>
                <w:rFonts w:eastAsia="Calibri"/>
              </w:rPr>
            </w:pPr>
            <w:r w:rsidRPr="00930D9C">
              <w:rPr>
                <w:rFonts w:eastAsia="Calibri"/>
              </w:rPr>
              <w:t>The authors touch on a pilot project that Durri staff and mainstream mental health stakeholders implemented to better support the mental health needs of Indigenous communities in the area. Culturally appropriate methods of engaging Indigenous peoples were identified and the service was found to increase engagement, suggesting the program was valuable.</w:t>
            </w:r>
          </w:p>
        </w:tc>
      </w:tr>
      <w:tr w:rsidR="000F0AB0" w:rsidRPr="00930D9C" w14:paraId="23B8103F" w14:textId="77777777" w:rsidTr="00443EEC">
        <w:tc>
          <w:tcPr>
            <w:tcW w:w="1980" w:type="dxa"/>
            <w:tcBorders>
              <w:left w:val="nil"/>
              <w:right w:val="nil"/>
            </w:tcBorders>
          </w:tcPr>
          <w:p w14:paraId="3BB5FFA8" w14:textId="4635BE1D" w:rsidR="000F0AB0" w:rsidRPr="00930D9C" w:rsidRDefault="000F0AB0">
            <w:pPr>
              <w:rPr>
                <w:rFonts w:eastAsia="Calibri"/>
              </w:rPr>
            </w:pPr>
            <w:r w:rsidRPr="00930D9C">
              <w:rPr>
                <w:rFonts w:eastAsia="Calibri"/>
              </w:rPr>
              <w:t xml:space="preserve">Cosgrave, </w:t>
            </w:r>
            <w:r>
              <w:rPr>
                <w:rFonts w:eastAsia="Calibri"/>
              </w:rPr>
              <w:t>M</w:t>
            </w:r>
            <w:r w:rsidRPr="00930D9C">
              <w:rPr>
                <w:rFonts w:eastAsia="Calibri"/>
              </w:rPr>
              <w:t>aple,</w:t>
            </w:r>
            <w:r>
              <w:rPr>
                <w:rFonts w:eastAsia="Calibri"/>
              </w:rPr>
              <w:t xml:space="preserve"> </w:t>
            </w:r>
            <w:r w:rsidRPr="00930D9C">
              <w:rPr>
                <w:rFonts w:eastAsia="Calibri"/>
              </w:rPr>
              <w:t>and Hussain</w:t>
            </w:r>
            <w:r>
              <w:rPr>
                <w:rFonts w:eastAsia="Calibri"/>
              </w:rPr>
              <w:t>,</w:t>
            </w:r>
            <w:r w:rsidRPr="00930D9C">
              <w:rPr>
                <w:rFonts w:eastAsia="Calibri"/>
              </w:rPr>
              <w:t xml:space="preserve"> 2017</w:t>
            </w:r>
            <w:r>
              <w:rPr>
                <w:rFonts w:eastAsia="Calibri"/>
              </w:rPr>
              <w:t xml:space="preserve"> </w:t>
            </w:r>
            <w:r w:rsidR="005249D1">
              <w:rPr>
                <w:rFonts w:eastAsia="Calibri"/>
              </w:rPr>
              <w:t>(1</w:t>
            </w:r>
            <w:r w:rsidR="00346FDB">
              <w:rPr>
                <w:rFonts w:eastAsia="Calibri"/>
              </w:rPr>
              <w:t>2</w:t>
            </w:r>
            <w:r w:rsidR="005249D1">
              <w:rPr>
                <w:rFonts w:eastAsia="Calibri"/>
              </w:rPr>
              <w:t>)</w:t>
            </w:r>
          </w:p>
        </w:tc>
        <w:tc>
          <w:tcPr>
            <w:tcW w:w="1800" w:type="dxa"/>
            <w:tcBorders>
              <w:left w:val="nil"/>
              <w:right w:val="nil"/>
            </w:tcBorders>
          </w:tcPr>
          <w:p w14:paraId="1D4CBEB6" w14:textId="77777777" w:rsidR="000F0AB0" w:rsidRPr="00930D9C" w:rsidRDefault="000F0AB0">
            <w:pPr>
              <w:rPr>
                <w:rFonts w:eastAsia="Calibri"/>
              </w:rPr>
            </w:pPr>
            <w:r w:rsidRPr="00930D9C">
              <w:rPr>
                <w:rFonts w:eastAsia="Calibri"/>
              </w:rPr>
              <w:t>Empirical (qualitative)</w:t>
            </w:r>
          </w:p>
        </w:tc>
        <w:tc>
          <w:tcPr>
            <w:tcW w:w="1185" w:type="dxa"/>
            <w:tcBorders>
              <w:left w:val="nil"/>
              <w:right w:val="nil"/>
            </w:tcBorders>
          </w:tcPr>
          <w:p w14:paraId="243D1373"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561FF99E" w14:textId="77777777" w:rsidR="000F0AB0" w:rsidRPr="00930D9C" w:rsidRDefault="000F0AB0">
            <w:pPr>
              <w:rPr>
                <w:rFonts w:eastAsia="Calibri"/>
              </w:rPr>
            </w:pPr>
            <w:r w:rsidRPr="00930D9C">
              <w:rPr>
                <w:rFonts w:eastAsia="Calibri"/>
              </w:rPr>
              <w:t>Factors identified as negatively impacting the job satisfaction of Aboriginal mental health workers include: difficulties integrating into the workplace due to lack of orientation; culturally specific work challenges, like setting personal and professional boundaries; professional differences and inequality when it comes to compensation, as well as reduced career options.</w:t>
            </w:r>
          </w:p>
        </w:tc>
      </w:tr>
      <w:tr w:rsidR="000F0AB0" w:rsidRPr="00930D9C" w14:paraId="254AEAF5" w14:textId="77777777" w:rsidTr="00443EEC">
        <w:tc>
          <w:tcPr>
            <w:tcW w:w="1980" w:type="dxa"/>
            <w:tcBorders>
              <w:left w:val="nil"/>
              <w:right w:val="nil"/>
            </w:tcBorders>
          </w:tcPr>
          <w:p w14:paraId="6753FF4D" w14:textId="3DD6E97A" w:rsidR="000F0AB0" w:rsidRPr="00930D9C" w:rsidRDefault="000F0AB0">
            <w:pPr>
              <w:rPr>
                <w:rFonts w:eastAsia="Calibri"/>
                <w:color w:val="000000"/>
              </w:rPr>
            </w:pPr>
            <w:r>
              <w:rPr>
                <w:rFonts w:eastAsia="Calibri"/>
                <w:color w:val="000000"/>
              </w:rPr>
              <w:t>d</w:t>
            </w:r>
            <w:r w:rsidRPr="00930D9C">
              <w:rPr>
                <w:rFonts w:eastAsia="Calibri"/>
                <w:color w:val="000000"/>
              </w:rPr>
              <w:t>e Souza</w:t>
            </w:r>
            <w:r>
              <w:rPr>
                <w:rFonts w:eastAsia="Calibri"/>
                <w:color w:val="000000"/>
              </w:rPr>
              <w:t xml:space="preserve"> et al., 2015 </w:t>
            </w:r>
            <w:r w:rsidR="005249D1">
              <w:rPr>
                <w:rFonts w:eastAsia="Calibri"/>
                <w:color w:val="000000"/>
              </w:rPr>
              <w:t>(35)</w:t>
            </w:r>
          </w:p>
        </w:tc>
        <w:tc>
          <w:tcPr>
            <w:tcW w:w="1800" w:type="dxa"/>
            <w:tcBorders>
              <w:left w:val="nil"/>
              <w:right w:val="nil"/>
            </w:tcBorders>
          </w:tcPr>
          <w:p w14:paraId="78B376ED" w14:textId="77777777" w:rsidR="000F0AB0" w:rsidRPr="00930D9C" w:rsidRDefault="000F0AB0">
            <w:pPr>
              <w:rPr>
                <w:rFonts w:eastAsia="Calibri"/>
              </w:rPr>
            </w:pPr>
            <w:r w:rsidRPr="00930D9C">
              <w:rPr>
                <w:rFonts w:eastAsia="Calibri"/>
              </w:rPr>
              <w:t>Empirical (qualitative)</w:t>
            </w:r>
          </w:p>
        </w:tc>
        <w:tc>
          <w:tcPr>
            <w:tcW w:w="1185" w:type="dxa"/>
            <w:tcBorders>
              <w:left w:val="nil"/>
              <w:right w:val="nil"/>
            </w:tcBorders>
          </w:tcPr>
          <w:p w14:paraId="17E66706" w14:textId="77777777" w:rsidR="000F0AB0" w:rsidRPr="00930D9C" w:rsidRDefault="000F0AB0">
            <w:pPr>
              <w:rPr>
                <w:rFonts w:eastAsia="Calibri"/>
              </w:rPr>
            </w:pPr>
            <w:r w:rsidRPr="00930D9C">
              <w:rPr>
                <w:rFonts w:eastAsia="Calibri"/>
              </w:rPr>
              <w:t>Brazil</w:t>
            </w:r>
          </w:p>
        </w:tc>
        <w:tc>
          <w:tcPr>
            <w:tcW w:w="8085" w:type="dxa"/>
            <w:tcBorders>
              <w:left w:val="nil"/>
              <w:right w:val="nil"/>
            </w:tcBorders>
          </w:tcPr>
          <w:p w14:paraId="7D0B0DA5" w14:textId="77777777" w:rsidR="000F0AB0" w:rsidRPr="00930D9C" w:rsidRDefault="000F0AB0">
            <w:pPr>
              <w:rPr>
                <w:rFonts w:eastAsia="Calibri"/>
              </w:rPr>
            </w:pPr>
            <w:r w:rsidRPr="00930D9C">
              <w:rPr>
                <w:rFonts w:eastAsia="Calibri"/>
              </w:rPr>
              <w:t>Community health agents play a key role in the identification of mental health needs, and this paper analyzed the perceptions of CHAs regarding mental health care. Authors identified the most frequent mental health care situations</w:t>
            </w:r>
          </w:p>
          <w:p w14:paraId="2C17632F" w14:textId="77777777" w:rsidR="000F0AB0" w:rsidRPr="00930D9C" w:rsidRDefault="000F0AB0">
            <w:pPr>
              <w:rPr>
                <w:rFonts w:eastAsia="Calibri"/>
              </w:rPr>
            </w:pPr>
            <w:r w:rsidRPr="00930D9C">
              <w:rPr>
                <w:rFonts w:eastAsia="Calibri"/>
              </w:rPr>
              <w:t>Strengths: living in the community in which they work; use of soft skills, such as establishing relationships with clients.</w:t>
            </w:r>
          </w:p>
          <w:p w14:paraId="1844DFD0" w14:textId="77777777" w:rsidR="000F0AB0" w:rsidRPr="00930D9C" w:rsidRDefault="000F0AB0">
            <w:pPr>
              <w:rPr>
                <w:rFonts w:eastAsia="Calibri"/>
              </w:rPr>
            </w:pPr>
            <w:r w:rsidRPr="00930D9C">
              <w:rPr>
                <w:rFonts w:eastAsia="Calibri"/>
              </w:rPr>
              <w:lastRenderedPageBreak/>
              <w:t xml:space="preserve">Difficulties in attending to mental health needs: living in the community in which they work is advantageous, but also presents challenges as it makes it hard for workers to maintain privacy; lack of training in mental health care; emotional burden of work. </w:t>
            </w:r>
          </w:p>
        </w:tc>
      </w:tr>
      <w:tr w:rsidR="000F0AB0" w:rsidRPr="00930D9C" w14:paraId="475A59F7" w14:textId="77777777" w:rsidTr="00443EEC">
        <w:tc>
          <w:tcPr>
            <w:tcW w:w="1980" w:type="dxa"/>
            <w:tcBorders>
              <w:left w:val="nil"/>
              <w:right w:val="nil"/>
            </w:tcBorders>
          </w:tcPr>
          <w:p w14:paraId="46247BEA" w14:textId="1EFCCD86" w:rsidR="000F0AB0" w:rsidRPr="00930D9C" w:rsidRDefault="000F0AB0">
            <w:pPr>
              <w:rPr>
                <w:rFonts w:eastAsia="Calibri"/>
                <w:color w:val="000000"/>
              </w:rPr>
            </w:pPr>
            <w:r w:rsidRPr="00930D9C">
              <w:rPr>
                <w:rFonts w:eastAsia="Calibri"/>
                <w:color w:val="000000"/>
              </w:rPr>
              <w:lastRenderedPageBreak/>
              <w:t>Dunstan</w:t>
            </w:r>
            <w:r>
              <w:rPr>
                <w:rFonts w:eastAsia="Calibri"/>
                <w:color w:val="000000"/>
              </w:rPr>
              <w:t xml:space="preserve"> et al., 2014 </w:t>
            </w:r>
            <w:r w:rsidR="005249D1">
              <w:rPr>
                <w:rFonts w:eastAsia="Calibri"/>
                <w:color w:val="000000"/>
              </w:rPr>
              <w:t>(39)</w:t>
            </w:r>
          </w:p>
        </w:tc>
        <w:tc>
          <w:tcPr>
            <w:tcW w:w="1800" w:type="dxa"/>
            <w:tcBorders>
              <w:left w:val="nil"/>
              <w:right w:val="nil"/>
            </w:tcBorders>
          </w:tcPr>
          <w:p w14:paraId="5FF2BDEC" w14:textId="77777777" w:rsidR="000F0AB0" w:rsidRPr="00930D9C" w:rsidRDefault="000F0AB0">
            <w:pPr>
              <w:rPr>
                <w:rFonts w:eastAsia="Calibri"/>
              </w:rPr>
            </w:pPr>
            <w:r w:rsidRPr="00930D9C">
              <w:rPr>
                <w:rFonts w:eastAsia="Calibri"/>
              </w:rPr>
              <w:t>Empirical (mixed methods)</w:t>
            </w:r>
          </w:p>
        </w:tc>
        <w:tc>
          <w:tcPr>
            <w:tcW w:w="1185" w:type="dxa"/>
            <w:tcBorders>
              <w:left w:val="nil"/>
              <w:right w:val="nil"/>
            </w:tcBorders>
          </w:tcPr>
          <w:p w14:paraId="7E6CFBC5"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3603B598" w14:textId="2D243729" w:rsidR="000F0AB0" w:rsidRPr="00930D9C" w:rsidRDefault="000F0AB0">
            <w:pPr>
              <w:rPr>
                <w:rFonts w:eastAsia="Calibri"/>
              </w:rPr>
            </w:pPr>
            <w:r w:rsidRPr="00930D9C">
              <w:rPr>
                <w:rFonts w:eastAsia="Calibri"/>
              </w:rPr>
              <w:t>Results show that rural personal helpers and mentors (</w:t>
            </w:r>
            <w:proofErr w:type="spellStart"/>
            <w:r w:rsidRPr="00930D9C">
              <w:rPr>
                <w:rFonts w:eastAsia="Calibri"/>
              </w:rPr>
              <w:t>PhaMs</w:t>
            </w:r>
            <w:proofErr w:type="spellEnd"/>
            <w:r w:rsidRPr="00930D9C">
              <w:rPr>
                <w:rFonts w:eastAsia="Calibri"/>
              </w:rPr>
              <w:t xml:space="preserve">) services are effective in treating mental health. Workforce shortages can be addressed through capacity-building. A few of the </w:t>
            </w:r>
            <w:proofErr w:type="spellStart"/>
            <w:r w:rsidRPr="00930D9C">
              <w:rPr>
                <w:rFonts w:eastAsia="Calibri"/>
              </w:rPr>
              <w:t>PhaMs</w:t>
            </w:r>
            <w:proofErr w:type="spellEnd"/>
            <w:r w:rsidRPr="00930D9C">
              <w:rPr>
                <w:rFonts w:eastAsia="Calibri"/>
              </w:rPr>
              <w:t xml:space="preserve"> staff identified as Indigenous, which allowed Indigenous clients to engage with Aboriginal staff. This enhanced participation of Aboriginal clients in mental health services.</w:t>
            </w:r>
          </w:p>
        </w:tc>
      </w:tr>
      <w:tr w:rsidR="000F0AB0" w:rsidRPr="00930D9C" w14:paraId="6320BD4F" w14:textId="77777777" w:rsidTr="00443EEC">
        <w:tc>
          <w:tcPr>
            <w:tcW w:w="1980" w:type="dxa"/>
            <w:tcBorders>
              <w:left w:val="nil"/>
              <w:right w:val="nil"/>
            </w:tcBorders>
          </w:tcPr>
          <w:p w14:paraId="703A3916" w14:textId="5D8175B9" w:rsidR="000F0AB0" w:rsidRPr="00930D9C" w:rsidRDefault="000F0AB0">
            <w:pPr>
              <w:rPr>
                <w:rFonts w:eastAsia="Calibri"/>
                <w:color w:val="000000"/>
              </w:rPr>
            </w:pPr>
            <w:r w:rsidRPr="00930D9C">
              <w:rPr>
                <w:rFonts w:eastAsia="Calibri"/>
                <w:color w:val="000000"/>
              </w:rPr>
              <w:t>Etter</w:t>
            </w:r>
            <w:r>
              <w:rPr>
                <w:rFonts w:eastAsia="Calibri"/>
                <w:color w:val="000000"/>
              </w:rPr>
              <w:t xml:space="preserve"> et al., 2019 </w:t>
            </w:r>
            <w:r w:rsidR="005249D1">
              <w:rPr>
                <w:rFonts w:eastAsia="Calibri"/>
                <w:color w:val="000000"/>
              </w:rPr>
              <w:t>(37)</w:t>
            </w:r>
          </w:p>
        </w:tc>
        <w:tc>
          <w:tcPr>
            <w:tcW w:w="1800" w:type="dxa"/>
            <w:tcBorders>
              <w:left w:val="nil"/>
              <w:right w:val="nil"/>
            </w:tcBorders>
          </w:tcPr>
          <w:p w14:paraId="79B80811" w14:textId="77777777" w:rsidR="000F0AB0" w:rsidRPr="00930D9C" w:rsidRDefault="000F0AB0">
            <w:pPr>
              <w:rPr>
                <w:rFonts w:eastAsia="Calibri"/>
              </w:rPr>
            </w:pPr>
            <w:r w:rsidRPr="00930D9C">
              <w:rPr>
                <w:rFonts w:eastAsia="Calibri"/>
              </w:rPr>
              <w:t>Implementation</w:t>
            </w:r>
          </w:p>
        </w:tc>
        <w:tc>
          <w:tcPr>
            <w:tcW w:w="1185" w:type="dxa"/>
            <w:tcBorders>
              <w:left w:val="nil"/>
              <w:right w:val="nil"/>
            </w:tcBorders>
          </w:tcPr>
          <w:p w14:paraId="241A69F7" w14:textId="77777777" w:rsidR="000F0AB0" w:rsidRPr="00930D9C" w:rsidRDefault="000F0AB0">
            <w:pPr>
              <w:rPr>
                <w:rFonts w:eastAsia="Calibri"/>
              </w:rPr>
            </w:pPr>
            <w:r w:rsidRPr="00930D9C">
              <w:rPr>
                <w:rFonts w:eastAsia="Calibri"/>
              </w:rPr>
              <w:t>Canada</w:t>
            </w:r>
          </w:p>
        </w:tc>
        <w:tc>
          <w:tcPr>
            <w:tcW w:w="8085" w:type="dxa"/>
            <w:tcBorders>
              <w:left w:val="nil"/>
              <w:right w:val="nil"/>
            </w:tcBorders>
          </w:tcPr>
          <w:p w14:paraId="245FF0E3" w14:textId="77777777" w:rsidR="000F0AB0" w:rsidRPr="00930D9C" w:rsidRDefault="000F0AB0">
            <w:pPr>
              <w:rPr>
                <w:rFonts w:eastAsia="Calibri"/>
              </w:rPr>
            </w:pPr>
            <w:r w:rsidRPr="00930D9C">
              <w:rPr>
                <w:rFonts w:eastAsia="Calibri"/>
              </w:rPr>
              <w:t xml:space="preserve">ACCESS OM framework was adapted for use within an Inuit community, which included the training of local AYWs to engage youth in social and cultural activities; provide mental health education; and guide youth to relevant services. </w:t>
            </w:r>
          </w:p>
          <w:p w14:paraId="0FA90B3C" w14:textId="77777777" w:rsidR="000F0AB0" w:rsidRPr="00930D9C" w:rsidRDefault="000F0AB0">
            <w:pPr>
              <w:rPr>
                <w:rFonts w:eastAsia="Calibri"/>
              </w:rPr>
            </w:pPr>
            <w:r w:rsidRPr="00930D9C">
              <w:rPr>
                <w:rFonts w:eastAsia="Calibri"/>
              </w:rPr>
              <w:t xml:space="preserve">Challenges: AYWs have to manage dual </w:t>
            </w:r>
            <w:proofErr w:type="gramStart"/>
            <w:r w:rsidRPr="00930D9C">
              <w:rPr>
                <w:rFonts w:eastAsia="Calibri"/>
              </w:rPr>
              <w:t>roles  (</w:t>
            </w:r>
            <w:proofErr w:type="gramEnd"/>
            <w:r w:rsidRPr="00930D9C">
              <w:rPr>
                <w:rFonts w:eastAsia="Calibri"/>
              </w:rPr>
              <w:t>e.g., maintaining confidentiality while also being trusted community members); due to the small size of the community, youth face difficulties in maintaining privacy when seeking help.</w:t>
            </w:r>
          </w:p>
        </w:tc>
      </w:tr>
      <w:tr w:rsidR="000F0AB0" w:rsidRPr="00930D9C" w14:paraId="71020A3B" w14:textId="77777777" w:rsidTr="00443EEC">
        <w:tc>
          <w:tcPr>
            <w:tcW w:w="1980" w:type="dxa"/>
            <w:tcBorders>
              <w:left w:val="nil"/>
              <w:right w:val="nil"/>
            </w:tcBorders>
          </w:tcPr>
          <w:p w14:paraId="7A0B6898" w14:textId="0C68EA6A" w:rsidR="000F0AB0" w:rsidRPr="00930D9C" w:rsidRDefault="000F0AB0">
            <w:pPr>
              <w:rPr>
                <w:rFonts w:eastAsia="Calibri"/>
              </w:rPr>
            </w:pPr>
            <w:r w:rsidRPr="00930D9C">
              <w:rPr>
                <w:rFonts w:eastAsia="Calibri"/>
              </w:rPr>
              <w:t>Harris</w:t>
            </w:r>
            <w:r>
              <w:rPr>
                <w:rFonts w:eastAsia="Calibri"/>
              </w:rPr>
              <w:t xml:space="preserve"> </w:t>
            </w:r>
            <w:r w:rsidRPr="00930D9C">
              <w:rPr>
                <w:rFonts w:eastAsia="Calibri"/>
              </w:rPr>
              <w:t xml:space="preserve">and </w:t>
            </w:r>
            <w:r>
              <w:rPr>
                <w:rFonts w:eastAsia="Calibri"/>
              </w:rPr>
              <w:t>R</w:t>
            </w:r>
            <w:r w:rsidRPr="00930D9C">
              <w:rPr>
                <w:rFonts w:eastAsia="Calibri"/>
              </w:rPr>
              <w:t xml:space="preserve">obinson, 2007 </w:t>
            </w:r>
            <w:r w:rsidR="005249D1">
              <w:rPr>
                <w:rFonts w:eastAsia="Calibri"/>
              </w:rPr>
              <w:t>(</w:t>
            </w:r>
            <w:r w:rsidR="00346FDB">
              <w:rPr>
                <w:rFonts w:eastAsia="Calibri"/>
              </w:rPr>
              <w:t>7</w:t>
            </w:r>
            <w:r w:rsidR="005249D1">
              <w:rPr>
                <w:rFonts w:eastAsia="Calibri"/>
              </w:rPr>
              <w:t>)</w:t>
            </w:r>
          </w:p>
        </w:tc>
        <w:tc>
          <w:tcPr>
            <w:tcW w:w="1800" w:type="dxa"/>
            <w:tcBorders>
              <w:left w:val="nil"/>
              <w:right w:val="nil"/>
            </w:tcBorders>
          </w:tcPr>
          <w:p w14:paraId="1F17E053" w14:textId="026CD563" w:rsidR="000F0AB0" w:rsidRPr="00930D9C" w:rsidRDefault="000F0AB0">
            <w:pPr>
              <w:rPr>
                <w:rFonts w:eastAsia="Calibri"/>
              </w:rPr>
            </w:pPr>
            <w:r w:rsidRPr="00930D9C">
              <w:rPr>
                <w:rFonts w:eastAsia="Calibri"/>
              </w:rPr>
              <w:t>Program evaluation</w:t>
            </w:r>
          </w:p>
        </w:tc>
        <w:tc>
          <w:tcPr>
            <w:tcW w:w="1185" w:type="dxa"/>
            <w:tcBorders>
              <w:left w:val="nil"/>
              <w:right w:val="nil"/>
            </w:tcBorders>
          </w:tcPr>
          <w:p w14:paraId="7205A3EB"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5D6E716B" w14:textId="77777777" w:rsidR="000F0AB0" w:rsidRPr="00930D9C" w:rsidRDefault="000F0AB0">
            <w:pPr>
              <w:rPr>
                <w:rFonts w:eastAsia="Calibri"/>
              </w:rPr>
            </w:pPr>
            <w:r w:rsidRPr="00930D9C">
              <w:rPr>
                <w:rFonts w:eastAsia="Calibri"/>
              </w:rPr>
              <w:t xml:space="preserve">An evaluation of the Aboriginal Mental Health Worker Program revealed  that the roles of Aboriginal mental health workers are not clearly articulated and require clarification. There is also tension between general practitioners, clinic managers, and AMHWs, who tend to be informally included in clinical work. </w:t>
            </w:r>
          </w:p>
        </w:tc>
      </w:tr>
      <w:tr w:rsidR="000F0AB0" w:rsidRPr="00930D9C" w14:paraId="0F5357E7" w14:textId="77777777" w:rsidTr="00443EEC">
        <w:tc>
          <w:tcPr>
            <w:tcW w:w="1980" w:type="dxa"/>
            <w:tcBorders>
              <w:left w:val="nil"/>
              <w:right w:val="nil"/>
            </w:tcBorders>
          </w:tcPr>
          <w:p w14:paraId="764F7D01" w14:textId="026809DA" w:rsidR="000F0AB0" w:rsidRPr="00930D9C" w:rsidRDefault="000F0AB0">
            <w:pPr>
              <w:rPr>
                <w:rFonts w:eastAsia="Calibri"/>
              </w:rPr>
            </w:pPr>
            <w:r w:rsidRPr="00930D9C">
              <w:rPr>
                <w:rFonts w:eastAsia="Calibri"/>
              </w:rPr>
              <w:t>Hinton</w:t>
            </w:r>
            <w:r>
              <w:rPr>
                <w:rFonts w:eastAsia="Calibri"/>
              </w:rPr>
              <w:t xml:space="preserve"> and Nagel, 2012</w:t>
            </w:r>
            <w:r w:rsidRPr="00930D9C">
              <w:rPr>
                <w:rFonts w:eastAsia="Calibri"/>
              </w:rPr>
              <w:t xml:space="preserve"> </w:t>
            </w:r>
            <w:r w:rsidR="005249D1">
              <w:rPr>
                <w:rFonts w:eastAsia="Calibri"/>
              </w:rPr>
              <w:t>(43)</w:t>
            </w:r>
          </w:p>
        </w:tc>
        <w:tc>
          <w:tcPr>
            <w:tcW w:w="1800" w:type="dxa"/>
            <w:tcBorders>
              <w:left w:val="nil"/>
              <w:right w:val="nil"/>
            </w:tcBorders>
          </w:tcPr>
          <w:p w14:paraId="39060203" w14:textId="0B7B1322" w:rsidR="000F0AB0" w:rsidRPr="00930D9C" w:rsidRDefault="000F0AB0">
            <w:pPr>
              <w:rPr>
                <w:rFonts w:eastAsia="Calibri"/>
                <w:highlight w:val="yellow"/>
              </w:rPr>
            </w:pPr>
            <w:r w:rsidRPr="00930D9C">
              <w:rPr>
                <w:rFonts w:eastAsia="Calibri"/>
              </w:rPr>
              <w:t>Empirical (quantitative</w:t>
            </w:r>
            <w:r>
              <w:rPr>
                <w:rFonts w:eastAsia="Calibri"/>
              </w:rPr>
              <w:t>)</w:t>
            </w:r>
            <w:r w:rsidRPr="00930D9C">
              <w:rPr>
                <w:rFonts w:eastAsia="Calibri"/>
              </w:rPr>
              <w:t xml:space="preserve">; </w:t>
            </w:r>
            <w:r w:rsidR="00443EEC">
              <w:rPr>
                <w:rFonts w:eastAsia="Calibri"/>
              </w:rPr>
              <w:t>P</w:t>
            </w:r>
            <w:r w:rsidRPr="00930D9C">
              <w:rPr>
                <w:rFonts w:eastAsia="Calibri"/>
              </w:rPr>
              <w:t>rogram evaluation</w:t>
            </w:r>
          </w:p>
        </w:tc>
        <w:tc>
          <w:tcPr>
            <w:tcW w:w="1185" w:type="dxa"/>
            <w:tcBorders>
              <w:left w:val="nil"/>
              <w:right w:val="nil"/>
            </w:tcBorders>
          </w:tcPr>
          <w:p w14:paraId="3687ECC8"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17937745" w14:textId="77777777" w:rsidR="000F0AB0" w:rsidRPr="00930D9C" w:rsidRDefault="000F0AB0">
            <w:pPr>
              <w:rPr>
                <w:rFonts w:eastAsia="Calibri"/>
              </w:rPr>
            </w:pPr>
            <w:r w:rsidRPr="00930D9C">
              <w:rPr>
                <w:rFonts w:eastAsia="Calibri"/>
              </w:rPr>
              <w:t xml:space="preserve">The Yarning About Mental Health training program, which provides culturally appropriate strategies for understanding and promoting positive mental health, was found to increase knowledge related to Indigenous mental health in the alcohol and other drug workforce. </w:t>
            </w:r>
          </w:p>
        </w:tc>
      </w:tr>
      <w:tr w:rsidR="000F0AB0" w:rsidRPr="00930D9C" w14:paraId="71CF128D" w14:textId="77777777" w:rsidTr="00443EEC">
        <w:tc>
          <w:tcPr>
            <w:tcW w:w="1980" w:type="dxa"/>
            <w:tcBorders>
              <w:left w:val="nil"/>
              <w:right w:val="nil"/>
            </w:tcBorders>
          </w:tcPr>
          <w:p w14:paraId="0B5FF77D" w14:textId="1D457DB0" w:rsidR="000F0AB0" w:rsidRPr="00930D9C" w:rsidRDefault="000F0AB0">
            <w:r w:rsidRPr="00930D9C">
              <w:rPr>
                <w:rFonts w:eastAsia="Calibri"/>
                <w:color w:val="000000"/>
              </w:rPr>
              <w:t>Lauw</w:t>
            </w:r>
            <w:r>
              <w:rPr>
                <w:rFonts w:eastAsia="Calibri"/>
                <w:color w:val="000000"/>
              </w:rPr>
              <w:t xml:space="preserve"> et al., 201</w:t>
            </w:r>
            <w:r w:rsidR="00F60FBC">
              <w:rPr>
                <w:rFonts w:eastAsia="Calibri"/>
                <w:color w:val="000000"/>
              </w:rPr>
              <w:t>3</w:t>
            </w:r>
            <w:r>
              <w:rPr>
                <w:rFonts w:eastAsia="Calibri"/>
                <w:color w:val="000000"/>
              </w:rPr>
              <w:t xml:space="preserve"> </w:t>
            </w:r>
            <w:r w:rsidR="005249D1">
              <w:rPr>
                <w:rFonts w:eastAsia="Calibri"/>
                <w:color w:val="000000"/>
              </w:rPr>
              <w:t>(38)</w:t>
            </w:r>
          </w:p>
        </w:tc>
        <w:tc>
          <w:tcPr>
            <w:tcW w:w="1800" w:type="dxa"/>
            <w:tcBorders>
              <w:left w:val="nil"/>
              <w:right w:val="nil"/>
            </w:tcBorders>
          </w:tcPr>
          <w:p w14:paraId="2EBBF0FF" w14:textId="77777777" w:rsidR="000F0AB0" w:rsidRPr="00930D9C" w:rsidRDefault="000F0AB0">
            <w:pPr>
              <w:rPr>
                <w:rFonts w:eastAsia="Calibri"/>
              </w:rPr>
            </w:pPr>
            <w:r w:rsidRPr="00930D9C">
              <w:rPr>
                <w:rFonts w:eastAsia="Calibri"/>
              </w:rPr>
              <w:t>Empirical (qualitative)</w:t>
            </w:r>
          </w:p>
        </w:tc>
        <w:tc>
          <w:tcPr>
            <w:tcW w:w="1185" w:type="dxa"/>
            <w:tcBorders>
              <w:left w:val="nil"/>
              <w:right w:val="nil"/>
            </w:tcBorders>
          </w:tcPr>
          <w:p w14:paraId="7B191FA7"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0DE052A4" w14:textId="77777777" w:rsidR="000F0AB0" w:rsidRPr="00930D9C" w:rsidRDefault="000F0AB0">
            <w:pPr>
              <w:rPr>
                <w:rFonts w:eastAsia="Calibri"/>
              </w:rPr>
            </w:pPr>
            <w:r w:rsidRPr="00930D9C">
              <w:rPr>
                <w:rFonts w:eastAsia="Calibri"/>
              </w:rPr>
              <w:t>Attributed the success of the Certificate IV qualification course to the following: recognition of personal traumas and abuse in participants; providing the opportunity for participants to touch on prior educational experiences; and restructuring the course to include content on the post-colonization history of Aboriginal peoples.</w:t>
            </w:r>
          </w:p>
        </w:tc>
      </w:tr>
      <w:tr w:rsidR="000F0AB0" w:rsidRPr="00930D9C" w14:paraId="360DC471" w14:textId="77777777" w:rsidTr="00443EEC">
        <w:tc>
          <w:tcPr>
            <w:tcW w:w="1980" w:type="dxa"/>
            <w:tcBorders>
              <w:left w:val="nil"/>
              <w:right w:val="nil"/>
            </w:tcBorders>
          </w:tcPr>
          <w:p w14:paraId="3007952C" w14:textId="74AE20B9" w:rsidR="000F0AB0" w:rsidRPr="00930D9C" w:rsidRDefault="000F0AB0">
            <w:pPr>
              <w:rPr>
                <w:rFonts w:eastAsia="Calibri"/>
              </w:rPr>
            </w:pPr>
            <w:r w:rsidRPr="00930D9C">
              <w:rPr>
                <w:rFonts w:eastAsia="Calibri"/>
              </w:rPr>
              <w:t>McGuire, 1999</w:t>
            </w:r>
            <w:r>
              <w:rPr>
                <w:rFonts w:eastAsia="Calibri"/>
              </w:rPr>
              <w:t xml:space="preserve"> </w:t>
            </w:r>
            <w:r w:rsidR="005249D1">
              <w:rPr>
                <w:rFonts w:eastAsia="Calibri"/>
              </w:rPr>
              <w:t>(1</w:t>
            </w:r>
            <w:r w:rsidR="00346FDB">
              <w:rPr>
                <w:rFonts w:eastAsia="Calibri"/>
              </w:rPr>
              <w:t>3</w:t>
            </w:r>
            <w:r w:rsidR="005249D1">
              <w:rPr>
                <w:rFonts w:eastAsia="Calibri"/>
              </w:rPr>
              <w:t>)</w:t>
            </w:r>
          </w:p>
        </w:tc>
        <w:tc>
          <w:tcPr>
            <w:tcW w:w="1800" w:type="dxa"/>
            <w:tcBorders>
              <w:left w:val="nil"/>
              <w:right w:val="nil"/>
            </w:tcBorders>
          </w:tcPr>
          <w:p w14:paraId="4D1184AB" w14:textId="77777777" w:rsidR="000F0AB0" w:rsidRPr="00930D9C" w:rsidRDefault="000F0AB0">
            <w:pPr>
              <w:rPr>
                <w:rFonts w:eastAsia="Calibri"/>
              </w:rPr>
            </w:pPr>
            <w:r w:rsidRPr="00930D9C">
              <w:rPr>
                <w:rFonts w:eastAsia="Calibri"/>
              </w:rPr>
              <w:t>Theoretical</w:t>
            </w:r>
          </w:p>
        </w:tc>
        <w:tc>
          <w:tcPr>
            <w:tcW w:w="1185" w:type="dxa"/>
            <w:tcBorders>
              <w:left w:val="nil"/>
              <w:right w:val="nil"/>
            </w:tcBorders>
          </w:tcPr>
          <w:p w14:paraId="341B844A"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1EAEE181" w14:textId="77777777" w:rsidR="000F0AB0" w:rsidRPr="00930D9C" w:rsidRDefault="000F0AB0">
            <w:pPr>
              <w:rPr>
                <w:rFonts w:eastAsia="Calibri"/>
              </w:rPr>
            </w:pPr>
            <w:r w:rsidRPr="00930D9C">
              <w:rPr>
                <w:rFonts w:eastAsia="Calibri"/>
              </w:rPr>
              <w:t>Outlined the development of the Certificate IV in Aboriginal Social and Emotional Wellbeing from the perspective of an Aboriginal mental health worker. Challenges faced by AMHWs include: the tendency to take their work home and lack of debriefing opportunities with others who understand the nature of this work.</w:t>
            </w:r>
          </w:p>
        </w:tc>
      </w:tr>
      <w:tr w:rsidR="000F0AB0" w:rsidRPr="00930D9C" w14:paraId="38BBFC0A" w14:textId="77777777" w:rsidTr="00443EEC">
        <w:tc>
          <w:tcPr>
            <w:tcW w:w="1980" w:type="dxa"/>
            <w:tcBorders>
              <w:left w:val="nil"/>
              <w:right w:val="nil"/>
            </w:tcBorders>
          </w:tcPr>
          <w:p w14:paraId="4935EDD4" w14:textId="0D5632AC" w:rsidR="000F0AB0" w:rsidRPr="00930D9C" w:rsidRDefault="000F0AB0">
            <w:pPr>
              <w:rPr>
                <w:rFonts w:eastAsia="Calibri"/>
              </w:rPr>
            </w:pPr>
            <w:r w:rsidRPr="00930D9C">
              <w:rPr>
                <w:rFonts w:eastAsia="Calibri"/>
              </w:rPr>
              <w:lastRenderedPageBreak/>
              <w:t>McKenna</w:t>
            </w:r>
            <w:r w:rsidR="00F60FBC">
              <w:rPr>
                <w:rFonts w:eastAsia="Calibri"/>
              </w:rPr>
              <w:t xml:space="preserve"> et al., 2015 </w:t>
            </w:r>
            <w:r w:rsidR="005249D1">
              <w:rPr>
                <w:rFonts w:eastAsia="Calibri"/>
              </w:rPr>
              <w:t>(</w:t>
            </w:r>
            <w:r w:rsidR="00346FDB">
              <w:rPr>
                <w:rFonts w:eastAsia="Calibri"/>
              </w:rPr>
              <w:t>8</w:t>
            </w:r>
            <w:r w:rsidR="005249D1">
              <w:rPr>
                <w:rFonts w:eastAsia="Calibri"/>
              </w:rPr>
              <w:t>)</w:t>
            </w:r>
          </w:p>
        </w:tc>
        <w:tc>
          <w:tcPr>
            <w:tcW w:w="1800" w:type="dxa"/>
            <w:tcBorders>
              <w:left w:val="nil"/>
              <w:right w:val="nil"/>
            </w:tcBorders>
          </w:tcPr>
          <w:p w14:paraId="39BF4BDE" w14:textId="77777777" w:rsidR="000F0AB0" w:rsidRPr="00930D9C" w:rsidRDefault="000F0AB0">
            <w:pPr>
              <w:rPr>
                <w:rFonts w:eastAsia="Calibri"/>
              </w:rPr>
            </w:pPr>
            <w:r w:rsidRPr="00930D9C">
              <w:rPr>
                <w:rFonts w:eastAsia="Calibri"/>
              </w:rPr>
              <w:t>Empirical (mixed methods); case study.</w:t>
            </w:r>
          </w:p>
        </w:tc>
        <w:tc>
          <w:tcPr>
            <w:tcW w:w="1185" w:type="dxa"/>
            <w:tcBorders>
              <w:left w:val="nil"/>
              <w:right w:val="nil"/>
            </w:tcBorders>
          </w:tcPr>
          <w:p w14:paraId="7ACE534B"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585E67AB" w14:textId="77777777" w:rsidR="000F0AB0" w:rsidRPr="00930D9C" w:rsidRDefault="000F0AB0">
            <w:pPr>
              <w:rPr>
                <w:rFonts w:eastAsia="Calibri"/>
              </w:rPr>
            </w:pPr>
            <w:r w:rsidRPr="00930D9C">
              <w:rPr>
                <w:rFonts w:eastAsia="Calibri"/>
              </w:rPr>
              <w:t>Aboriginal mental health liaison officers positively influenced the lives of Aboriginal peoples who accessed mental health services, and improved their engagement with other health professionals. Qualitative findings showed that the AMHLO role is multifaceted and facilitates: access to services; understanding among patients and clinicians; discharge pathways and referrals; and continuity of care, as engagement was maintained even after formal discharge.</w:t>
            </w:r>
          </w:p>
        </w:tc>
      </w:tr>
      <w:tr w:rsidR="000F0AB0" w:rsidRPr="00930D9C" w14:paraId="70FC53B6" w14:textId="77777777" w:rsidTr="00443EEC">
        <w:tc>
          <w:tcPr>
            <w:tcW w:w="1980" w:type="dxa"/>
            <w:tcBorders>
              <w:left w:val="nil"/>
              <w:right w:val="nil"/>
            </w:tcBorders>
          </w:tcPr>
          <w:p w14:paraId="1EC0DB36" w14:textId="7D8524A1" w:rsidR="000F0AB0" w:rsidRPr="00930D9C" w:rsidRDefault="000F0AB0">
            <w:pPr>
              <w:rPr>
                <w:rFonts w:eastAsia="Calibri"/>
              </w:rPr>
            </w:pPr>
            <w:r w:rsidRPr="00930D9C">
              <w:rPr>
                <w:rFonts w:eastAsia="Calibri"/>
              </w:rPr>
              <w:t>Mushin</w:t>
            </w:r>
            <w:r w:rsidR="00F60FBC">
              <w:rPr>
                <w:rFonts w:eastAsia="Calibri"/>
              </w:rPr>
              <w:t xml:space="preserve"> et al</w:t>
            </w:r>
            <w:r w:rsidRPr="00930D9C">
              <w:rPr>
                <w:rFonts w:eastAsia="Calibri"/>
              </w:rPr>
              <w:t>,</w:t>
            </w:r>
            <w:r w:rsidR="00F60FBC">
              <w:rPr>
                <w:rFonts w:eastAsia="Calibri"/>
              </w:rPr>
              <w:t xml:space="preserve"> 2003</w:t>
            </w:r>
            <w:r w:rsidRPr="00930D9C">
              <w:rPr>
                <w:rFonts w:eastAsia="Calibri"/>
              </w:rPr>
              <w:t xml:space="preserve"> </w:t>
            </w:r>
            <w:r w:rsidR="005249D1">
              <w:rPr>
                <w:rFonts w:eastAsia="Calibri"/>
              </w:rPr>
              <w:t>(34)</w:t>
            </w:r>
          </w:p>
        </w:tc>
        <w:tc>
          <w:tcPr>
            <w:tcW w:w="1800" w:type="dxa"/>
            <w:tcBorders>
              <w:left w:val="nil"/>
              <w:right w:val="nil"/>
            </w:tcBorders>
          </w:tcPr>
          <w:p w14:paraId="734B62DB" w14:textId="77777777" w:rsidR="000F0AB0" w:rsidRPr="00930D9C" w:rsidRDefault="000F0AB0">
            <w:pPr>
              <w:rPr>
                <w:rFonts w:eastAsia="Calibri"/>
              </w:rPr>
            </w:pPr>
            <w:r w:rsidRPr="00930D9C">
              <w:rPr>
                <w:rFonts w:eastAsia="Calibri"/>
              </w:rPr>
              <w:t>Theoretical</w:t>
            </w:r>
          </w:p>
        </w:tc>
        <w:tc>
          <w:tcPr>
            <w:tcW w:w="1185" w:type="dxa"/>
            <w:tcBorders>
              <w:left w:val="nil"/>
              <w:right w:val="nil"/>
            </w:tcBorders>
          </w:tcPr>
          <w:p w14:paraId="2E1C5330"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0FB01402" w14:textId="77777777" w:rsidR="000F0AB0" w:rsidRPr="00930D9C" w:rsidRDefault="000F0AB0">
            <w:pPr>
              <w:rPr>
                <w:rFonts w:eastAsia="Calibri"/>
              </w:rPr>
            </w:pPr>
            <w:r w:rsidRPr="00930D9C">
              <w:rPr>
                <w:rFonts w:eastAsia="Calibri"/>
              </w:rPr>
              <w:t xml:space="preserve">This article touches on the development of the Koori Kids Mental Health Network, how mainstream and Indigenous workers collaborate to provide culturally appropriate services, and the roles of workers. </w:t>
            </w:r>
          </w:p>
        </w:tc>
      </w:tr>
      <w:tr w:rsidR="000F0AB0" w:rsidRPr="00930D9C" w14:paraId="4E07518D" w14:textId="77777777" w:rsidTr="00443EEC">
        <w:tc>
          <w:tcPr>
            <w:tcW w:w="1980" w:type="dxa"/>
            <w:tcBorders>
              <w:left w:val="nil"/>
              <w:right w:val="nil"/>
            </w:tcBorders>
          </w:tcPr>
          <w:p w14:paraId="1B2455CB" w14:textId="0342626E" w:rsidR="000F0AB0" w:rsidRPr="00930D9C" w:rsidRDefault="000F0AB0">
            <w:pPr>
              <w:rPr>
                <w:rFonts w:eastAsia="Calibri"/>
                <w:color w:val="000000"/>
              </w:rPr>
            </w:pPr>
            <w:r w:rsidRPr="00930D9C">
              <w:rPr>
                <w:rFonts w:eastAsia="Calibri"/>
                <w:color w:val="000000"/>
              </w:rPr>
              <w:t>Nagel</w:t>
            </w:r>
            <w:r w:rsidR="00F60FBC">
              <w:rPr>
                <w:rFonts w:eastAsia="Calibri"/>
                <w:color w:val="000000"/>
              </w:rPr>
              <w:t xml:space="preserve"> </w:t>
            </w:r>
            <w:r w:rsidRPr="00930D9C">
              <w:rPr>
                <w:rFonts w:eastAsia="Calibri"/>
                <w:color w:val="000000"/>
              </w:rPr>
              <w:t>and Thompson,</w:t>
            </w:r>
            <w:r w:rsidR="00F60FBC">
              <w:rPr>
                <w:rFonts w:eastAsia="Calibri"/>
                <w:color w:val="000000"/>
              </w:rPr>
              <w:t xml:space="preserve"> </w:t>
            </w:r>
            <w:r w:rsidRPr="00930D9C">
              <w:rPr>
                <w:rFonts w:eastAsia="Calibri"/>
                <w:color w:val="000000"/>
              </w:rPr>
              <w:t xml:space="preserve">2006 </w:t>
            </w:r>
            <w:r w:rsidR="005249D1">
              <w:rPr>
                <w:rFonts w:eastAsia="Calibri"/>
                <w:color w:val="000000"/>
              </w:rPr>
              <w:t>(30)</w:t>
            </w:r>
          </w:p>
        </w:tc>
        <w:tc>
          <w:tcPr>
            <w:tcW w:w="1800" w:type="dxa"/>
            <w:tcBorders>
              <w:left w:val="nil"/>
              <w:right w:val="nil"/>
            </w:tcBorders>
          </w:tcPr>
          <w:p w14:paraId="71F6EA75" w14:textId="77777777" w:rsidR="000F0AB0" w:rsidRPr="00930D9C" w:rsidRDefault="000F0AB0">
            <w:pPr>
              <w:rPr>
                <w:rFonts w:eastAsia="Calibri"/>
              </w:rPr>
            </w:pPr>
            <w:r w:rsidRPr="00930D9C">
              <w:rPr>
                <w:rFonts w:eastAsia="Calibri"/>
              </w:rPr>
              <w:t>Empirical (quantitative)</w:t>
            </w:r>
          </w:p>
        </w:tc>
        <w:tc>
          <w:tcPr>
            <w:tcW w:w="1185" w:type="dxa"/>
            <w:tcBorders>
              <w:left w:val="nil"/>
              <w:right w:val="nil"/>
            </w:tcBorders>
          </w:tcPr>
          <w:p w14:paraId="288D786D"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5651B30E" w14:textId="77777777" w:rsidR="000F0AB0" w:rsidRPr="00930D9C" w:rsidRDefault="000F0AB0">
            <w:pPr>
              <w:rPr>
                <w:rFonts w:eastAsia="Calibri"/>
              </w:rPr>
            </w:pPr>
            <w:r w:rsidRPr="00930D9C">
              <w:rPr>
                <w:rFonts w:eastAsia="Calibri"/>
              </w:rPr>
              <w:t xml:space="preserve">Changes to service delivery for Indigenous peoples were introduced and AMHWs were hired for the first time. These individuals would work in partnership with a nurse, registrar, and part-time psychiatrist and responsibilities include: providing consultancy services to clinical staff; interpreting Aboriginal terms of reference; supporting assessment; acting as cultural links between patients, families, and service providers; and liaising with other services. </w:t>
            </w:r>
          </w:p>
          <w:p w14:paraId="174F088A" w14:textId="77777777" w:rsidR="000F0AB0" w:rsidRPr="00930D9C" w:rsidRDefault="000F0AB0">
            <w:pPr>
              <w:rPr>
                <w:rFonts w:eastAsia="Calibri"/>
              </w:rPr>
            </w:pPr>
            <w:r w:rsidRPr="00930D9C">
              <w:rPr>
                <w:rFonts w:eastAsia="Calibri"/>
              </w:rPr>
              <w:t>The study showed an increase in the number of patients admitted, which was thought to be due to: an increase in population; more awareness of mental illness in the community; more cases of mental illness; and the hospital becoming more culturally responsive. However, the high readmission rate implied that services still need to be enhanced.</w:t>
            </w:r>
          </w:p>
        </w:tc>
      </w:tr>
      <w:tr w:rsidR="000F0AB0" w:rsidRPr="00930D9C" w14:paraId="3AFB88DA" w14:textId="77777777" w:rsidTr="00443EEC">
        <w:tc>
          <w:tcPr>
            <w:tcW w:w="1980" w:type="dxa"/>
            <w:tcBorders>
              <w:left w:val="nil"/>
              <w:right w:val="nil"/>
            </w:tcBorders>
          </w:tcPr>
          <w:p w14:paraId="09D069A4" w14:textId="6DF7A382" w:rsidR="000F0AB0" w:rsidRPr="00930D9C" w:rsidRDefault="00F60FBC">
            <w:pPr>
              <w:rPr>
                <w:rFonts w:eastAsia="Calibri"/>
              </w:rPr>
            </w:pPr>
            <w:r w:rsidRPr="00930D9C">
              <w:rPr>
                <w:rFonts w:eastAsia="Calibri"/>
                <w:color w:val="000000"/>
              </w:rPr>
              <w:t>Nagel</w:t>
            </w:r>
            <w:r>
              <w:rPr>
                <w:rFonts w:eastAsia="Calibri"/>
                <w:color w:val="000000"/>
              </w:rPr>
              <w:t xml:space="preserve"> </w:t>
            </w:r>
            <w:r w:rsidRPr="00930D9C">
              <w:rPr>
                <w:rFonts w:eastAsia="Calibri"/>
                <w:color w:val="000000"/>
              </w:rPr>
              <w:t>and Thompson,</w:t>
            </w:r>
            <w:r>
              <w:rPr>
                <w:rFonts w:eastAsia="Calibri"/>
                <w:color w:val="000000"/>
              </w:rPr>
              <w:t xml:space="preserve"> </w:t>
            </w:r>
            <w:r w:rsidRPr="00930D9C">
              <w:rPr>
                <w:rFonts w:eastAsia="Calibri"/>
                <w:color w:val="000000"/>
              </w:rPr>
              <w:t>20</w:t>
            </w:r>
            <w:r>
              <w:rPr>
                <w:rFonts w:eastAsia="Calibri"/>
                <w:color w:val="000000"/>
              </w:rPr>
              <w:t xml:space="preserve">10 </w:t>
            </w:r>
            <w:r w:rsidR="005249D1">
              <w:rPr>
                <w:rFonts w:eastAsia="Calibri"/>
                <w:color w:val="000000"/>
              </w:rPr>
              <w:t>(42)</w:t>
            </w:r>
          </w:p>
        </w:tc>
        <w:tc>
          <w:tcPr>
            <w:tcW w:w="1800" w:type="dxa"/>
            <w:tcBorders>
              <w:left w:val="nil"/>
              <w:right w:val="nil"/>
            </w:tcBorders>
          </w:tcPr>
          <w:p w14:paraId="6700C123" w14:textId="77777777" w:rsidR="000F0AB0" w:rsidRPr="00930D9C" w:rsidRDefault="000F0AB0">
            <w:pPr>
              <w:rPr>
                <w:rFonts w:eastAsia="Calibri"/>
              </w:rPr>
            </w:pPr>
            <w:r w:rsidRPr="00930D9C">
              <w:rPr>
                <w:rFonts w:eastAsia="Calibri"/>
              </w:rPr>
              <w:t>Empirical (mixed methods)</w:t>
            </w:r>
          </w:p>
        </w:tc>
        <w:tc>
          <w:tcPr>
            <w:tcW w:w="1185" w:type="dxa"/>
            <w:tcBorders>
              <w:left w:val="nil"/>
              <w:right w:val="nil"/>
            </w:tcBorders>
          </w:tcPr>
          <w:p w14:paraId="22FE582C"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12895E83" w14:textId="77777777" w:rsidR="000F0AB0" w:rsidRPr="00930D9C" w:rsidRDefault="000F0AB0">
            <w:pPr>
              <w:rPr>
                <w:rFonts w:eastAsia="Calibri"/>
              </w:rPr>
            </w:pPr>
            <w:r w:rsidRPr="00930D9C">
              <w:rPr>
                <w:rFonts w:eastAsia="Calibri"/>
              </w:rPr>
              <w:t>Perspectives of AMHWs were gathered to develop an intervention for Indigenous peoples facing mental health challenges. The intervention was tested in a randomized controlled trial with Indigenous clients; findings show that a stronger focus on the families of clients may support mental health treatment and lead to improved outcomes.</w:t>
            </w:r>
          </w:p>
        </w:tc>
      </w:tr>
      <w:tr w:rsidR="000F0AB0" w:rsidRPr="00930D9C" w14:paraId="351EF954" w14:textId="77777777" w:rsidTr="00443EEC">
        <w:tc>
          <w:tcPr>
            <w:tcW w:w="1980" w:type="dxa"/>
            <w:tcBorders>
              <w:left w:val="nil"/>
              <w:right w:val="nil"/>
            </w:tcBorders>
          </w:tcPr>
          <w:p w14:paraId="5EBDF50D" w14:textId="31D82738" w:rsidR="000F0AB0" w:rsidRPr="00930D9C" w:rsidRDefault="000F0AB0">
            <w:pPr>
              <w:rPr>
                <w:rFonts w:eastAsia="Calibri"/>
              </w:rPr>
            </w:pPr>
            <w:r w:rsidRPr="00930D9C">
              <w:rPr>
                <w:rFonts w:eastAsia="Calibri"/>
              </w:rPr>
              <w:t xml:space="preserve">Nagel, Thompson, </w:t>
            </w:r>
            <w:r w:rsidR="00F60FBC">
              <w:rPr>
                <w:rFonts w:eastAsia="Calibri"/>
              </w:rPr>
              <w:t xml:space="preserve"> and </w:t>
            </w:r>
            <w:r w:rsidRPr="00930D9C">
              <w:rPr>
                <w:rFonts w:eastAsia="Calibri"/>
              </w:rPr>
              <w:t>Spencer</w:t>
            </w:r>
            <w:r w:rsidR="00F60FBC">
              <w:rPr>
                <w:rFonts w:eastAsia="Calibri"/>
              </w:rPr>
              <w:t xml:space="preserve">, </w:t>
            </w:r>
            <w:r w:rsidRPr="00930D9C">
              <w:rPr>
                <w:rFonts w:eastAsia="Calibri"/>
              </w:rPr>
              <w:t>2009</w:t>
            </w:r>
            <w:r w:rsidR="00F60FBC">
              <w:rPr>
                <w:rFonts w:eastAsia="Calibri"/>
              </w:rPr>
              <w:t xml:space="preserve"> </w:t>
            </w:r>
            <w:r w:rsidR="005249D1">
              <w:rPr>
                <w:rFonts w:eastAsia="Calibri"/>
              </w:rPr>
              <w:t>(47)</w:t>
            </w:r>
          </w:p>
        </w:tc>
        <w:tc>
          <w:tcPr>
            <w:tcW w:w="1800" w:type="dxa"/>
            <w:tcBorders>
              <w:left w:val="nil"/>
              <w:right w:val="nil"/>
            </w:tcBorders>
          </w:tcPr>
          <w:p w14:paraId="0F18903F" w14:textId="0B0CAA1B" w:rsidR="000F0AB0" w:rsidRPr="00930D9C" w:rsidRDefault="000F0AB0">
            <w:pPr>
              <w:rPr>
                <w:rFonts w:eastAsia="Calibri"/>
              </w:rPr>
            </w:pPr>
            <w:r w:rsidRPr="00930D9C">
              <w:rPr>
                <w:rFonts w:eastAsia="Calibri"/>
              </w:rPr>
              <w:t xml:space="preserve">Empirical (quantitative)Program evaluation. </w:t>
            </w:r>
          </w:p>
        </w:tc>
        <w:tc>
          <w:tcPr>
            <w:tcW w:w="1185" w:type="dxa"/>
            <w:tcBorders>
              <w:left w:val="nil"/>
              <w:right w:val="nil"/>
            </w:tcBorders>
          </w:tcPr>
          <w:p w14:paraId="3C626A79"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269B7688" w14:textId="77777777" w:rsidR="000F0AB0" w:rsidRPr="00930D9C" w:rsidRDefault="000F0AB0">
            <w:pPr>
              <w:rPr>
                <w:rFonts w:eastAsia="Calibri"/>
              </w:rPr>
            </w:pPr>
            <w:r w:rsidRPr="00930D9C">
              <w:rPr>
                <w:rFonts w:eastAsia="Calibri"/>
              </w:rPr>
              <w:t xml:space="preserve">Health care professionals were trained in mental health assessment methods designed for Aboriginal clients. The training was found to be well-received and improved both the knowledge and confidence of these professionals in assessing the mental health needs of clients and providing appropriate courses of treatment. </w:t>
            </w:r>
          </w:p>
        </w:tc>
      </w:tr>
      <w:tr w:rsidR="000F0AB0" w:rsidRPr="00930D9C" w14:paraId="10AC9CB0" w14:textId="77777777" w:rsidTr="00443EEC">
        <w:tc>
          <w:tcPr>
            <w:tcW w:w="1980" w:type="dxa"/>
            <w:tcBorders>
              <w:left w:val="nil"/>
              <w:right w:val="nil"/>
            </w:tcBorders>
          </w:tcPr>
          <w:p w14:paraId="004FCEA8" w14:textId="3A5944FC" w:rsidR="000F0AB0" w:rsidRPr="00930D9C" w:rsidRDefault="000F0AB0">
            <w:pPr>
              <w:rPr>
                <w:rFonts w:eastAsia="Calibri"/>
                <w:color w:val="000000"/>
              </w:rPr>
            </w:pPr>
            <w:r w:rsidRPr="00930D9C">
              <w:rPr>
                <w:rFonts w:eastAsia="Calibri"/>
                <w:color w:val="000000"/>
              </w:rPr>
              <w:t>O</w:t>
            </w:r>
            <w:r>
              <w:rPr>
                <w:rFonts w:eastAsia="Calibri"/>
                <w:color w:val="000000"/>
              </w:rPr>
              <w:t>’</w:t>
            </w:r>
            <w:r w:rsidRPr="00930D9C">
              <w:rPr>
                <w:rFonts w:eastAsia="Calibri"/>
                <w:color w:val="000000"/>
              </w:rPr>
              <w:t>Keefe</w:t>
            </w:r>
            <w:r w:rsidR="00F60FBC">
              <w:rPr>
                <w:rFonts w:eastAsia="Calibri"/>
                <w:color w:val="000000"/>
              </w:rPr>
              <w:t xml:space="preserve"> et al., 2021 </w:t>
            </w:r>
            <w:r w:rsidR="005249D1">
              <w:rPr>
                <w:rFonts w:eastAsia="Calibri"/>
                <w:color w:val="000000"/>
              </w:rPr>
              <w:t>(1</w:t>
            </w:r>
            <w:r w:rsidR="00346FDB">
              <w:rPr>
                <w:rFonts w:eastAsia="Calibri"/>
                <w:color w:val="000000"/>
              </w:rPr>
              <w:t>1</w:t>
            </w:r>
            <w:r w:rsidR="005249D1">
              <w:rPr>
                <w:rFonts w:eastAsia="Calibri"/>
                <w:color w:val="000000"/>
              </w:rPr>
              <w:t>)</w:t>
            </w:r>
          </w:p>
        </w:tc>
        <w:tc>
          <w:tcPr>
            <w:tcW w:w="1800" w:type="dxa"/>
            <w:tcBorders>
              <w:left w:val="nil"/>
              <w:right w:val="nil"/>
            </w:tcBorders>
          </w:tcPr>
          <w:p w14:paraId="71717B73" w14:textId="77777777" w:rsidR="000F0AB0" w:rsidRPr="00930D9C" w:rsidRDefault="000F0AB0">
            <w:pPr>
              <w:rPr>
                <w:rFonts w:eastAsia="Calibri"/>
              </w:rPr>
            </w:pPr>
            <w:r w:rsidRPr="00930D9C">
              <w:rPr>
                <w:rFonts w:eastAsia="Calibri"/>
              </w:rPr>
              <w:t>Theoretical</w:t>
            </w:r>
          </w:p>
        </w:tc>
        <w:tc>
          <w:tcPr>
            <w:tcW w:w="1185" w:type="dxa"/>
            <w:tcBorders>
              <w:left w:val="nil"/>
              <w:right w:val="nil"/>
            </w:tcBorders>
          </w:tcPr>
          <w:p w14:paraId="2999EF4F" w14:textId="77777777" w:rsidR="000F0AB0" w:rsidRPr="00930D9C" w:rsidRDefault="000F0AB0">
            <w:pPr>
              <w:rPr>
                <w:rFonts w:eastAsia="Calibri"/>
              </w:rPr>
            </w:pPr>
            <w:r w:rsidRPr="00930D9C">
              <w:rPr>
                <w:rFonts w:eastAsia="Calibri"/>
              </w:rPr>
              <w:t>United States</w:t>
            </w:r>
          </w:p>
        </w:tc>
        <w:tc>
          <w:tcPr>
            <w:tcW w:w="8085" w:type="dxa"/>
            <w:tcBorders>
              <w:left w:val="nil"/>
              <w:right w:val="nil"/>
            </w:tcBorders>
          </w:tcPr>
          <w:p w14:paraId="117E7169" w14:textId="77777777" w:rsidR="000F0AB0" w:rsidRPr="00930D9C" w:rsidRDefault="000F0AB0">
            <w:pPr>
              <w:rPr>
                <w:rFonts w:eastAsia="Calibri"/>
              </w:rPr>
            </w:pPr>
            <w:r w:rsidRPr="00930D9C">
              <w:rPr>
                <w:rFonts w:eastAsia="Calibri"/>
              </w:rPr>
              <w:t>This article argues for the employment of IMHWs to improve the state of mental health services in Native American and Alaskan communities. Benefits include enhanced cultural awareness on the part of IMHWs, which can help decrease stigma and other barriers.</w:t>
            </w:r>
          </w:p>
          <w:p w14:paraId="3AD1761A" w14:textId="77777777" w:rsidR="000F0AB0" w:rsidRPr="00930D9C" w:rsidRDefault="000F0AB0">
            <w:pPr>
              <w:rPr>
                <w:rFonts w:eastAsia="Calibri"/>
              </w:rPr>
            </w:pPr>
            <w:r w:rsidRPr="00930D9C">
              <w:rPr>
                <w:rFonts w:eastAsia="Calibri"/>
              </w:rPr>
              <w:lastRenderedPageBreak/>
              <w:t xml:space="preserve">Barriers include the different cultural, spiritual, and religious beliefs of community members; and difficulties in separating their professional and personal lives, contributing to burnout. </w:t>
            </w:r>
          </w:p>
        </w:tc>
      </w:tr>
      <w:tr w:rsidR="000F0AB0" w:rsidRPr="00930D9C" w14:paraId="67EB9DE6" w14:textId="77777777" w:rsidTr="00443EEC">
        <w:tc>
          <w:tcPr>
            <w:tcW w:w="1980" w:type="dxa"/>
            <w:tcBorders>
              <w:left w:val="nil"/>
              <w:right w:val="nil"/>
            </w:tcBorders>
          </w:tcPr>
          <w:p w14:paraId="4903CC3A" w14:textId="4DDDE4D3" w:rsidR="000F0AB0" w:rsidRPr="00930D9C" w:rsidRDefault="000F0AB0">
            <w:pPr>
              <w:rPr>
                <w:rFonts w:eastAsia="Calibri"/>
                <w:color w:val="000000"/>
              </w:rPr>
            </w:pPr>
            <w:r w:rsidRPr="00930D9C">
              <w:rPr>
                <w:rFonts w:eastAsia="Calibri"/>
                <w:color w:val="000000"/>
              </w:rPr>
              <w:lastRenderedPageBreak/>
              <w:t xml:space="preserve">Parker, </w:t>
            </w:r>
            <w:r w:rsidR="00F60FBC">
              <w:rPr>
                <w:rFonts w:eastAsia="Calibri"/>
                <w:color w:val="000000"/>
              </w:rPr>
              <w:t xml:space="preserve">2003 </w:t>
            </w:r>
            <w:r w:rsidR="005249D1">
              <w:rPr>
                <w:rFonts w:eastAsia="Calibri"/>
                <w:color w:val="000000"/>
              </w:rPr>
              <w:t>(31)</w:t>
            </w:r>
          </w:p>
        </w:tc>
        <w:tc>
          <w:tcPr>
            <w:tcW w:w="1800" w:type="dxa"/>
            <w:tcBorders>
              <w:left w:val="nil"/>
              <w:right w:val="nil"/>
            </w:tcBorders>
          </w:tcPr>
          <w:p w14:paraId="7935D467" w14:textId="77777777" w:rsidR="000F0AB0" w:rsidRPr="00930D9C" w:rsidRDefault="000F0AB0">
            <w:pPr>
              <w:rPr>
                <w:rFonts w:eastAsia="Calibri"/>
              </w:rPr>
            </w:pPr>
            <w:r w:rsidRPr="00930D9C">
              <w:rPr>
                <w:rFonts w:eastAsia="Calibri"/>
              </w:rPr>
              <w:t>Theoretical</w:t>
            </w:r>
          </w:p>
        </w:tc>
        <w:tc>
          <w:tcPr>
            <w:tcW w:w="1185" w:type="dxa"/>
            <w:tcBorders>
              <w:left w:val="nil"/>
              <w:right w:val="nil"/>
            </w:tcBorders>
          </w:tcPr>
          <w:p w14:paraId="21225B59"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3E171669" w14:textId="77777777" w:rsidR="000F0AB0" w:rsidRPr="00930D9C" w:rsidRDefault="000F0AB0">
            <w:pPr>
              <w:rPr>
                <w:rFonts w:eastAsia="Calibri"/>
              </w:rPr>
            </w:pPr>
            <w:r w:rsidRPr="00930D9C">
              <w:rPr>
                <w:rFonts w:eastAsia="Calibri"/>
              </w:rPr>
              <w:t xml:space="preserve">Outlines challenges facing AMHWs in Australia, such as: a lack of clarity on what constitutes an Indigenous mental health worker, as the term IMHW covers a range of qualifications (i.e., some have PhDs and some are professional social workers or psychologists; the term can also apply to Elders). </w:t>
            </w:r>
          </w:p>
          <w:p w14:paraId="16C39303" w14:textId="77777777" w:rsidR="000F0AB0" w:rsidRPr="00930D9C" w:rsidRDefault="000F0AB0">
            <w:pPr>
              <w:rPr>
                <w:rFonts w:eastAsia="Calibri"/>
              </w:rPr>
            </w:pPr>
            <w:r w:rsidRPr="00930D9C">
              <w:rPr>
                <w:rFonts w:eastAsia="Calibri"/>
              </w:rPr>
              <w:t>Also mention several initiatives supporting this cause (e.g., Charles Sturt University and Torres Strait Islander Health set up a model Aboriginal mental health worker course that provides training all the way from basic certification to a PhD; local Aboriginal-controlled health organizations set up their own educational courses; and the Aboriginal and Torres Strait Islander Health Workforce Strategic Framework which aims to increase the number of IMHWs, clarify their role, etc.)</w:t>
            </w:r>
          </w:p>
        </w:tc>
      </w:tr>
      <w:tr w:rsidR="000F0AB0" w:rsidRPr="00930D9C" w14:paraId="7DCBCA89" w14:textId="77777777" w:rsidTr="00443EEC">
        <w:tc>
          <w:tcPr>
            <w:tcW w:w="1980" w:type="dxa"/>
            <w:tcBorders>
              <w:left w:val="nil"/>
              <w:right w:val="nil"/>
            </w:tcBorders>
          </w:tcPr>
          <w:p w14:paraId="55156927" w14:textId="743C4771" w:rsidR="000F0AB0" w:rsidRPr="00930D9C" w:rsidRDefault="000F0AB0">
            <w:pPr>
              <w:rPr>
                <w:rFonts w:eastAsia="Calibri"/>
                <w:color w:val="000000"/>
              </w:rPr>
            </w:pPr>
            <w:r w:rsidRPr="00930D9C">
              <w:rPr>
                <w:rFonts w:eastAsia="Calibri"/>
                <w:color w:val="000000"/>
              </w:rPr>
              <w:t>Topp, Edelman,</w:t>
            </w:r>
            <w:r w:rsidR="00F60FBC">
              <w:rPr>
                <w:rFonts w:eastAsia="Calibri"/>
                <w:color w:val="000000"/>
              </w:rPr>
              <w:t xml:space="preserve"> </w:t>
            </w:r>
            <w:r w:rsidRPr="00930D9C">
              <w:rPr>
                <w:rFonts w:eastAsia="Calibri"/>
                <w:color w:val="000000"/>
              </w:rPr>
              <w:t xml:space="preserve"> and Taylor,</w:t>
            </w:r>
            <w:r w:rsidR="00F60FBC">
              <w:rPr>
                <w:rFonts w:eastAsia="Calibri"/>
                <w:color w:val="000000"/>
              </w:rPr>
              <w:t xml:space="preserve"> </w:t>
            </w:r>
            <w:r w:rsidRPr="00930D9C">
              <w:rPr>
                <w:rFonts w:eastAsia="Calibri"/>
                <w:color w:val="000000"/>
              </w:rPr>
              <w:t>2018</w:t>
            </w:r>
            <w:r w:rsidR="00F60FBC">
              <w:rPr>
                <w:rFonts w:eastAsia="Calibri"/>
                <w:color w:val="000000"/>
              </w:rPr>
              <w:t xml:space="preserve"> </w:t>
            </w:r>
            <w:r w:rsidR="005249D1">
              <w:rPr>
                <w:rFonts w:eastAsia="Calibri"/>
                <w:color w:val="000000"/>
              </w:rPr>
              <w:t>(2</w:t>
            </w:r>
            <w:r w:rsidR="00346FDB">
              <w:rPr>
                <w:rFonts w:eastAsia="Calibri"/>
                <w:color w:val="000000"/>
              </w:rPr>
              <w:t>4</w:t>
            </w:r>
            <w:r w:rsidR="005249D1">
              <w:rPr>
                <w:rFonts w:eastAsia="Calibri"/>
                <w:color w:val="000000"/>
              </w:rPr>
              <w:t>)</w:t>
            </w:r>
          </w:p>
        </w:tc>
        <w:tc>
          <w:tcPr>
            <w:tcW w:w="1800" w:type="dxa"/>
            <w:tcBorders>
              <w:left w:val="nil"/>
              <w:right w:val="nil"/>
            </w:tcBorders>
          </w:tcPr>
          <w:p w14:paraId="2DDF93A3" w14:textId="77777777" w:rsidR="000F0AB0" w:rsidRPr="00930D9C" w:rsidRDefault="000F0AB0">
            <w:pPr>
              <w:rPr>
                <w:rFonts w:eastAsia="Calibri"/>
              </w:rPr>
            </w:pPr>
            <w:r w:rsidRPr="00930D9C">
              <w:rPr>
                <w:rFonts w:eastAsia="Calibri"/>
              </w:rPr>
              <w:t>Theoretical</w:t>
            </w:r>
          </w:p>
        </w:tc>
        <w:tc>
          <w:tcPr>
            <w:tcW w:w="1185" w:type="dxa"/>
            <w:tcBorders>
              <w:left w:val="nil"/>
              <w:right w:val="nil"/>
            </w:tcBorders>
          </w:tcPr>
          <w:p w14:paraId="752F9F84" w14:textId="77777777" w:rsidR="000F0AB0" w:rsidRPr="00930D9C" w:rsidRDefault="000F0AB0">
            <w:pPr>
              <w:rPr>
                <w:rFonts w:eastAsia="Calibri"/>
              </w:rPr>
            </w:pPr>
            <w:r w:rsidRPr="00930D9C">
              <w:rPr>
                <w:rFonts w:eastAsia="Calibri"/>
              </w:rPr>
              <w:t>Australia</w:t>
            </w:r>
          </w:p>
        </w:tc>
        <w:tc>
          <w:tcPr>
            <w:tcW w:w="8085" w:type="dxa"/>
            <w:tcBorders>
              <w:left w:val="nil"/>
              <w:right w:val="nil"/>
            </w:tcBorders>
          </w:tcPr>
          <w:p w14:paraId="3F0779D9" w14:textId="77777777" w:rsidR="000F0AB0" w:rsidRPr="00930D9C" w:rsidRDefault="000F0AB0">
            <w:pPr>
              <w:rPr>
                <w:rFonts w:eastAsia="Calibri"/>
              </w:rPr>
            </w:pPr>
            <w:r w:rsidRPr="00930D9C">
              <w:rPr>
                <w:rFonts w:eastAsia="Calibri"/>
              </w:rPr>
              <w:t xml:space="preserve">As this is a systematic review, the authors discuss various articles. One program related to mental health is the Aboriginal Mental Health Worker Program, and in this article, the challenges of supporting Indigenous involvement in mental health care in remote communities are outlined. Another article describes factors that impact the job satisfaction of Aboriginal mental health workers in New South Wales. </w:t>
            </w:r>
          </w:p>
          <w:p w14:paraId="1CDA4D14" w14:textId="77777777" w:rsidR="000F0AB0" w:rsidRPr="00930D9C" w:rsidRDefault="000F0AB0">
            <w:pPr>
              <w:rPr>
                <w:rFonts w:eastAsia="Calibri"/>
              </w:rPr>
            </w:pPr>
            <w:r w:rsidRPr="00930D9C">
              <w:rPr>
                <w:rFonts w:eastAsia="Calibri"/>
              </w:rPr>
              <w:t>Barriers outlined in these two studies include: lack of consensus on AHWs role in clinical settings; inequity in career pathways and remuneration as against qualifications and nature of work; role confusion and varied expectations of AHWs; perception among some non-Indigenous providers that AHWs are responsible for ‘anything Aboriginal’; workplace power differentials; role ambiguity and unclear cultural legitimacy source of individual strain and ‘burnout’; tensions relating to service provision to clients with whom there may be family business or personal issues.</w:t>
            </w:r>
          </w:p>
        </w:tc>
      </w:tr>
      <w:tr w:rsidR="000F0AB0" w:rsidRPr="00930D9C" w14:paraId="1D3B880A" w14:textId="77777777" w:rsidTr="00443EEC">
        <w:tc>
          <w:tcPr>
            <w:tcW w:w="1980" w:type="dxa"/>
            <w:tcBorders>
              <w:left w:val="nil"/>
              <w:right w:val="nil"/>
            </w:tcBorders>
          </w:tcPr>
          <w:p w14:paraId="0E25D48C" w14:textId="475BE1A8" w:rsidR="000F0AB0" w:rsidRPr="00930D9C" w:rsidRDefault="000F0AB0">
            <w:pPr>
              <w:rPr>
                <w:rFonts w:eastAsia="Calibri"/>
                <w:color w:val="000000"/>
              </w:rPr>
            </w:pPr>
            <w:proofErr w:type="spellStart"/>
            <w:r w:rsidRPr="00930D9C">
              <w:rPr>
                <w:rFonts w:eastAsia="Calibri"/>
                <w:color w:val="000000"/>
              </w:rPr>
              <w:t>Waidman</w:t>
            </w:r>
            <w:proofErr w:type="spellEnd"/>
            <w:r w:rsidRPr="00930D9C">
              <w:rPr>
                <w:rFonts w:eastAsia="Calibri"/>
                <w:color w:val="000000"/>
              </w:rPr>
              <w:t>, Costa,</w:t>
            </w:r>
            <w:r w:rsidR="00F60FBC">
              <w:rPr>
                <w:rFonts w:eastAsia="Calibri"/>
                <w:color w:val="000000"/>
              </w:rPr>
              <w:t xml:space="preserve"> </w:t>
            </w:r>
            <w:r w:rsidRPr="00930D9C">
              <w:rPr>
                <w:rFonts w:eastAsia="Calibri"/>
                <w:color w:val="000000"/>
              </w:rPr>
              <w:t>and da Paiano,</w:t>
            </w:r>
            <w:r w:rsidR="00F60FBC">
              <w:rPr>
                <w:rFonts w:eastAsia="Calibri"/>
                <w:color w:val="000000"/>
              </w:rPr>
              <w:t xml:space="preserve"> </w:t>
            </w:r>
            <w:r w:rsidRPr="00930D9C">
              <w:rPr>
                <w:rFonts w:eastAsia="Calibri"/>
                <w:color w:val="000000"/>
              </w:rPr>
              <w:t>2012</w:t>
            </w:r>
            <w:r w:rsidR="00F60FBC">
              <w:rPr>
                <w:rFonts w:eastAsia="Calibri"/>
                <w:color w:val="000000"/>
              </w:rPr>
              <w:t xml:space="preserve"> </w:t>
            </w:r>
            <w:r w:rsidR="005249D1">
              <w:rPr>
                <w:rFonts w:eastAsia="Calibri"/>
                <w:color w:val="000000"/>
              </w:rPr>
              <w:t>(36)</w:t>
            </w:r>
          </w:p>
        </w:tc>
        <w:tc>
          <w:tcPr>
            <w:tcW w:w="1800" w:type="dxa"/>
            <w:tcBorders>
              <w:left w:val="nil"/>
              <w:right w:val="nil"/>
            </w:tcBorders>
          </w:tcPr>
          <w:p w14:paraId="2A75A985" w14:textId="77777777" w:rsidR="000F0AB0" w:rsidRPr="00930D9C" w:rsidRDefault="000F0AB0">
            <w:pPr>
              <w:rPr>
                <w:rFonts w:eastAsia="Calibri"/>
              </w:rPr>
            </w:pPr>
            <w:r w:rsidRPr="00930D9C">
              <w:rPr>
                <w:rFonts w:eastAsia="Calibri"/>
              </w:rPr>
              <w:t>Empirical (qualitative)</w:t>
            </w:r>
          </w:p>
        </w:tc>
        <w:tc>
          <w:tcPr>
            <w:tcW w:w="1185" w:type="dxa"/>
            <w:tcBorders>
              <w:left w:val="nil"/>
              <w:right w:val="nil"/>
            </w:tcBorders>
          </w:tcPr>
          <w:p w14:paraId="7EF5255C" w14:textId="77777777" w:rsidR="000F0AB0" w:rsidRPr="00930D9C" w:rsidRDefault="000F0AB0">
            <w:pPr>
              <w:rPr>
                <w:rFonts w:eastAsia="Calibri"/>
              </w:rPr>
            </w:pPr>
            <w:r w:rsidRPr="00930D9C">
              <w:rPr>
                <w:rFonts w:eastAsia="Calibri"/>
              </w:rPr>
              <w:t>Brazil</w:t>
            </w:r>
          </w:p>
        </w:tc>
        <w:tc>
          <w:tcPr>
            <w:tcW w:w="8085" w:type="dxa"/>
            <w:tcBorders>
              <w:left w:val="nil"/>
              <w:right w:val="nil"/>
            </w:tcBorders>
          </w:tcPr>
          <w:p w14:paraId="1DA736A8" w14:textId="77777777" w:rsidR="000F0AB0" w:rsidRPr="00930D9C" w:rsidRDefault="000F0AB0">
            <w:pPr>
              <w:rPr>
                <w:rFonts w:eastAsia="Calibri"/>
              </w:rPr>
            </w:pPr>
            <w:r w:rsidRPr="00930D9C">
              <w:rPr>
                <w:rFonts w:eastAsia="Calibri"/>
              </w:rPr>
              <w:t xml:space="preserve">Authors tried to identify the perceptions of community health agents regarding mental disorders. Findings include: community health workers have a distorted view of what constitutes mental health issues or challenges (e.g., people with mental disturbance are aggressive, dangerous, etc.) They therefore require more </w:t>
            </w:r>
            <w:r w:rsidRPr="00930D9C">
              <w:rPr>
                <w:rFonts w:eastAsia="Calibri"/>
              </w:rPr>
              <w:lastRenderedPageBreak/>
              <w:t xml:space="preserve">training to develop an understanding of what having a mental disorder really means. </w:t>
            </w:r>
          </w:p>
          <w:p w14:paraId="32E884CD" w14:textId="77777777" w:rsidR="000F0AB0" w:rsidRPr="00930D9C" w:rsidRDefault="000F0AB0">
            <w:pPr>
              <w:rPr>
                <w:rFonts w:eastAsia="Calibri"/>
              </w:rPr>
            </w:pPr>
            <w:r w:rsidRPr="00930D9C">
              <w:rPr>
                <w:rFonts w:eastAsia="Calibri"/>
              </w:rPr>
              <w:t xml:space="preserve">Home visits were perceived as a good strategy of checking in on patients, but the health workers mentioned prioritizing other health concerns over mental wellness as they were deemed more serious or urgent. The authors think that this may be due to mental disorders being invisible. </w:t>
            </w:r>
          </w:p>
        </w:tc>
      </w:tr>
    </w:tbl>
    <w:p w14:paraId="06A2B8D8" w14:textId="77777777" w:rsidR="00814020" w:rsidRPr="00930D9C" w:rsidRDefault="00814020">
      <w:pPr>
        <w:rPr>
          <w:rFonts w:eastAsia="Calibri"/>
          <w:b/>
        </w:rPr>
        <w:sectPr w:rsidR="00814020" w:rsidRPr="00930D9C" w:rsidSect="001F7E39">
          <w:headerReference w:type="even" r:id="rId12"/>
          <w:headerReference w:type="default" r:id="rId13"/>
          <w:footerReference w:type="even" r:id="rId14"/>
          <w:footerReference w:type="default" r:id="rId15"/>
          <w:pgSz w:w="15840" w:h="12240" w:orient="landscape"/>
          <w:pgMar w:top="1440" w:right="1440" w:bottom="1440" w:left="1440" w:header="706" w:footer="706" w:gutter="0"/>
          <w:cols w:space="720"/>
          <w:docGrid w:linePitch="326"/>
        </w:sectPr>
      </w:pPr>
    </w:p>
    <w:tbl>
      <w:tblPr>
        <w:tblStyle w:val="1"/>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1410"/>
        <w:gridCol w:w="1215"/>
        <w:gridCol w:w="7635"/>
      </w:tblGrid>
      <w:tr w:rsidR="00443EEC" w:rsidRPr="00930D9C" w14:paraId="702F5B36" w14:textId="77777777" w:rsidTr="00C061F7">
        <w:tc>
          <w:tcPr>
            <w:tcW w:w="12960" w:type="dxa"/>
            <w:gridSpan w:val="4"/>
            <w:tcBorders>
              <w:left w:val="nil"/>
              <w:bottom w:val="single" w:sz="4" w:space="0" w:color="000000"/>
              <w:right w:val="nil"/>
            </w:tcBorders>
          </w:tcPr>
          <w:p w14:paraId="37E891D5" w14:textId="5374C3FB" w:rsidR="00443EEC" w:rsidRPr="00930D9C" w:rsidRDefault="00443EEC">
            <w:pPr>
              <w:rPr>
                <w:rFonts w:eastAsia="Calibri"/>
                <w:b/>
              </w:rPr>
            </w:pPr>
            <w:r w:rsidRPr="00930D9C">
              <w:rPr>
                <w:rFonts w:eastAsia="Calibri"/>
                <w:b/>
              </w:rPr>
              <w:lastRenderedPageBreak/>
              <w:t xml:space="preserve">Table </w:t>
            </w:r>
            <w:r w:rsidR="00DC27FE">
              <w:rPr>
                <w:rFonts w:eastAsia="Calibri"/>
                <w:b/>
              </w:rPr>
              <w:t>4</w:t>
            </w:r>
            <w:r w:rsidRPr="00930D9C">
              <w:rPr>
                <w:rFonts w:eastAsia="Calibri"/>
                <w:b/>
              </w:rPr>
              <w:t xml:space="preserve"> </w:t>
            </w:r>
            <w:r>
              <w:rPr>
                <w:rFonts w:eastAsia="Calibri"/>
                <w:bCs/>
              </w:rPr>
              <w:t>Data extracted from g</w:t>
            </w:r>
            <w:r w:rsidRPr="00930D9C">
              <w:rPr>
                <w:rFonts w:eastAsia="Calibri"/>
              </w:rPr>
              <w:t>rey literature sources</w:t>
            </w:r>
          </w:p>
        </w:tc>
      </w:tr>
      <w:tr w:rsidR="00F60FBC" w:rsidRPr="00930D9C" w14:paraId="75387101" w14:textId="77777777" w:rsidTr="00C061F7">
        <w:tc>
          <w:tcPr>
            <w:tcW w:w="2700" w:type="dxa"/>
            <w:tcBorders>
              <w:left w:val="nil"/>
              <w:bottom w:val="single" w:sz="4" w:space="0" w:color="000000"/>
              <w:right w:val="nil"/>
            </w:tcBorders>
          </w:tcPr>
          <w:p w14:paraId="01F4E3CE" w14:textId="24CBFB46" w:rsidR="00F60FBC" w:rsidRPr="00930D9C" w:rsidRDefault="00F60FBC">
            <w:pPr>
              <w:rPr>
                <w:rFonts w:eastAsia="Calibri"/>
                <w:b/>
              </w:rPr>
            </w:pPr>
            <w:r>
              <w:rPr>
                <w:rFonts w:eastAsia="Calibri"/>
                <w:b/>
              </w:rPr>
              <w:t>Author(s), Year</w:t>
            </w:r>
          </w:p>
        </w:tc>
        <w:tc>
          <w:tcPr>
            <w:tcW w:w="1410" w:type="dxa"/>
            <w:tcBorders>
              <w:left w:val="nil"/>
              <w:bottom w:val="single" w:sz="4" w:space="0" w:color="000000"/>
              <w:right w:val="nil"/>
            </w:tcBorders>
          </w:tcPr>
          <w:p w14:paraId="2300390B" w14:textId="77777777" w:rsidR="00F60FBC" w:rsidRPr="00930D9C" w:rsidRDefault="00F60FBC">
            <w:pPr>
              <w:rPr>
                <w:rFonts w:eastAsia="Calibri"/>
                <w:b/>
              </w:rPr>
            </w:pPr>
            <w:r w:rsidRPr="00930D9C">
              <w:rPr>
                <w:rFonts w:eastAsia="Calibri"/>
                <w:b/>
              </w:rPr>
              <w:t>Source</w:t>
            </w:r>
          </w:p>
          <w:p w14:paraId="5A990E2C" w14:textId="77777777" w:rsidR="00F60FBC" w:rsidRPr="00930D9C" w:rsidRDefault="00F60FBC">
            <w:pPr>
              <w:rPr>
                <w:rFonts w:eastAsia="Calibri"/>
                <w:b/>
              </w:rPr>
            </w:pPr>
            <w:r w:rsidRPr="00930D9C">
              <w:rPr>
                <w:rFonts w:eastAsia="Calibri"/>
                <w:b/>
              </w:rPr>
              <w:t>Type</w:t>
            </w:r>
          </w:p>
        </w:tc>
        <w:tc>
          <w:tcPr>
            <w:tcW w:w="1215" w:type="dxa"/>
            <w:tcBorders>
              <w:left w:val="nil"/>
              <w:bottom w:val="single" w:sz="4" w:space="0" w:color="000000"/>
              <w:right w:val="nil"/>
            </w:tcBorders>
          </w:tcPr>
          <w:p w14:paraId="3CC18A26" w14:textId="77777777" w:rsidR="00F60FBC" w:rsidRPr="00930D9C" w:rsidRDefault="00F60FBC">
            <w:pPr>
              <w:rPr>
                <w:rFonts w:eastAsia="Calibri"/>
                <w:b/>
              </w:rPr>
            </w:pPr>
            <w:r w:rsidRPr="00930D9C">
              <w:rPr>
                <w:rFonts w:eastAsia="Calibri"/>
                <w:b/>
              </w:rPr>
              <w:t>Location</w:t>
            </w:r>
          </w:p>
        </w:tc>
        <w:tc>
          <w:tcPr>
            <w:tcW w:w="7635" w:type="dxa"/>
            <w:tcBorders>
              <w:left w:val="nil"/>
              <w:bottom w:val="single" w:sz="4" w:space="0" w:color="000000"/>
              <w:right w:val="nil"/>
            </w:tcBorders>
          </w:tcPr>
          <w:p w14:paraId="67DD9750" w14:textId="77777777" w:rsidR="00F60FBC" w:rsidRPr="00930D9C" w:rsidRDefault="00F60FBC">
            <w:pPr>
              <w:rPr>
                <w:rFonts w:eastAsia="Calibri"/>
                <w:b/>
              </w:rPr>
            </w:pPr>
            <w:r w:rsidRPr="00930D9C">
              <w:rPr>
                <w:rFonts w:eastAsia="Calibri"/>
                <w:b/>
              </w:rPr>
              <w:t>Key</w:t>
            </w:r>
          </w:p>
          <w:p w14:paraId="3B02CB27" w14:textId="77777777" w:rsidR="00F60FBC" w:rsidRPr="00930D9C" w:rsidRDefault="00F60FBC">
            <w:pPr>
              <w:rPr>
                <w:rFonts w:eastAsia="Calibri"/>
                <w:b/>
              </w:rPr>
            </w:pPr>
            <w:r w:rsidRPr="00930D9C">
              <w:rPr>
                <w:rFonts w:eastAsia="Calibri"/>
                <w:b/>
              </w:rPr>
              <w:t>Findings</w:t>
            </w:r>
          </w:p>
        </w:tc>
      </w:tr>
      <w:tr w:rsidR="00F60FBC" w:rsidRPr="00930D9C" w14:paraId="5576400C" w14:textId="77777777" w:rsidTr="00C061F7">
        <w:tc>
          <w:tcPr>
            <w:tcW w:w="2700" w:type="dxa"/>
            <w:tcBorders>
              <w:left w:val="nil"/>
              <w:right w:val="nil"/>
            </w:tcBorders>
          </w:tcPr>
          <w:p w14:paraId="11542B67" w14:textId="7B48CE85" w:rsidR="00F60FBC" w:rsidRPr="00930D9C" w:rsidRDefault="00F60FBC">
            <w:pPr>
              <w:rPr>
                <w:rFonts w:eastAsia="Calibri"/>
              </w:rPr>
            </w:pPr>
            <w:r w:rsidRPr="00930D9C">
              <w:rPr>
                <w:rFonts w:eastAsia="Calibri"/>
              </w:rPr>
              <w:t>Aboriginal Resource and Development Services</w:t>
            </w:r>
            <w:r>
              <w:rPr>
                <w:rFonts w:eastAsia="Calibri"/>
              </w:rPr>
              <w:t xml:space="preserve">, </w:t>
            </w:r>
            <w:r w:rsidRPr="00930D9C">
              <w:rPr>
                <w:rFonts w:eastAsia="Calibri"/>
              </w:rPr>
              <w:t xml:space="preserve">2015 </w:t>
            </w:r>
            <w:r w:rsidR="005249D1">
              <w:rPr>
                <w:rFonts w:eastAsia="Calibri"/>
              </w:rPr>
              <w:t>(1</w:t>
            </w:r>
            <w:r w:rsidR="00346FDB">
              <w:rPr>
                <w:rFonts w:eastAsia="Calibri"/>
              </w:rPr>
              <w:t>4</w:t>
            </w:r>
            <w:r w:rsidR="005249D1">
              <w:rPr>
                <w:rFonts w:eastAsia="Calibri"/>
              </w:rPr>
              <w:t>)</w:t>
            </w:r>
          </w:p>
        </w:tc>
        <w:tc>
          <w:tcPr>
            <w:tcW w:w="1410" w:type="dxa"/>
            <w:tcBorders>
              <w:left w:val="nil"/>
              <w:right w:val="nil"/>
            </w:tcBorders>
          </w:tcPr>
          <w:p w14:paraId="753CC061" w14:textId="77777777" w:rsidR="00F60FBC" w:rsidRPr="00930D9C" w:rsidRDefault="00F60FBC">
            <w:pPr>
              <w:rPr>
                <w:rFonts w:eastAsia="Calibri"/>
              </w:rPr>
            </w:pPr>
            <w:r w:rsidRPr="00930D9C">
              <w:rPr>
                <w:rFonts w:eastAsia="Calibri"/>
              </w:rPr>
              <w:t>Report</w:t>
            </w:r>
          </w:p>
        </w:tc>
        <w:tc>
          <w:tcPr>
            <w:tcW w:w="1215" w:type="dxa"/>
            <w:tcBorders>
              <w:left w:val="nil"/>
              <w:right w:val="nil"/>
            </w:tcBorders>
          </w:tcPr>
          <w:p w14:paraId="36AD331D" w14:textId="77777777" w:rsidR="00F60FBC" w:rsidRPr="00930D9C" w:rsidRDefault="00F60FBC">
            <w:pPr>
              <w:rPr>
                <w:rFonts w:eastAsia="Calibri"/>
              </w:rPr>
            </w:pPr>
            <w:r w:rsidRPr="00930D9C">
              <w:rPr>
                <w:rFonts w:eastAsia="Calibri"/>
              </w:rPr>
              <w:t>Australia</w:t>
            </w:r>
          </w:p>
        </w:tc>
        <w:tc>
          <w:tcPr>
            <w:tcW w:w="7635" w:type="dxa"/>
            <w:tcBorders>
              <w:left w:val="nil"/>
              <w:right w:val="nil"/>
            </w:tcBorders>
          </w:tcPr>
          <w:p w14:paraId="2D8EAC57" w14:textId="77777777" w:rsidR="00F60FBC" w:rsidRPr="00930D9C" w:rsidRDefault="00F60FBC">
            <w:pPr>
              <w:rPr>
                <w:rFonts w:eastAsia="Calibri"/>
              </w:rPr>
            </w:pPr>
            <w:r w:rsidRPr="00930D9C">
              <w:rPr>
                <w:rFonts w:eastAsia="Calibri"/>
              </w:rPr>
              <w:t xml:space="preserve">Non-Indigenous staff should be engaged in cultural training in Indigenous worldviews as they relate to mental health; IMHWs should be involved in the development and delivery of this training; IMHWs should get access to professional development opportunities in Western biomedical approaches to mental health, and receive mentorship from more senior IMHWs; a both-ways model that integrates Western and Indigenous approaches to mental health treatment should be used; staffing levels should be adequate so that if one person takes time off, the others are not left scrambling. </w:t>
            </w:r>
          </w:p>
        </w:tc>
      </w:tr>
      <w:tr w:rsidR="00F60FBC" w:rsidRPr="00930D9C" w14:paraId="2D3279AA" w14:textId="77777777" w:rsidTr="00C061F7">
        <w:tc>
          <w:tcPr>
            <w:tcW w:w="2700" w:type="dxa"/>
            <w:tcBorders>
              <w:left w:val="nil"/>
              <w:right w:val="nil"/>
            </w:tcBorders>
          </w:tcPr>
          <w:p w14:paraId="34840046" w14:textId="71B4982E" w:rsidR="00F60FBC" w:rsidRPr="00930D9C" w:rsidRDefault="00F60FBC">
            <w:pPr>
              <w:rPr>
                <w:rFonts w:eastAsia="Calibri"/>
              </w:rPr>
            </w:pPr>
            <w:bookmarkStart w:id="0" w:name="_Hlk138671813"/>
            <w:r w:rsidRPr="00930D9C">
              <w:rPr>
                <w:rFonts w:eastAsia="Calibri"/>
              </w:rPr>
              <w:t>Fraser Health</w:t>
            </w:r>
            <w:r>
              <w:rPr>
                <w:rFonts w:eastAsia="Calibri"/>
              </w:rPr>
              <w:t xml:space="preserve">, </w:t>
            </w:r>
            <w:r w:rsidRPr="00930D9C">
              <w:rPr>
                <w:rFonts w:eastAsia="Calibri"/>
              </w:rPr>
              <w:t>n.d</w:t>
            </w:r>
            <w:bookmarkEnd w:id="0"/>
            <w:r>
              <w:rPr>
                <w:rFonts w:eastAsia="Calibri"/>
              </w:rPr>
              <w:t xml:space="preserve">. </w:t>
            </w:r>
            <w:r w:rsidR="005249D1">
              <w:rPr>
                <w:rFonts w:eastAsia="Calibri"/>
              </w:rPr>
              <w:t>(41)</w:t>
            </w:r>
          </w:p>
        </w:tc>
        <w:tc>
          <w:tcPr>
            <w:tcW w:w="1410" w:type="dxa"/>
            <w:tcBorders>
              <w:left w:val="nil"/>
              <w:right w:val="nil"/>
            </w:tcBorders>
          </w:tcPr>
          <w:p w14:paraId="191CE3DF" w14:textId="77777777" w:rsidR="00F60FBC" w:rsidRPr="00930D9C" w:rsidRDefault="00F60FBC">
            <w:pPr>
              <w:rPr>
                <w:rFonts w:eastAsia="Calibri"/>
              </w:rPr>
            </w:pPr>
            <w:r w:rsidRPr="00930D9C">
              <w:rPr>
                <w:rFonts w:eastAsia="Calibri"/>
              </w:rPr>
              <w:t>Website content</w:t>
            </w:r>
          </w:p>
        </w:tc>
        <w:tc>
          <w:tcPr>
            <w:tcW w:w="1215" w:type="dxa"/>
            <w:tcBorders>
              <w:left w:val="nil"/>
              <w:right w:val="nil"/>
            </w:tcBorders>
          </w:tcPr>
          <w:p w14:paraId="045E992A" w14:textId="77777777" w:rsidR="00F60FBC" w:rsidRPr="00930D9C" w:rsidRDefault="00F60FBC">
            <w:pPr>
              <w:rPr>
                <w:rFonts w:eastAsia="Calibri"/>
              </w:rPr>
            </w:pPr>
            <w:r w:rsidRPr="00930D9C">
              <w:rPr>
                <w:rFonts w:eastAsia="Calibri"/>
              </w:rPr>
              <w:t>Canada</w:t>
            </w:r>
          </w:p>
        </w:tc>
        <w:tc>
          <w:tcPr>
            <w:tcW w:w="7635" w:type="dxa"/>
            <w:tcBorders>
              <w:left w:val="nil"/>
              <w:right w:val="nil"/>
            </w:tcBorders>
          </w:tcPr>
          <w:p w14:paraId="3C2687BF" w14:textId="77777777" w:rsidR="00F60FBC" w:rsidRPr="00930D9C" w:rsidRDefault="00F60FBC">
            <w:pPr>
              <w:rPr>
                <w:rFonts w:eastAsia="Calibri"/>
              </w:rPr>
            </w:pPr>
            <w:r w:rsidRPr="00930D9C">
              <w:rPr>
                <w:rFonts w:eastAsia="Calibri"/>
              </w:rPr>
              <w:t>The Aboriginal mental health liaison program connects Indigenous peoples in British Columbia with culturally appropriate services. This resource outlines the job roles of Aboriginal mental health case managers and liaisons.</w:t>
            </w:r>
          </w:p>
        </w:tc>
      </w:tr>
      <w:tr w:rsidR="00F60FBC" w:rsidRPr="00930D9C" w14:paraId="40E53C22" w14:textId="77777777" w:rsidTr="00C061F7">
        <w:tc>
          <w:tcPr>
            <w:tcW w:w="2700" w:type="dxa"/>
            <w:tcBorders>
              <w:left w:val="nil"/>
              <w:right w:val="nil"/>
            </w:tcBorders>
          </w:tcPr>
          <w:p w14:paraId="047228FB" w14:textId="5F303269" w:rsidR="00F60FBC" w:rsidRPr="00930D9C" w:rsidRDefault="00F60FBC">
            <w:pPr>
              <w:rPr>
                <w:rFonts w:eastAsia="Calibri"/>
              </w:rPr>
            </w:pPr>
            <w:r w:rsidRPr="00930D9C">
              <w:rPr>
                <w:rFonts w:eastAsia="Calibri"/>
              </w:rPr>
              <w:t>Goulburn Valley Area Mental Health Service</w:t>
            </w:r>
            <w:r w:rsidR="00443EEC">
              <w:rPr>
                <w:rFonts w:eastAsia="Calibri"/>
              </w:rPr>
              <w:t xml:space="preserve">, </w:t>
            </w:r>
            <w:r w:rsidRPr="00930D9C">
              <w:rPr>
                <w:rFonts w:eastAsia="Calibri"/>
              </w:rPr>
              <w:t>n.d.</w:t>
            </w:r>
            <w:r w:rsidR="00443EEC">
              <w:rPr>
                <w:rFonts w:eastAsia="Calibri"/>
              </w:rPr>
              <w:t xml:space="preserve"> </w:t>
            </w:r>
            <w:r w:rsidR="005249D1">
              <w:rPr>
                <w:rFonts w:eastAsia="Calibri"/>
              </w:rPr>
              <w:t>(</w:t>
            </w:r>
            <w:r w:rsidR="00346FDB">
              <w:rPr>
                <w:rFonts w:eastAsia="Calibri"/>
              </w:rPr>
              <w:t>97</w:t>
            </w:r>
            <w:r w:rsidR="005249D1">
              <w:rPr>
                <w:rFonts w:eastAsia="Calibri"/>
              </w:rPr>
              <w:t>)</w:t>
            </w:r>
          </w:p>
        </w:tc>
        <w:tc>
          <w:tcPr>
            <w:tcW w:w="1410" w:type="dxa"/>
            <w:tcBorders>
              <w:left w:val="nil"/>
              <w:right w:val="nil"/>
            </w:tcBorders>
          </w:tcPr>
          <w:p w14:paraId="123CF425" w14:textId="77777777" w:rsidR="00F60FBC" w:rsidRPr="00930D9C" w:rsidRDefault="00F60FBC">
            <w:pPr>
              <w:rPr>
                <w:rFonts w:eastAsia="Calibri"/>
              </w:rPr>
            </w:pPr>
            <w:r w:rsidRPr="00930D9C">
              <w:rPr>
                <w:rFonts w:eastAsia="Calibri"/>
              </w:rPr>
              <w:t>Website content</w:t>
            </w:r>
          </w:p>
        </w:tc>
        <w:tc>
          <w:tcPr>
            <w:tcW w:w="1215" w:type="dxa"/>
            <w:tcBorders>
              <w:left w:val="nil"/>
              <w:right w:val="nil"/>
            </w:tcBorders>
          </w:tcPr>
          <w:p w14:paraId="476EF905" w14:textId="77777777" w:rsidR="00F60FBC" w:rsidRPr="00930D9C" w:rsidRDefault="00F60FBC">
            <w:pPr>
              <w:rPr>
                <w:rFonts w:eastAsia="Calibri"/>
              </w:rPr>
            </w:pPr>
            <w:r w:rsidRPr="00930D9C">
              <w:rPr>
                <w:rFonts w:eastAsia="Calibri"/>
              </w:rPr>
              <w:t>Australia</w:t>
            </w:r>
          </w:p>
        </w:tc>
        <w:tc>
          <w:tcPr>
            <w:tcW w:w="7635" w:type="dxa"/>
            <w:tcBorders>
              <w:left w:val="nil"/>
              <w:right w:val="nil"/>
            </w:tcBorders>
          </w:tcPr>
          <w:p w14:paraId="07541CE5" w14:textId="77777777" w:rsidR="00F60FBC" w:rsidRPr="00930D9C" w:rsidRDefault="00F60FBC">
            <w:pPr>
              <w:rPr>
                <w:rFonts w:eastAsia="Calibri"/>
              </w:rPr>
            </w:pPr>
            <w:r w:rsidRPr="00930D9C">
              <w:rPr>
                <w:rFonts w:eastAsia="Calibri"/>
              </w:rPr>
              <w:t xml:space="preserve">Describes the roles of Aboriginal mental health liaison officers, which include support understanding medical procedures and providing external referrals, as well as services provided to Indigenous peoples who use the hospital in Goulburn Valley. </w:t>
            </w:r>
          </w:p>
        </w:tc>
      </w:tr>
      <w:tr w:rsidR="00F60FBC" w:rsidRPr="00930D9C" w14:paraId="55FD9093" w14:textId="77777777" w:rsidTr="00C061F7">
        <w:tc>
          <w:tcPr>
            <w:tcW w:w="2700" w:type="dxa"/>
            <w:tcBorders>
              <w:left w:val="nil"/>
              <w:right w:val="nil"/>
            </w:tcBorders>
          </w:tcPr>
          <w:p w14:paraId="3540AE02" w14:textId="12652425" w:rsidR="00F60FBC" w:rsidRPr="00930D9C" w:rsidRDefault="00F60FBC">
            <w:pPr>
              <w:rPr>
                <w:rFonts w:eastAsia="Calibri"/>
              </w:rPr>
            </w:pPr>
            <w:r w:rsidRPr="00930D9C">
              <w:rPr>
                <w:rFonts w:eastAsia="Calibri"/>
              </w:rPr>
              <w:t>NSW Health</w:t>
            </w:r>
            <w:r>
              <w:rPr>
                <w:rFonts w:eastAsia="Calibri"/>
              </w:rPr>
              <w:t xml:space="preserve">, </w:t>
            </w:r>
            <w:r w:rsidRPr="00930D9C">
              <w:rPr>
                <w:rFonts w:eastAsia="Calibri"/>
              </w:rPr>
              <w:t>2013</w:t>
            </w:r>
            <w:r>
              <w:rPr>
                <w:rFonts w:eastAsia="Calibri"/>
              </w:rPr>
              <w:t xml:space="preserve"> </w:t>
            </w:r>
            <w:r w:rsidR="005249D1">
              <w:rPr>
                <w:rFonts w:eastAsia="Calibri"/>
              </w:rPr>
              <w:t>(45)</w:t>
            </w:r>
          </w:p>
        </w:tc>
        <w:tc>
          <w:tcPr>
            <w:tcW w:w="1410" w:type="dxa"/>
            <w:tcBorders>
              <w:left w:val="nil"/>
              <w:right w:val="nil"/>
            </w:tcBorders>
          </w:tcPr>
          <w:p w14:paraId="4239B5F7" w14:textId="77777777" w:rsidR="00F60FBC" w:rsidRPr="00930D9C" w:rsidRDefault="00F60FBC">
            <w:pPr>
              <w:rPr>
                <w:rFonts w:eastAsia="Calibri"/>
              </w:rPr>
            </w:pPr>
            <w:r w:rsidRPr="00930D9C">
              <w:rPr>
                <w:rFonts w:eastAsia="Calibri"/>
              </w:rPr>
              <w:t>Report</w:t>
            </w:r>
          </w:p>
        </w:tc>
        <w:tc>
          <w:tcPr>
            <w:tcW w:w="1215" w:type="dxa"/>
            <w:tcBorders>
              <w:left w:val="nil"/>
              <w:right w:val="nil"/>
            </w:tcBorders>
          </w:tcPr>
          <w:p w14:paraId="3B068EC3" w14:textId="77777777" w:rsidR="00F60FBC" w:rsidRPr="00930D9C" w:rsidRDefault="00F60FBC">
            <w:pPr>
              <w:rPr>
                <w:rFonts w:eastAsia="Calibri"/>
              </w:rPr>
            </w:pPr>
            <w:r w:rsidRPr="00930D9C">
              <w:rPr>
                <w:rFonts w:eastAsia="Calibri"/>
              </w:rPr>
              <w:t>Australia</w:t>
            </w:r>
          </w:p>
        </w:tc>
        <w:tc>
          <w:tcPr>
            <w:tcW w:w="7635" w:type="dxa"/>
            <w:tcBorders>
              <w:left w:val="nil"/>
              <w:right w:val="nil"/>
            </w:tcBorders>
          </w:tcPr>
          <w:p w14:paraId="059F9401" w14:textId="77777777" w:rsidR="00F60FBC" w:rsidRPr="00930D9C" w:rsidRDefault="00F60FBC">
            <w:pPr>
              <w:rPr>
                <w:rFonts w:eastAsia="Calibri"/>
              </w:rPr>
            </w:pPr>
            <w:r w:rsidRPr="00930D9C">
              <w:rPr>
                <w:rFonts w:eastAsia="Calibri"/>
              </w:rPr>
              <w:t>Findings show that the NSW Aboriginal Mental Health Worker Training Program increased staff knowledge of Aboriginal mental health; improved the capacity of staff to provide culturally responsive services; and provided local Aboriginal peoples with the opportunity to gain a post-secondary education and qualification as mental health workers.</w:t>
            </w:r>
          </w:p>
        </w:tc>
      </w:tr>
      <w:tr w:rsidR="00F60FBC" w:rsidRPr="00930D9C" w14:paraId="5D3046E7" w14:textId="77777777" w:rsidTr="00C061F7">
        <w:tc>
          <w:tcPr>
            <w:tcW w:w="2700" w:type="dxa"/>
            <w:tcBorders>
              <w:left w:val="nil"/>
              <w:right w:val="nil"/>
            </w:tcBorders>
          </w:tcPr>
          <w:p w14:paraId="7BA049AA" w14:textId="468308AE" w:rsidR="00F60FBC" w:rsidRPr="00930D9C" w:rsidRDefault="00F60FBC">
            <w:pPr>
              <w:rPr>
                <w:rFonts w:eastAsia="Calibri"/>
              </w:rPr>
            </w:pPr>
            <w:r w:rsidRPr="00930D9C">
              <w:rPr>
                <w:rFonts w:eastAsia="Calibri"/>
              </w:rPr>
              <w:t>NSW Health</w:t>
            </w:r>
            <w:r>
              <w:rPr>
                <w:rFonts w:eastAsia="Calibri"/>
              </w:rPr>
              <w:t xml:space="preserve">, </w:t>
            </w:r>
            <w:r w:rsidRPr="00930D9C">
              <w:rPr>
                <w:rFonts w:eastAsia="Calibri"/>
              </w:rPr>
              <w:t>2014</w:t>
            </w:r>
            <w:r>
              <w:rPr>
                <w:rFonts w:eastAsia="Calibri"/>
              </w:rPr>
              <w:t xml:space="preserve"> </w:t>
            </w:r>
            <w:r w:rsidR="005249D1">
              <w:rPr>
                <w:rFonts w:eastAsia="Calibri"/>
              </w:rPr>
              <w:t>(46)</w:t>
            </w:r>
          </w:p>
        </w:tc>
        <w:tc>
          <w:tcPr>
            <w:tcW w:w="1410" w:type="dxa"/>
            <w:tcBorders>
              <w:left w:val="nil"/>
              <w:right w:val="nil"/>
            </w:tcBorders>
          </w:tcPr>
          <w:p w14:paraId="0BE2D4EA" w14:textId="77777777" w:rsidR="00F60FBC" w:rsidRPr="00930D9C" w:rsidRDefault="00F60FBC">
            <w:pPr>
              <w:rPr>
                <w:rFonts w:eastAsia="Calibri"/>
              </w:rPr>
            </w:pPr>
            <w:r w:rsidRPr="00930D9C">
              <w:rPr>
                <w:rFonts w:eastAsia="Calibri"/>
              </w:rPr>
              <w:t>Report</w:t>
            </w:r>
          </w:p>
        </w:tc>
        <w:tc>
          <w:tcPr>
            <w:tcW w:w="1215" w:type="dxa"/>
            <w:tcBorders>
              <w:left w:val="nil"/>
              <w:right w:val="nil"/>
            </w:tcBorders>
          </w:tcPr>
          <w:p w14:paraId="180EC3EA" w14:textId="77777777" w:rsidR="00F60FBC" w:rsidRPr="00930D9C" w:rsidRDefault="00F60FBC">
            <w:pPr>
              <w:rPr>
                <w:rFonts w:eastAsia="Calibri"/>
              </w:rPr>
            </w:pPr>
            <w:r w:rsidRPr="00930D9C">
              <w:rPr>
                <w:rFonts w:eastAsia="Calibri"/>
              </w:rPr>
              <w:t>Australia</w:t>
            </w:r>
          </w:p>
        </w:tc>
        <w:tc>
          <w:tcPr>
            <w:tcW w:w="7635" w:type="dxa"/>
            <w:tcBorders>
              <w:left w:val="nil"/>
              <w:right w:val="nil"/>
            </w:tcBorders>
          </w:tcPr>
          <w:p w14:paraId="097EB69C" w14:textId="77777777" w:rsidR="00F60FBC" w:rsidRPr="00930D9C" w:rsidRDefault="00F60FBC">
            <w:pPr>
              <w:rPr>
                <w:rFonts w:eastAsia="Calibri"/>
              </w:rPr>
            </w:pPr>
            <w:r w:rsidRPr="00930D9C">
              <w:rPr>
                <w:rFonts w:eastAsia="Calibri"/>
              </w:rPr>
              <w:t>This guide outlines the development of the NSW Aboriginal Mental Health Worker Training Program, its development over the years, and best practice for training AMHWs.</w:t>
            </w:r>
          </w:p>
        </w:tc>
      </w:tr>
      <w:tr w:rsidR="00F60FBC" w:rsidRPr="00930D9C" w14:paraId="3781670B" w14:textId="77777777" w:rsidTr="00C061F7">
        <w:tc>
          <w:tcPr>
            <w:tcW w:w="2700" w:type="dxa"/>
            <w:tcBorders>
              <w:left w:val="nil"/>
              <w:right w:val="nil"/>
            </w:tcBorders>
          </w:tcPr>
          <w:p w14:paraId="201CE9A8" w14:textId="53FCFDBC" w:rsidR="00F60FBC" w:rsidRPr="00930D9C" w:rsidRDefault="00F60FBC">
            <w:pPr>
              <w:rPr>
                <w:rFonts w:eastAsia="Calibri"/>
              </w:rPr>
            </w:pPr>
            <w:r w:rsidRPr="00930D9C">
              <w:rPr>
                <w:rFonts w:eastAsia="Calibri"/>
              </w:rPr>
              <w:t>Watson</w:t>
            </w:r>
            <w:r>
              <w:rPr>
                <w:rFonts w:eastAsia="Calibri"/>
              </w:rPr>
              <w:t xml:space="preserve"> </w:t>
            </w:r>
            <w:r w:rsidRPr="00930D9C">
              <w:rPr>
                <w:rFonts w:eastAsia="Calibri"/>
              </w:rPr>
              <w:t>and Harrison,</w:t>
            </w:r>
            <w:r>
              <w:rPr>
                <w:rFonts w:eastAsia="Calibri"/>
              </w:rPr>
              <w:t xml:space="preserve"> </w:t>
            </w:r>
            <w:r w:rsidRPr="00930D9C">
              <w:rPr>
                <w:rFonts w:eastAsia="Calibri"/>
              </w:rPr>
              <w:t xml:space="preserve">2009 </w:t>
            </w:r>
            <w:r w:rsidR="005249D1">
              <w:rPr>
                <w:rFonts w:eastAsia="Calibri"/>
              </w:rPr>
              <w:t>(1</w:t>
            </w:r>
            <w:r w:rsidR="00346FDB">
              <w:rPr>
                <w:rFonts w:eastAsia="Calibri"/>
              </w:rPr>
              <w:t>5</w:t>
            </w:r>
            <w:r w:rsidR="005249D1">
              <w:rPr>
                <w:rFonts w:eastAsia="Calibri"/>
              </w:rPr>
              <w:t>)</w:t>
            </w:r>
          </w:p>
        </w:tc>
        <w:tc>
          <w:tcPr>
            <w:tcW w:w="1410" w:type="dxa"/>
            <w:tcBorders>
              <w:left w:val="nil"/>
              <w:right w:val="nil"/>
            </w:tcBorders>
          </w:tcPr>
          <w:p w14:paraId="7E30AE81" w14:textId="77777777" w:rsidR="00F60FBC" w:rsidRPr="00930D9C" w:rsidRDefault="00F60FBC">
            <w:pPr>
              <w:rPr>
                <w:rFonts w:eastAsia="Calibri"/>
              </w:rPr>
            </w:pPr>
            <w:r w:rsidRPr="00930D9C">
              <w:rPr>
                <w:rFonts w:eastAsia="Calibri"/>
              </w:rPr>
              <w:t>Report</w:t>
            </w:r>
          </w:p>
        </w:tc>
        <w:tc>
          <w:tcPr>
            <w:tcW w:w="1215" w:type="dxa"/>
            <w:tcBorders>
              <w:left w:val="nil"/>
              <w:right w:val="nil"/>
            </w:tcBorders>
          </w:tcPr>
          <w:p w14:paraId="2CA392EF" w14:textId="77777777" w:rsidR="00F60FBC" w:rsidRPr="00930D9C" w:rsidRDefault="00F60FBC">
            <w:pPr>
              <w:rPr>
                <w:rFonts w:eastAsia="Calibri"/>
              </w:rPr>
            </w:pPr>
            <w:r w:rsidRPr="00930D9C">
              <w:rPr>
                <w:rFonts w:eastAsia="Calibri"/>
              </w:rPr>
              <w:t>Australia</w:t>
            </w:r>
          </w:p>
        </w:tc>
        <w:tc>
          <w:tcPr>
            <w:tcW w:w="7635" w:type="dxa"/>
            <w:tcBorders>
              <w:left w:val="nil"/>
              <w:right w:val="nil"/>
            </w:tcBorders>
          </w:tcPr>
          <w:p w14:paraId="1A48AF45" w14:textId="77777777" w:rsidR="00F60FBC" w:rsidRPr="00930D9C" w:rsidRDefault="00F60FBC">
            <w:pPr>
              <w:rPr>
                <w:rFonts w:eastAsia="Calibri"/>
              </w:rPr>
            </w:pPr>
            <w:r w:rsidRPr="00930D9C">
              <w:rPr>
                <w:rFonts w:eastAsia="Calibri"/>
              </w:rPr>
              <w:t xml:space="preserve">Authors evaluated the first year of the NSW Aboriginal Mental Health Worker Training Program to identify practices that could inform future implementation of the program. </w:t>
            </w:r>
          </w:p>
          <w:p w14:paraId="7178B8BD" w14:textId="77777777" w:rsidR="00F60FBC" w:rsidRPr="00930D9C" w:rsidRDefault="00F60FBC">
            <w:pPr>
              <w:rPr>
                <w:rFonts w:eastAsia="Calibri"/>
              </w:rPr>
            </w:pPr>
            <w:r w:rsidRPr="00930D9C">
              <w:rPr>
                <w:rFonts w:eastAsia="Calibri"/>
              </w:rPr>
              <w:t>Key findings include:</w:t>
            </w:r>
          </w:p>
          <w:p w14:paraId="3F542039" w14:textId="77777777" w:rsidR="00F60FBC" w:rsidRPr="00930D9C" w:rsidRDefault="00F60FBC">
            <w:pPr>
              <w:rPr>
                <w:rFonts w:eastAsia="Calibri"/>
              </w:rPr>
            </w:pPr>
            <w:r w:rsidRPr="00930D9C">
              <w:rPr>
                <w:rFonts w:eastAsia="Calibri"/>
              </w:rPr>
              <w:t>-Briefing support staff about the program and roles of the trainees.</w:t>
            </w:r>
          </w:p>
          <w:p w14:paraId="19650466" w14:textId="77777777" w:rsidR="00F60FBC" w:rsidRPr="00930D9C" w:rsidRDefault="00F60FBC">
            <w:pPr>
              <w:rPr>
                <w:rFonts w:eastAsia="Calibri"/>
              </w:rPr>
            </w:pPr>
            <w:r w:rsidRPr="00930D9C">
              <w:rPr>
                <w:rFonts w:eastAsia="Calibri"/>
              </w:rPr>
              <w:t>-Preparing an office space for trainees.</w:t>
            </w:r>
          </w:p>
          <w:p w14:paraId="536680CA" w14:textId="77777777" w:rsidR="00F60FBC" w:rsidRPr="00930D9C" w:rsidRDefault="00F60FBC">
            <w:pPr>
              <w:rPr>
                <w:rFonts w:eastAsia="Calibri"/>
              </w:rPr>
            </w:pPr>
            <w:r w:rsidRPr="00930D9C">
              <w:rPr>
                <w:rFonts w:eastAsia="Calibri"/>
              </w:rPr>
              <w:lastRenderedPageBreak/>
              <w:t xml:space="preserve">-Detailed position descriptions that mention the full-time work and study nature of the job. </w:t>
            </w:r>
          </w:p>
          <w:p w14:paraId="1E67A704" w14:textId="77777777" w:rsidR="00F60FBC" w:rsidRPr="00930D9C" w:rsidRDefault="00F60FBC">
            <w:pPr>
              <w:rPr>
                <w:rFonts w:eastAsia="Calibri"/>
              </w:rPr>
            </w:pPr>
            <w:r w:rsidRPr="00930D9C">
              <w:rPr>
                <w:rFonts w:eastAsia="Calibri"/>
              </w:rPr>
              <w:t>-Involving Indigenous communities in the recruitment process.</w:t>
            </w:r>
          </w:p>
          <w:p w14:paraId="097F11EF" w14:textId="77777777" w:rsidR="00F60FBC" w:rsidRPr="00930D9C" w:rsidRDefault="00F60FBC">
            <w:pPr>
              <w:rPr>
                <w:rFonts w:eastAsia="Calibri"/>
              </w:rPr>
            </w:pPr>
            <w:r w:rsidRPr="00930D9C">
              <w:rPr>
                <w:rFonts w:eastAsia="Calibri"/>
              </w:rPr>
              <w:t>-Being flexible with criminal record checks.</w:t>
            </w:r>
          </w:p>
          <w:p w14:paraId="6ADFAA41" w14:textId="77777777" w:rsidR="00F60FBC" w:rsidRPr="00930D9C" w:rsidRDefault="00F60FBC">
            <w:pPr>
              <w:rPr>
                <w:rFonts w:eastAsia="Calibri"/>
              </w:rPr>
            </w:pPr>
            <w:r w:rsidRPr="00930D9C">
              <w:rPr>
                <w:rFonts w:eastAsia="Calibri"/>
              </w:rPr>
              <w:t>-Providing thorough orientations for trainees.</w:t>
            </w:r>
          </w:p>
          <w:p w14:paraId="219374CE" w14:textId="77777777" w:rsidR="00F60FBC" w:rsidRPr="00930D9C" w:rsidRDefault="00F60FBC">
            <w:pPr>
              <w:rPr>
                <w:rFonts w:eastAsia="Calibri"/>
              </w:rPr>
            </w:pPr>
            <w:r w:rsidRPr="00930D9C">
              <w:rPr>
                <w:rFonts w:eastAsia="Calibri"/>
              </w:rPr>
              <w:t xml:space="preserve">-Allocating study days during the week. </w:t>
            </w:r>
          </w:p>
          <w:p w14:paraId="30F4B99C" w14:textId="77777777" w:rsidR="00F60FBC" w:rsidRPr="00930D9C" w:rsidRDefault="00F60FBC">
            <w:pPr>
              <w:rPr>
                <w:rFonts w:eastAsia="Calibri"/>
              </w:rPr>
            </w:pPr>
            <w:r w:rsidRPr="00930D9C">
              <w:rPr>
                <w:rFonts w:eastAsia="Calibri"/>
              </w:rPr>
              <w:t xml:space="preserve">-Having realistic expectations about what trainees can do.  </w:t>
            </w:r>
          </w:p>
        </w:tc>
      </w:tr>
      <w:tr w:rsidR="00F60FBC" w:rsidRPr="00930D9C" w14:paraId="738C6BD7" w14:textId="77777777" w:rsidTr="00C061F7">
        <w:tc>
          <w:tcPr>
            <w:tcW w:w="2700" w:type="dxa"/>
            <w:tcBorders>
              <w:left w:val="nil"/>
              <w:right w:val="nil"/>
            </w:tcBorders>
          </w:tcPr>
          <w:p w14:paraId="7A5AF4DF" w14:textId="31D0DE60" w:rsidR="00F60FBC" w:rsidRPr="00930D9C" w:rsidRDefault="00F60FBC">
            <w:pPr>
              <w:rPr>
                <w:rFonts w:eastAsia="Calibri"/>
              </w:rPr>
            </w:pPr>
            <w:r w:rsidRPr="00930D9C">
              <w:rPr>
                <w:rFonts w:eastAsia="Calibri"/>
              </w:rPr>
              <w:lastRenderedPageBreak/>
              <w:t>Robinson</w:t>
            </w:r>
            <w:r>
              <w:rPr>
                <w:rFonts w:eastAsia="Calibri"/>
              </w:rPr>
              <w:t xml:space="preserve"> </w:t>
            </w:r>
            <w:r w:rsidRPr="00930D9C">
              <w:rPr>
                <w:rFonts w:eastAsia="Calibri"/>
              </w:rPr>
              <w:t xml:space="preserve"> and Harris,</w:t>
            </w:r>
            <w:r>
              <w:rPr>
                <w:rFonts w:eastAsia="Calibri"/>
              </w:rPr>
              <w:t xml:space="preserve"> </w:t>
            </w:r>
            <w:r w:rsidRPr="00930D9C">
              <w:rPr>
                <w:rFonts w:eastAsia="Calibri"/>
              </w:rPr>
              <w:t>2005</w:t>
            </w:r>
            <w:r>
              <w:rPr>
                <w:rFonts w:eastAsia="Calibri"/>
              </w:rPr>
              <w:t xml:space="preserve"> </w:t>
            </w:r>
            <w:r w:rsidR="005249D1">
              <w:rPr>
                <w:rFonts w:eastAsia="Calibri"/>
              </w:rPr>
              <w:t>(40)</w:t>
            </w:r>
          </w:p>
        </w:tc>
        <w:tc>
          <w:tcPr>
            <w:tcW w:w="1410" w:type="dxa"/>
            <w:tcBorders>
              <w:left w:val="nil"/>
              <w:right w:val="nil"/>
            </w:tcBorders>
          </w:tcPr>
          <w:p w14:paraId="231C5A40" w14:textId="77777777" w:rsidR="00F60FBC" w:rsidRPr="00930D9C" w:rsidRDefault="00F60FBC">
            <w:pPr>
              <w:rPr>
                <w:rFonts w:eastAsia="Calibri"/>
              </w:rPr>
            </w:pPr>
            <w:r w:rsidRPr="00930D9C">
              <w:rPr>
                <w:rFonts w:eastAsia="Calibri"/>
              </w:rPr>
              <w:t>Report</w:t>
            </w:r>
          </w:p>
        </w:tc>
        <w:tc>
          <w:tcPr>
            <w:tcW w:w="1215" w:type="dxa"/>
            <w:tcBorders>
              <w:left w:val="nil"/>
              <w:right w:val="nil"/>
            </w:tcBorders>
          </w:tcPr>
          <w:p w14:paraId="11BEFCF4" w14:textId="77777777" w:rsidR="00F60FBC" w:rsidRPr="00930D9C" w:rsidRDefault="00F60FBC">
            <w:pPr>
              <w:rPr>
                <w:rFonts w:eastAsia="Calibri"/>
              </w:rPr>
            </w:pPr>
            <w:r w:rsidRPr="00930D9C">
              <w:rPr>
                <w:rFonts w:eastAsia="Calibri"/>
              </w:rPr>
              <w:t>Australia</w:t>
            </w:r>
          </w:p>
        </w:tc>
        <w:tc>
          <w:tcPr>
            <w:tcW w:w="7635" w:type="dxa"/>
            <w:tcBorders>
              <w:left w:val="nil"/>
              <w:right w:val="nil"/>
            </w:tcBorders>
          </w:tcPr>
          <w:p w14:paraId="66FADCDA" w14:textId="77777777" w:rsidR="00F60FBC" w:rsidRPr="00930D9C" w:rsidRDefault="00F60FBC">
            <w:pPr>
              <w:rPr>
                <w:rFonts w:eastAsia="Calibri"/>
              </w:rPr>
            </w:pPr>
            <w:r w:rsidRPr="00930D9C">
              <w:rPr>
                <w:rFonts w:eastAsia="Calibri"/>
              </w:rPr>
              <w:t xml:space="preserve">Outlines findings from the evaluation of the Aboriginal Mental Health Worker Program, which described the work of the AMHWs and assessed the degree to which they were integrated in mental health care. </w:t>
            </w:r>
          </w:p>
          <w:p w14:paraId="40F78A96" w14:textId="77777777" w:rsidR="00F60FBC" w:rsidRPr="00930D9C" w:rsidRDefault="00F60FBC">
            <w:pPr>
              <w:rPr>
                <w:rFonts w:eastAsia="Calibri"/>
              </w:rPr>
            </w:pPr>
          </w:p>
        </w:tc>
      </w:tr>
      <w:tr w:rsidR="00F60FBC" w:rsidRPr="00930D9C" w14:paraId="0C0D8FDE" w14:textId="77777777" w:rsidTr="00C061F7">
        <w:tc>
          <w:tcPr>
            <w:tcW w:w="2700" w:type="dxa"/>
            <w:tcBorders>
              <w:left w:val="nil"/>
              <w:right w:val="nil"/>
            </w:tcBorders>
          </w:tcPr>
          <w:p w14:paraId="6D11FEA7" w14:textId="336760B9" w:rsidR="00F60FBC" w:rsidRPr="00930D9C" w:rsidRDefault="00F60FBC">
            <w:pPr>
              <w:rPr>
                <w:rFonts w:eastAsia="Calibri"/>
                <w:color w:val="212121"/>
              </w:rPr>
            </w:pPr>
            <w:r w:rsidRPr="00E67690">
              <w:rPr>
                <w:rFonts w:eastAsia="Calibri"/>
                <w:color w:val="212121"/>
              </w:rPr>
              <w:t>Dudgeon</w:t>
            </w:r>
            <w:r>
              <w:rPr>
                <w:rFonts w:eastAsia="Calibri"/>
                <w:color w:val="212121"/>
              </w:rPr>
              <w:t xml:space="preserve">, Milroy, </w:t>
            </w:r>
            <w:r w:rsidRPr="00E67690">
              <w:rPr>
                <w:rFonts w:eastAsia="Calibri"/>
                <w:color w:val="212121"/>
              </w:rPr>
              <w:t>and</w:t>
            </w:r>
            <w:r>
              <w:rPr>
                <w:rFonts w:eastAsia="Calibri"/>
                <w:color w:val="212121"/>
              </w:rPr>
              <w:t xml:space="preserve"> </w:t>
            </w:r>
            <w:r w:rsidRPr="00E67690">
              <w:rPr>
                <w:rFonts w:eastAsia="Calibri"/>
                <w:color w:val="212121"/>
              </w:rPr>
              <w:t>Walker</w:t>
            </w:r>
            <w:r>
              <w:rPr>
                <w:rFonts w:eastAsia="Calibri"/>
                <w:color w:val="212121"/>
              </w:rPr>
              <w:t xml:space="preserve">, </w:t>
            </w:r>
            <w:r w:rsidRPr="00930D9C">
              <w:rPr>
                <w:rFonts w:eastAsia="Calibri"/>
                <w:color w:val="212121"/>
              </w:rPr>
              <w:t>2014</w:t>
            </w:r>
            <w:r>
              <w:rPr>
                <w:rFonts w:eastAsia="Calibri"/>
                <w:color w:val="212121"/>
              </w:rPr>
              <w:t xml:space="preserve"> </w:t>
            </w:r>
            <w:r w:rsidR="005249D1">
              <w:rPr>
                <w:rFonts w:eastAsia="Calibri"/>
                <w:color w:val="212121"/>
              </w:rPr>
              <w:t>(44)</w:t>
            </w:r>
          </w:p>
        </w:tc>
        <w:tc>
          <w:tcPr>
            <w:tcW w:w="1410" w:type="dxa"/>
            <w:tcBorders>
              <w:left w:val="nil"/>
              <w:right w:val="nil"/>
            </w:tcBorders>
          </w:tcPr>
          <w:p w14:paraId="0AB6D6B1" w14:textId="77777777" w:rsidR="00F60FBC" w:rsidRPr="00930D9C" w:rsidRDefault="00F60FBC">
            <w:pPr>
              <w:rPr>
                <w:rFonts w:eastAsia="Calibri"/>
              </w:rPr>
            </w:pPr>
            <w:r w:rsidRPr="00930D9C">
              <w:rPr>
                <w:rFonts w:eastAsia="Calibri"/>
              </w:rPr>
              <w:t>Report</w:t>
            </w:r>
          </w:p>
        </w:tc>
        <w:tc>
          <w:tcPr>
            <w:tcW w:w="1215" w:type="dxa"/>
            <w:tcBorders>
              <w:left w:val="nil"/>
              <w:right w:val="nil"/>
            </w:tcBorders>
          </w:tcPr>
          <w:p w14:paraId="23570916" w14:textId="77777777" w:rsidR="00F60FBC" w:rsidRPr="00930D9C" w:rsidRDefault="00F60FBC">
            <w:pPr>
              <w:rPr>
                <w:rFonts w:eastAsia="Calibri"/>
              </w:rPr>
            </w:pPr>
            <w:r w:rsidRPr="00930D9C">
              <w:rPr>
                <w:rFonts w:eastAsia="Calibri"/>
              </w:rPr>
              <w:t>Australia</w:t>
            </w:r>
          </w:p>
        </w:tc>
        <w:tc>
          <w:tcPr>
            <w:tcW w:w="7635" w:type="dxa"/>
            <w:tcBorders>
              <w:left w:val="nil"/>
              <w:right w:val="nil"/>
            </w:tcBorders>
          </w:tcPr>
          <w:p w14:paraId="5D046117" w14:textId="77777777" w:rsidR="00F60FBC" w:rsidRPr="00930D9C" w:rsidRDefault="00F60FBC">
            <w:pPr>
              <w:rPr>
                <w:rFonts w:eastAsia="Calibri"/>
              </w:rPr>
            </w:pPr>
            <w:r w:rsidRPr="00930D9C">
              <w:rPr>
                <w:rFonts w:eastAsia="Calibri"/>
              </w:rPr>
              <w:t xml:space="preserve">This book provides culturally appropriate resources, </w:t>
            </w:r>
            <w:proofErr w:type="gramStart"/>
            <w:r w:rsidRPr="00930D9C">
              <w:rPr>
                <w:rFonts w:eastAsia="Calibri"/>
              </w:rPr>
              <w:t>practices</w:t>
            </w:r>
            <w:proofErr w:type="gramEnd"/>
            <w:r w:rsidRPr="00930D9C">
              <w:rPr>
                <w:rFonts w:eastAsia="Calibri"/>
              </w:rPr>
              <w:t xml:space="preserve"> and strategies to enhance the effectiveness of services provided to Aboriginal and Torres Strait Islander peoples dealing with mental health challenges.</w:t>
            </w:r>
          </w:p>
        </w:tc>
      </w:tr>
    </w:tbl>
    <w:p w14:paraId="30F9AC3D" w14:textId="48CEEF75" w:rsidR="005C03E1" w:rsidRDefault="005C03E1" w:rsidP="0044580A">
      <w:pPr>
        <w:rPr>
          <w:rFonts w:eastAsia="Calibri"/>
          <w:b/>
        </w:rPr>
      </w:pPr>
    </w:p>
    <w:sectPr w:rsidR="005C03E1" w:rsidSect="001F7E39">
      <w:pgSz w:w="15840" w:h="12240" w:orient="landscape"/>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829B9" w14:textId="77777777" w:rsidR="001F7E39" w:rsidRDefault="001F7E39">
      <w:r>
        <w:separator/>
      </w:r>
    </w:p>
  </w:endnote>
  <w:endnote w:type="continuationSeparator" w:id="0">
    <w:p w14:paraId="2A7E2AB5" w14:textId="77777777" w:rsidR="001F7E39" w:rsidRDefault="001F7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1C43" w14:textId="77777777" w:rsidR="005C03E1" w:rsidRDefault="00E4622F">
    <w:pPr>
      <w:pBdr>
        <w:top w:val="nil"/>
        <w:left w:val="nil"/>
        <w:bottom w:val="nil"/>
        <w:right w:val="nil"/>
        <w:between w:val="nil"/>
      </w:pBdr>
      <w:tabs>
        <w:tab w:val="center" w:pos="4680"/>
        <w:tab w:val="right" w:pos="9360"/>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sidR="00000000">
      <w:rPr>
        <w:rFonts w:ascii="Calibri" w:eastAsia="Calibri" w:hAnsi="Calibri" w:cs="Calibri"/>
        <w:color w:val="000000"/>
      </w:rPr>
      <w:fldChar w:fldCharType="separate"/>
    </w:r>
    <w:r>
      <w:rPr>
        <w:rFonts w:ascii="Calibri" w:eastAsia="Calibri" w:hAnsi="Calibri" w:cs="Calibri"/>
        <w:color w:val="000000"/>
      </w:rPr>
      <w:fldChar w:fldCharType="end"/>
    </w:r>
  </w:p>
  <w:p w14:paraId="2E0DFFD9" w14:textId="77777777" w:rsidR="005C03E1" w:rsidRDefault="005C03E1">
    <w:pPr>
      <w:pBdr>
        <w:top w:val="nil"/>
        <w:left w:val="nil"/>
        <w:bottom w:val="nil"/>
        <w:right w:val="nil"/>
        <w:between w:val="nil"/>
      </w:pBdr>
      <w:tabs>
        <w:tab w:val="center" w:pos="4680"/>
        <w:tab w:val="right" w:pos="9360"/>
      </w:tabs>
      <w:ind w:right="360"/>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426361"/>
      <w:docPartObj>
        <w:docPartGallery w:val="Page Numbers (Bottom of Page)"/>
        <w:docPartUnique/>
      </w:docPartObj>
    </w:sdtPr>
    <w:sdtContent>
      <w:sdt>
        <w:sdtPr>
          <w:id w:val="-1769616900"/>
          <w:docPartObj>
            <w:docPartGallery w:val="Page Numbers (Top of Page)"/>
            <w:docPartUnique/>
          </w:docPartObj>
        </w:sdtPr>
        <w:sdtContent>
          <w:p w14:paraId="10FD064E" w14:textId="16069D5E" w:rsidR="001F2F84" w:rsidRDefault="001F2F8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50FBA" w14:textId="77777777" w:rsidR="001F7E39" w:rsidRDefault="001F7E39">
      <w:r>
        <w:separator/>
      </w:r>
    </w:p>
  </w:footnote>
  <w:footnote w:type="continuationSeparator" w:id="0">
    <w:p w14:paraId="78DA01F1" w14:textId="77777777" w:rsidR="001F7E39" w:rsidRDefault="001F7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5420" w14:textId="13E624C1" w:rsidR="005C03E1" w:rsidRDefault="00E4622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CB5217">
      <w:rPr>
        <w:noProof/>
        <w:color w:val="000000"/>
      </w:rPr>
      <w:t>24</w:t>
    </w:r>
    <w:r>
      <w:rPr>
        <w:color w:val="000000"/>
      </w:rPr>
      <w:fldChar w:fldCharType="end"/>
    </w:r>
  </w:p>
  <w:p w14:paraId="466026FE" w14:textId="77777777" w:rsidR="005C03E1" w:rsidRDefault="005C03E1">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4FEB" w14:textId="24892719" w:rsidR="005C03E1" w:rsidRDefault="005C03E1" w:rsidP="00805923">
    <w:pPr>
      <w:pBdr>
        <w:top w:val="nil"/>
        <w:left w:val="nil"/>
        <w:bottom w:val="nil"/>
        <w:right w:val="nil"/>
        <w:between w:val="nil"/>
      </w:pBdr>
      <w:tabs>
        <w:tab w:val="center" w:pos="4680"/>
        <w:tab w:val="right" w:pos="9360"/>
      </w:tabs>
      <w:ind w:right="110"/>
      <w:jc w:val="right"/>
      <w:rPr>
        <w:rFonts w:ascii="Calibri" w:eastAsia="Calibri" w:hAnsi="Calibri" w:cs="Calibri"/>
        <w:color w:val="000000"/>
        <w:sz w:val="20"/>
        <w:szCs w:val="20"/>
      </w:rPr>
    </w:pPr>
  </w:p>
  <w:p w14:paraId="2AB1AC3C" w14:textId="77777777" w:rsidR="005C03E1" w:rsidRDefault="005C03E1">
    <w:pPr>
      <w:pBdr>
        <w:top w:val="nil"/>
        <w:left w:val="nil"/>
        <w:bottom w:val="nil"/>
        <w:right w:val="nil"/>
        <w:between w:val="nil"/>
      </w:pBdr>
      <w:tabs>
        <w:tab w:val="center" w:pos="4680"/>
        <w:tab w:val="right" w:pos="936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112E"/>
    <w:multiLevelType w:val="multilevel"/>
    <w:tmpl w:val="A7AE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CA31AA"/>
    <w:multiLevelType w:val="multilevel"/>
    <w:tmpl w:val="A7AE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DD3297"/>
    <w:multiLevelType w:val="hybridMultilevel"/>
    <w:tmpl w:val="79B21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17DCD"/>
    <w:multiLevelType w:val="hybridMultilevel"/>
    <w:tmpl w:val="27B24CB2"/>
    <w:lvl w:ilvl="0" w:tplc="CCDEDE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84690"/>
    <w:multiLevelType w:val="hybridMultilevel"/>
    <w:tmpl w:val="A810E2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CA31DC"/>
    <w:multiLevelType w:val="multilevel"/>
    <w:tmpl w:val="1A9A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81E9E"/>
    <w:multiLevelType w:val="hybridMultilevel"/>
    <w:tmpl w:val="A62A4C5C"/>
    <w:lvl w:ilvl="0" w:tplc="DF3E0E6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A4F57"/>
    <w:multiLevelType w:val="hybridMultilevel"/>
    <w:tmpl w:val="28B4DD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8137C62"/>
    <w:multiLevelType w:val="hybridMultilevel"/>
    <w:tmpl w:val="03AAC9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C3327C7"/>
    <w:multiLevelType w:val="multilevel"/>
    <w:tmpl w:val="A7AE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A17A3E"/>
    <w:multiLevelType w:val="hybridMultilevel"/>
    <w:tmpl w:val="F0F2F290"/>
    <w:lvl w:ilvl="0" w:tplc="80409EEA">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24F1520"/>
    <w:multiLevelType w:val="multilevel"/>
    <w:tmpl w:val="657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71750"/>
    <w:multiLevelType w:val="hybridMultilevel"/>
    <w:tmpl w:val="13203744"/>
    <w:lvl w:ilvl="0" w:tplc="DF3E0E6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711689"/>
    <w:multiLevelType w:val="hybridMultilevel"/>
    <w:tmpl w:val="4448D594"/>
    <w:lvl w:ilvl="0" w:tplc="5FCA5B32">
      <w:start w:val="1"/>
      <w:numFmt w:val="bullet"/>
      <w:lvlText w:val=""/>
      <w:lvlJc w:val="left"/>
      <w:pPr>
        <w:ind w:left="1080" w:hanging="360"/>
      </w:pPr>
      <w:rPr>
        <w:rFonts w:ascii="Symbol" w:hAnsi="Symbol"/>
      </w:rPr>
    </w:lvl>
    <w:lvl w:ilvl="1" w:tplc="1F36BDA0">
      <w:start w:val="1"/>
      <w:numFmt w:val="bullet"/>
      <w:lvlText w:val=""/>
      <w:lvlJc w:val="left"/>
      <w:pPr>
        <w:ind w:left="1440" w:hanging="360"/>
      </w:pPr>
      <w:rPr>
        <w:rFonts w:ascii="Symbol" w:hAnsi="Symbol"/>
      </w:rPr>
    </w:lvl>
    <w:lvl w:ilvl="2" w:tplc="824ADC4A">
      <w:start w:val="1"/>
      <w:numFmt w:val="bullet"/>
      <w:lvlText w:val=""/>
      <w:lvlJc w:val="left"/>
      <w:pPr>
        <w:ind w:left="1080" w:hanging="360"/>
      </w:pPr>
      <w:rPr>
        <w:rFonts w:ascii="Symbol" w:hAnsi="Symbol"/>
      </w:rPr>
    </w:lvl>
    <w:lvl w:ilvl="3" w:tplc="C08404B8">
      <w:start w:val="1"/>
      <w:numFmt w:val="bullet"/>
      <w:lvlText w:val=""/>
      <w:lvlJc w:val="left"/>
      <w:pPr>
        <w:ind w:left="1080" w:hanging="360"/>
      </w:pPr>
      <w:rPr>
        <w:rFonts w:ascii="Symbol" w:hAnsi="Symbol"/>
      </w:rPr>
    </w:lvl>
    <w:lvl w:ilvl="4" w:tplc="69986D90">
      <w:start w:val="1"/>
      <w:numFmt w:val="bullet"/>
      <w:lvlText w:val=""/>
      <w:lvlJc w:val="left"/>
      <w:pPr>
        <w:ind w:left="1080" w:hanging="360"/>
      </w:pPr>
      <w:rPr>
        <w:rFonts w:ascii="Symbol" w:hAnsi="Symbol"/>
      </w:rPr>
    </w:lvl>
    <w:lvl w:ilvl="5" w:tplc="8864C562">
      <w:start w:val="1"/>
      <w:numFmt w:val="bullet"/>
      <w:lvlText w:val=""/>
      <w:lvlJc w:val="left"/>
      <w:pPr>
        <w:ind w:left="1080" w:hanging="360"/>
      </w:pPr>
      <w:rPr>
        <w:rFonts w:ascii="Symbol" w:hAnsi="Symbol"/>
      </w:rPr>
    </w:lvl>
    <w:lvl w:ilvl="6" w:tplc="EA98545C">
      <w:start w:val="1"/>
      <w:numFmt w:val="bullet"/>
      <w:lvlText w:val=""/>
      <w:lvlJc w:val="left"/>
      <w:pPr>
        <w:ind w:left="1080" w:hanging="360"/>
      </w:pPr>
      <w:rPr>
        <w:rFonts w:ascii="Symbol" w:hAnsi="Symbol"/>
      </w:rPr>
    </w:lvl>
    <w:lvl w:ilvl="7" w:tplc="D2F0FCF2">
      <w:start w:val="1"/>
      <w:numFmt w:val="bullet"/>
      <w:lvlText w:val=""/>
      <w:lvlJc w:val="left"/>
      <w:pPr>
        <w:ind w:left="1080" w:hanging="360"/>
      </w:pPr>
      <w:rPr>
        <w:rFonts w:ascii="Symbol" w:hAnsi="Symbol"/>
      </w:rPr>
    </w:lvl>
    <w:lvl w:ilvl="8" w:tplc="6EA2C400">
      <w:start w:val="1"/>
      <w:numFmt w:val="bullet"/>
      <w:lvlText w:val=""/>
      <w:lvlJc w:val="left"/>
      <w:pPr>
        <w:ind w:left="1080" w:hanging="360"/>
      </w:pPr>
      <w:rPr>
        <w:rFonts w:ascii="Symbol" w:hAnsi="Symbol"/>
      </w:rPr>
    </w:lvl>
  </w:abstractNum>
  <w:abstractNum w:abstractNumId="14" w15:restartNumberingAfterBreak="0">
    <w:nsid w:val="577F6E63"/>
    <w:multiLevelType w:val="hybridMultilevel"/>
    <w:tmpl w:val="96E2F6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A4429EF"/>
    <w:multiLevelType w:val="hybridMultilevel"/>
    <w:tmpl w:val="BC4C334C"/>
    <w:lvl w:ilvl="0" w:tplc="DF3E0E6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B249BB"/>
    <w:multiLevelType w:val="hybridMultilevel"/>
    <w:tmpl w:val="9AC290BE"/>
    <w:lvl w:ilvl="0" w:tplc="432691C6">
      <w:start w:val="1"/>
      <w:numFmt w:val="bullet"/>
      <w:lvlText w:val=""/>
      <w:lvlJc w:val="left"/>
      <w:pPr>
        <w:ind w:left="1080" w:hanging="360"/>
      </w:pPr>
      <w:rPr>
        <w:rFonts w:ascii="Symbol" w:hAnsi="Symbol"/>
      </w:rPr>
    </w:lvl>
    <w:lvl w:ilvl="1" w:tplc="E5E666EE">
      <w:start w:val="1"/>
      <w:numFmt w:val="bullet"/>
      <w:lvlText w:val=""/>
      <w:lvlJc w:val="left"/>
      <w:pPr>
        <w:ind w:left="1080" w:hanging="360"/>
      </w:pPr>
      <w:rPr>
        <w:rFonts w:ascii="Symbol" w:hAnsi="Symbol"/>
      </w:rPr>
    </w:lvl>
    <w:lvl w:ilvl="2" w:tplc="1B167D38">
      <w:start w:val="1"/>
      <w:numFmt w:val="bullet"/>
      <w:lvlText w:val=""/>
      <w:lvlJc w:val="left"/>
      <w:pPr>
        <w:ind w:left="1080" w:hanging="360"/>
      </w:pPr>
      <w:rPr>
        <w:rFonts w:ascii="Symbol" w:hAnsi="Symbol"/>
      </w:rPr>
    </w:lvl>
    <w:lvl w:ilvl="3" w:tplc="5D6C6B1C">
      <w:start w:val="1"/>
      <w:numFmt w:val="bullet"/>
      <w:lvlText w:val=""/>
      <w:lvlJc w:val="left"/>
      <w:pPr>
        <w:ind w:left="1080" w:hanging="360"/>
      </w:pPr>
      <w:rPr>
        <w:rFonts w:ascii="Symbol" w:hAnsi="Symbol"/>
      </w:rPr>
    </w:lvl>
    <w:lvl w:ilvl="4" w:tplc="7D8E4684">
      <w:start w:val="1"/>
      <w:numFmt w:val="bullet"/>
      <w:lvlText w:val=""/>
      <w:lvlJc w:val="left"/>
      <w:pPr>
        <w:ind w:left="1080" w:hanging="360"/>
      </w:pPr>
      <w:rPr>
        <w:rFonts w:ascii="Symbol" w:hAnsi="Symbol"/>
      </w:rPr>
    </w:lvl>
    <w:lvl w:ilvl="5" w:tplc="A4F27960">
      <w:start w:val="1"/>
      <w:numFmt w:val="bullet"/>
      <w:lvlText w:val=""/>
      <w:lvlJc w:val="left"/>
      <w:pPr>
        <w:ind w:left="1080" w:hanging="360"/>
      </w:pPr>
      <w:rPr>
        <w:rFonts w:ascii="Symbol" w:hAnsi="Symbol"/>
      </w:rPr>
    </w:lvl>
    <w:lvl w:ilvl="6" w:tplc="C77EDB08">
      <w:start w:val="1"/>
      <w:numFmt w:val="bullet"/>
      <w:lvlText w:val=""/>
      <w:lvlJc w:val="left"/>
      <w:pPr>
        <w:ind w:left="1080" w:hanging="360"/>
      </w:pPr>
      <w:rPr>
        <w:rFonts w:ascii="Symbol" w:hAnsi="Symbol"/>
      </w:rPr>
    </w:lvl>
    <w:lvl w:ilvl="7" w:tplc="4EE041F8">
      <w:start w:val="1"/>
      <w:numFmt w:val="bullet"/>
      <w:lvlText w:val=""/>
      <w:lvlJc w:val="left"/>
      <w:pPr>
        <w:ind w:left="1080" w:hanging="360"/>
      </w:pPr>
      <w:rPr>
        <w:rFonts w:ascii="Symbol" w:hAnsi="Symbol"/>
      </w:rPr>
    </w:lvl>
    <w:lvl w:ilvl="8" w:tplc="59463BBA">
      <w:start w:val="1"/>
      <w:numFmt w:val="bullet"/>
      <w:lvlText w:val=""/>
      <w:lvlJc w:val="left"/>
      <w:pPr>
        <w:ind w:left="1080" w:hanging="360"/>
      </w:pPr>
      <w:rPr>
        <w:rFonts w:ascii="Symbol" w:hAnsi="Symbol"/>
      </w:rPr>
    </w:lvl>
  </w:abstractNum>
  <w:abstractNum w:abstractNumId="17" w15:restartNumberingAfterBreak="0">
    <w:nsid w:val="67D1054C"/>
    <w:multiLevelType w:val="hybridMultilevel"/>
    <w:tmpl w:val="ECC02A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AEC3E3C"/>
    <w:multiLevelType w:val="multilevel"/>
    <w:tmpl w:val="9416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1710A9"/>
    <w:multiLevelType w:val="hybridMultilevel"/>
    <w:tmpl w:val="CF28ADFC"/>
    <w:lvl w:ilvl="0" w:tplc="DF3E0E6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1566B2"/>
    <w:multiLevelType w:val="hybridMultilevel"/>
    <w:tmpl w:val="79B21F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C513C1"/>
    <w:multiLevelType w:val="hybridMultilevel"/>
    <w:tmpl w:val="F4CCD85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56519932">
    <w:abstractNumId w:val="2"/>
  </w:num>
  <w:num w:numId="2" w16cid:durableId="138108250">
    <w:abstractNumId w:val="0"/>
  </w:num>
  <w:num w:numId="3" w16cid:durableId="1760054362">
    <w:abstractNumId w:val="18"/>
  </w:num>
  <w:num w:numId="4" w16cid:durableId="45497918">
    <w:abstractNumId w:val="11"/>
  </w:num>
  <w:num w:numId="5" w16cid:durableId="1895775903">
    <w:abstractNumId w:val="5"/>
  </w:num>
  <w:num w:numId="6" w16cid:durableId="126123275">
    <w:abstractNumId w:val="3"/>
  </w:num>
  <w:num w:numId="7" w16cid:durableId="1908690381">
    <w:abstractNumId w:val="15"/>
  </w:num>
  <w:num w:numId="8" w16cid:durableId="1653827919">
    <w:abstractNumId w:val="12"/>
  </w:num>
  <w:num w:numId="9" w16cid:durableId="1616863075">
    <w:abstractNumId w:val="6"/>
  </w:num>
  <w:num w:numId="10" w16cid:durableId="1882933121">
    <w:abstractNumId w:val="19"/>
  </w:num>
  <w:num w:numId="11" w16cid:durableId="220749279">
    <w:abstractNumId w:val="20"/>
  </w:num>
  <w:num w:numId="12" w16cid:durableId="1599018448">
    <w:abstractNumId w:val="16"/>
  </w:num>
  <w:num w:numId="13" w16cid:durableId="952636831">
    <w:abstractNumId w:val="4"/>
  </w:num>
  <w:num w:numId="14" w16cid:durableId="716205404">
    <w:abstractNumId w:val="7"/>
  </w:num>
  <w:num w:numId="15" w16cid:durableId="66198187">
    <w:abstractNumId w:val="14"/>
  </w:num>
  <w:num w:numId="16" w16cid:durableId="1749886366">
    <w:abstractNumId w:val="17"/>
  </w:num>
  <w:num w:numId="17" w16cid:durableId="1052388792">
    <w:abstractNumId w:val="9"/>
  </w:num>
  <w:num w:numId="18" w16cid:durableId="1685790974">
    <w:abstractNumId w:val="13"/>
  </w:num>
  <w:num w:numId="19" w16cid:durableId="1692756217">
    <w:abstractNumId w:val="21"/>
  </w:num>
  <w:num w:numId="20" w16cid:durableId="234826308">
    <w:abstractNumId w:val="8"/>
  </w:num>
  <w:num w:numId="21" w16cid:durableId="365181206">
    <w:abstractNumId w:val="10"/>
  </w:num>
  <w:num w:numId="22" w16cid:durableId="102001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5C03E1"/>
    <w:rsid w:val="00000EBC"/>
    <w:rsid w:val="0000297C"/>
    <w:rsid w:val="00004B26"/>
    <w:rsid w:val="00012AC3"/>
    <w:rsid w:val="00016304"/>
    <w:rsid w:val="00021EE3"/>
    <w:rsid w:val="0002543D"/>
    <w:rsid w:val="00026F2F"/>
    <w:rsid w:val="000417EA"/>
    <w:rsid w:val="00052FCA"/>
    <w:rsid w:val="000535CD"/>
    <w:rsid w:val="00062434"/>
    <w:rsid w:val="00065119"/>
    <w:rsid w:val="00065757"/>
    <w:rsid w:val="0007272F"/>
    <w:rsid w:val="00075215"/>
    <w:rsid w:val="00075546"/>
    <w:rsid w:val="00082C46"/>
    <w:rsid w:val="00084B22"/>
    <w:rsid w:val="00084FBD"/>
    <w:rsid w:val="00085BDC"/>
    <w:rsid w:val="00086B3D"/>
    <w:rsid w:val="00090977"/>
    <w:rsid w:val="00091619"/>
    <w:rsid w:val="00091ECA"/>
    <w:rsid w:val="00092C0E"/>
    <w:rsid w:val="00095A2E"/>
    <w:rsid w:val="000A19C6"/>
    <w:rsid w:val="000A3240"/>
    <w:rsid w:val="000A489C"/>
    <w:rsid w:val="000B029D"/>
    <w:rsid w:val="000B20EB"/>
    <w:rsid w:val="000B3AC2"/>
    <w:rsid w:val="000B57F4"/>
    <w:rsid w:val="000B69A3"/>
    <w:rsid w:val="000C0B98"/>
    <w:rsid w:val="000D1242"/>
    <w:rsid w:val="000D52AF"/>
    <w:rsid w:val="000D7F7F"/>
    <w:rsid w:val="000E1C40"/>
    <w:rsid w:val="000E2176"/>
    <w:rsid w:val="000E4BC5"/>
    <w:rsid w:val="000F0AB0"/>
    <w:rsid w:val="000F3DA3"/>
    <w:rsid w:val="000F530B"/>
    <w:rsid w:val="000F553D"/>
    <w:rsid w:val="000F790A"/>
    <w:rsid w:val="0010550F"/>
    <w:rsid w:val="00106891"/>
    <w:rsid w:val="001123CF"/>
    <w:rsid w:val="001142C6"/>
    <w:rsid w:val="00114DAC"/>
    <w:rsid w:val="001171C2"/>
    <w:rsid w:val="00120A4B"/>
    <w:rsid w:val="001211D9"/>
    <w:rsid w:val="001267AC"/>
    <w:rsid w:val="0012795D"/>
    <w:rsid w:val="001329B7"/>
    <w:rsid w:val="001338C9"/>
    <w:rsid w:val="00134E7A"/>
    <w:rsid w:val="0014684C"/>
    <w:rsid w:val="00146AB2"/>
    <w:rsid w:val="00151399"/>
    <w:rsid w:val="0015578A"/>
    <w:rsid w:val="001560BD"/>
    <w:rsid w:val="001644F5"/>
    <w:rsid w:val="001673BE"/>
    <w:rsid w:val="00170665"/>
    <w:rsid w:val="00171F23"/>
    <w:rsid w:val="00175710"/>
    <w:rsid w:val="00180CBC"/>
    <w:rsid w:val="00182656"/>
    <w:rsid w:val="001829D5"/>
    <w:rsid w:val="00182B91"/>
    <w:rsid w:val="0018660E"/>
    <w:rsid w:val="001866A2"/>
    <w:rsid w:val="001914B8"/>
    <w:rsid w:val="00194B8C"/>
    <w:rsid w:val="00194D72"/>
    <w:rsid w:val="0019635B"/>
    <w:rsid w:val="001A2B7E"/>
    <w:rsid w:val="001A45AB"/>
    <w:rsid w:val="001B0C4F"/>
    <w:rsid w:val="001B3665"/>
    <w:rsid w:val="001B4119"/>
    <w:rsid w:val="001B4584"/>
    <w:rsid w:val="001B4ECC"/>
    <w:rsid w:val="001B5138"/>
    <w:rsid w:val="001B5E99"/>
    <w:rsid w:val="001C02C5"/>
    <w:rsid w:val="001C0457"/>
    <w:rsid w:val="001C04F2"/>
    <w:rsid w:val="001C1045"/>
    <w:rsid w:val="001C32BF"/>
    <w:rsid w:val="001C55BD"/>
    <w:rsid w:val="001D3AD2"/>
    <w:rsid w:val="001D44AA"/>
    <w:rsid w:val="001D58EA"/>
    <w:rsid w:val="001D691D"/>
    <w:rsid w:val="001E116B"/>
    <w:rsid w:val="001E48FE"/>
    <w:rsid w:val="001F2E08"/>
    <w:rsid w:val="001F2F84"/>
    <w:rsid w:val="001F5F1C"/>
    <w:rsid w:val="001F7E39"/>
    <w:rsid w:val="00203210"/>
    <w:rsid w:val="00203640"/>
    <w:rsid w:val="002066A0"/>
    <w:rsid w:val="0021108E"/>
    <w:rsid w:val="00211090"/>
    <w:rsid w:val="002117EB"/>
    <w:rsid w:val="0022155E"/>
    <w:rsid w:val="00222E0C"/>
    <w:rsid w:val="00225830"/>
    <w:rsid w:val="00232F4F"/>
    <w:rsid w:val="00236AC2"/>
    <w:rsid w:val="002371EF"/>
    <w:rsid w:val="00240A4C"/>
    <w:rsid w:val="00244B13"/>
    <w:rsid w:val="002451EA"/>
    <w:rsid w:val="00245718"/>
    <w:rsid w:val="00247D76"/>
    <w:rsid w:val="002502BF"/>
    <w:rsid w:val="00251CD4"/>
    <w:rsid w:val="00252FED"/>
    <w:rsid w:val="00257C93"/>
    <w:rsid w:val="00261544"/>
    <w:rsid w:val="00263026"/>
    <w:rsid w:val="00265558"/>
    <w:rsid w:val="00271906"/>
    <w:rsid w:val="0027366E"/>
    <w:rsid w:val="00275075"/>
    <w:rsid w:val="00282093"/>
    <w:rsid w:val="00283EFE"/>
    <w:rsid w:val="00285CD2"/>
    <w:rsid w:val="00287F5C"/>
    <w:rsid w:val="002907ED"/>
    <w:rsid w:val="00290FE6"/>
    <w:rsid w:val="00291A07"/>
    <w:rsid w:val="00291E40"/>
    <w:rsid w:val="0029330E"/>
    <w:rsid w:val="00297B6C"/>
    <w:rsid w:val="002A2C1C"/>
    <w:rsid w:val="002B27CF"/>
    <w:rsid w:val="002B538E"/>
    <w:rsid w:val="002B6E7F"/>
    <w:rsid w:val="002C0D33"/>
    <w:rsid w:val="002C427E"/>
    <w:rsid w:val="002C7733"/>
    <w:rsid w:val="002D21D5"/>
    <w:rsid w:val="002D24DE"/>
    <w:rsid w:val="002D3D72"/>
    <w:rsid w:val="002D4A35"/>
    <w:rsid w:val="002D6373"/>
    <w:rsid w:val="002E0A0F"/>
    <w:rsid w:val="002E4550"/>
    <w:rsid w:val="002F14E1"/>
    <w:rsid w:val="002F1E15"/>
    <w:rsid w:val="002F5732"/>
    <w:rsid w:val="002F580A"/>
    <w:rsid w:val="0030301F"/>
    <w:rsid w:val="00305CD9"/>
    <w:rsid w:val="00312C81"/>
    <w:rsid w:val="0031665D"/>
    <w:rsid w:val="00316B69"/>
    <w:rsid w:val="0032145D"/>
    <w:rsid w:val="00321D10"/>
    <w:rsid w:val="00324306"/>
    <w:rsid w:val="00326B90"/>
    <w:rsid w:val="00336BAE"/>
    <w:rsid w:val="00346FDB"/>
    <w:rsid w:val="00350B00"/>
    <w:rsid w:val="00351E7B"/>
    <w:rsid w:val="00352A8D"/>
    <w:rsid w:val="00353BA7"/>
    <w:rsid w:val="0035666A"/>
    <w:rsid w:val="003568F9"/>
    <w:rsid w:val="003576F2"/>
    <w:rsid w:val="00363981"/>
    <w:rsid w:val="00364C6F"/>
    <w:rsid w:val="00365435"/>
    <w:rsid w:val="00365B88"/>
    <w:rsid w:val="0036641F"/>
    <w:rsid w:val="003679F2"/>
    <w:rsid w:val="00370CCF"/>
    <w:rsid w:val="0037353F"/>
    <w:rsid w:val="00374090"/>
    <w:rsid w:val="003818C6"/>
    <w:rsid w:val="00385A20"/>
    <w:rsid w:val="00385A8C"/>
    <w:rsid w:val="00390B25"/>
    <w:rsid w:val="00393D10"/>
    <w:rsid w:val="00394DC9"/>
    <w:rsid w:val="003A2F51"/>
    <w:rsid w:val="003A4453"/>
    <w:rsid w:val="003A4CB5"/>
    <w:rsid w:val="003A5905"/>
    <w:rsid w:val="003B1C74"/>
    <w:rsid w:val="003B374A"/>
    <w:rsid w:val="003B3BC2"/>
    <w:rsid w:val="003B614A"/>
    <w:rsid w:val="003C0E67"/>
    <w:rsid w:val="003C214B"/>
    <w:rsid w:val="003C3A49"/>
    <w:rsid w:val="003C6534"/>
    <w:rsid w:val="003D0E86"/>
    <w:rsid w:val="003D3C89"/>
    <w:rsid w:val="003D45F5"/>
    <w:rsid w:val="003D6D50"/>
    <w:rsid w:val="003D6F26"/>
    <w:rsid w:val="003D7B65"/>
    <w:rsid w:val="003F087A"/>
    <w:rsid w:val="003F79A9"/>
    <w:rsid w:val="00400B0A"/>
    <w:rsid w:val="00404420"/>
    <w:rsid w:val="00407FF8"/>
    <w:rsid w:val="00412780"/>
    <w:rsid w:val="00413F3A"/>
    <w:rsid w:val="0041408F"/>
    <w:rsid w:val="00421546"/>
    <w:rsid w:val="00423BCF"/>
    <w:rsid w:val="00425C36"/>
    <w:rsid w:val="00431239"/>
    <w:rsid w:val="00432EAC"/>
    <w:rsid w:val="00433347"/>
    <w:rsid w:val="004424F4"/>
    <w:rsid w:val="0044350D"/>
    <w:rsid w:val="00443EEC"/>
    <w:rsid w:val="0044580A"/>
    <w:rsid w:val="00447255"/>
    <w:rsid w:val="00447943"/>
    <w:rsid w:val="00447B46"/>
    <w:rsid w:val="00447DF2"/>
    <w:rsid w:val="004520BC"/>
    <w:rsid w:val="00457CC1"/>
    <w:rsid w:val="00463C3D"/>
    <w:rsid w:val="00463CA5"/>
    <w:rsid w:val="0047166C"/>
    <w:rsid w:val="00471EEC"/>
    <w:rsid w:val="00472762"/>
    <w:rsid w:val="004735FE"/>
    <w:rsid w:val="00474661"/>
    <w:rsid w:val="00474AEA"/>
    <w:rsid w:val="004769FE"/>
    <w:rsid w:val="00482220"/>
    <w:rsid w:val="00483CD1"/>
    <w:rsid w:val="004862E0"/>
    <w:rsid w:val="00490B37"/>
    <w:rsid w:val="004925B1"/>
    <w:rsid w:val="00493DB7"/>
    <w:rsid w:val="00495720"/>
    <w:rsid w:val="004965A6"/>
    <w:rsid w:val="0049797D"/>
    <w:rsid w:val="004A0041"/>
    <w:rsid w:val="004A237B"/>
    <w:rsid w:val="004A3C94"/>
    <w:rsid w:val="004A4211"/>
    <w:rsid w:val="004A7BB5"/>
    <w:rsid w:val="004B160B"/>
    <w:rsid w:val="004B30E8"/>
    <w:rsid w:val="004B4151"/>
    <w:rsid w:val="004C1A12"/>
    <w:rsid w:val="004C48B1"/>
    <w:rsid w:val="004D2720"/>
    <w:rsid w:val="004D480E"/>
    <w:rsid w:val="004D58C9"/>
    <w:rsid w:val="004E2C52"/>
    <w:rsid w:val="004E3672"/>
    <w:rsid w:val="004E38EE"/>
    <w:rsid w:val="004E6212"/>
    <w:rsid w:val="004E6644"/>
    <w:rsid w:val="004E6995"/>
    <w:rsid w:val="004F097A"/>
    <w:rsid w:val="004F1937"/>
    <w:rsid w:val="004F3F9C"/>
    <w:rsid w:val="005045CB"/>
    <w:rsid w:val="005070C7"/>
    <w:rsid w:val="00507895"/>
    <w:rsid w:val="00512995"/>
    <w:rsid w:val="00514122"/>
    <w:rsid w:val="005179E5"/>
    <w:rsid w:val="00520C2D"/>
    <w:rsid w:val="00521504"/>
    <w:rsid w:val="00523045"/>
    <w:rsid w:val="00523074"/>
    <w:rsid w:val="005249D1"/>
    <w:rsid w:val="005254ED"/>
    <w:rsid w:val="0053077E"/>
    <w:rsid w:val="00530A19"/>
    <w:rsid w:val="005332BC"/>
    <w:rsid w:val="005334E9"/>
    <w:rsid w:val="00535237"/>
    <w:rsid w:val="005373B6"/>
    <w:rsid w:val="005423BE"/>
    <w:rsid w:val="0054515D"/>
    <w:rsid w:val="00546A9D"/>
    <w:rsid w:val="005472E5"/>
    <w:rsid w:val="00547FF3"/>
    <w:rsid w:val="00554E14"/>
    <w:rsid w:val="00556657"/>
    <w:rsid w:val="00556703"/>
    <w:rsid w:val="00556D66"/>
    <w:rsid w:val="0055750D"/>
    <w:rsid w:val="00557D2E"/>
    <w:rsid w:val="00560A98"/>
    <w:rsid w:val="00563FC5"/>
    <w:rsid w:val="00567FAA"/>
    <w:rsid w:val="005765D4"/>
    <w:rsid w:val="00576C7D"/>
    <w:rsid w:val="00576F29"/>
    <w:rsid w:val="00577523"/>
    <w:rsid w:val="0058555A"/>
    <w:rsid w:val="00596F21"/>
    <w:rsid w:val="005A01F4"/>
    <w:rsid w:val="005A22A3"/>
    <w:rsid w:val="005A6C4B"/>
    <w:rsid w:val="005B121C"/>
    <w:rsid w:val="005B476C"/>
    <w:rsid w:val="005B6353"/>
    <w:rsid w:val="005C0237"/>
    <w:rsid w:val="005C03E1"/>
    <w:rsid w:val="005C0890"/>
    <w:rsid w:val="005C3FA0"/>
    <w:rsid w:val="005C40A7"/>
    <w:rsid w:val="005C6B70"/>
    <w:rsid w:val="005C6FC0"/>
    <w:rsid w:val="005D02C6"/>
    <w:rsid w:val="005D0636"/>
    <w:rsid w:val="005D0D26"/>
    <w:rsid w:val="005D4F59"/>
    <w:rsid w:val="005D5DEF"/>
    <w:rsid w:val="005E0626"/>
    <w:rsid w:val="005E1658"/>
    <w:rsid w:val="005E235A"/>
    <w:rsid w:val="005E3963"/>
    <w:rsid w:val="005E3D40"/>
    <w:rsid w:val="005E71CA"/>
    <w:rsid w:val="005F3A90"/>
    <w:rsid w:val="005F3F0C"/>
    <w:rsid w:val="005F7100"/>
    <w:rsid w:val="005F7712"/>
    <w:rsid w:val="005F7C3E"/>
    <w:rsid w:val="00600244"/>
    <w:rsid w:val="00603587"/>
    <w:rsid w:val="00603C15"/>
    <w:rsid w:val="00611D88"/>
    <w:rsid w:val="00611EC1"/>
    <w:rsid w:val="006141A1"/>
    <w:rsid w:val="00622B2A"/>
    <w:rsid w:val="00623D1A"/>
    <w:rsid w:val="00623DEC"/>
    <w:rsid w:val="00630963"/>
    <w:rsid w:val="00632D14"/>
    <w:rsid w:val="00641393"/>
    <w:rsid w:val="0064155A"/>
    <w:rsid w:val="006532C2"/>
    <w:rsid w:val="006533C0"/>
    <w:rsid w:val="00654527"/>
    <w:rsid w:val="0065461C"/>
    <w:rsid w:val="00655233"/>
    <w:rsid w:val="00656213"/>
    <w:rsid w:val="006612AC"/>
    <w:rsid w:val="00662925"/>
    <w:rsid w:val="00664D0E"/>
    <w:rsid w:val="0066558C"/>
    <w:rsid w:val="00665CA8"/>
    <w:rsid w:val="006721FD"/>
    <w:rsid w:val="00672783"/>
    <w:rsid w:val="006743D5"/>
    <w:rsid w:val="00677B85"/>
    <w:rsid w:val="006827E8"/>
    <w:rsid w:val="0068562E"/>
    <w:rsid w:val="00686FB3"/>
    <w:rsid w:val="0068770D"/>
    <w:rsid w:val="0069440A"/>
    <w:rsid w:val="00695E2D"/>
    <w:rsid w:val="0069731D"/>
    <w:rsid w:val="00697EA0"/>
    <w:rsid w:val="006A0922"/>
    <w:rsid w:val="006A0A68"/>
    <w:rsid w:val="006A7A3B"/>
    <w:rsid w:val="006B03FF"/>
    <w:rsid w:val="006B3306"/>
    <w:rsid w:val="006C2CBE"/>
    <w:rsid w:val="006C2F6C"/>
    <w:rsid w:val="006C30B6"/>
    <w:rsid w:val="006C7E01"/>
    <w:rsid w:val="006D137D"/>
    <w:rsid w:val="006D242C"/>
    <w:rsid w:val="006E0010"/>
    <w:rsid w:val="006E0A7A"/>
    <w:rsid w:val="006E4A66"/>
    <w:rsid w:val="006E6EF2"/>
    <w:rsid w:val="006E75C2"/>
    <w:rsid w:val="006F2DBD"/>
    <w:rsid w:val="006F601D"/>
    <w:rsid w:val="007000BE"/>
    <w:rsid w:val="00704566"/>
    <w:rsid w:val="007120A8"/>
    <w:rsid w:val="0071437E"/>
    <w:rsid w:val="007161FE"/>
    <w:rsid w:val="00716DBE"/>
    <w:rsid w:val="0072224E"/>
    <w:rsid w:val="00722360"/>
    <w:rsid w:val="00740246"/>
    <w:rsid w:val="00740561"/>
    <w:rsid w:val="00755F03"/>
    <w:rsid w:val="007560A5"/>
    <w:rsid w:val="0076398A"/>
    <w:rsid w:val="0077181C"/>
    <w:rsid w:val="00772250"/>
    <w:rsid w:val="007748D7"/>
    <w:rsid w:val="007749B6"/>
    <w:rsid w:val="00775349"/>
    <w:rsid w:val="00776703"/>
    <w:rsid w:val="00780FB3"/>
    <w:rsid w:val="00782965"/>
    <w:rsid w:val="007938E0"/>
    <w:rsid w:val="007968B4"/>
    <w:rsid w:val="00797AF7"/>
    <w:rsid w:val="007A3887"/>
    <w:rsid w:val="007A5AD8"/>
    <w:rsid w:val="007A5C6E"/>
    <w:rsid w:val="007A6144"/>
    <w:rsid w:val="007A7EB9"/>
    <w:rsid w:val="007B12B9"/>
    <w:rsid w:val="007B2E44"/>
    <w:rsid w:val="007B746C"/>
    <w:rsid w:val="007C4AA6"/>
    <w:rsid w:val="007C6515"/>
    <w:rsid w:val="007D3C53"/>
    <w:rsid w:val="007D3FD8"/>
    <w:rsid w:val="007D5C87"/>
    <w:rsid w:val="007D7859"/>
    <w:rsid w:val="007E1D0A"/>
    <w:rsid w:val="007E5348"/>
    <w:rsid w:val="007E7FDD"/>
    <w:rsid w:val="007F322A"/>
    <w:rsid w:val="007F4EBA"/>
    <w:rsid w:val="007F6A22"/>
    <w:rsid w:val="007F738C"/>
    <w:rsid w:val="007F7A0D"/>
    <w:rsid w:val="00801A81"/>
    <w:rsid w:val="0080300B"/>
    <w:rsid w:val="00804AE6"/>
    <w:rsid w:val="00804F23"/>
    <w:rsid w:val="00805923"/>
    <w:rsid w:val="00807CD5"/>
    <w:rsid w:val="00814020"/>
    <w:rsid w:val="00816700"/>
    <w:rsid w:val="00826941"/>
    <w:rsid w:val="0082742F"/>
    <w:rsid w:val="008301DF"/>
    <w:rsid w:val="008315D4"/>
    <w:rsid w:val="0083199C"/>
    <w:rsid w:val="008349E6"/>
    <w:rsid w:val="00834AFA"/>
    <w:rsid w:val="00837E5B"/>
    <w:rsid w:val="008427BF"/>
    <w:rsid w:val="008463FE"/>
    <w:rsid w:val="0084717F"/>
    <w:rsid w:val="00850EA6"/>
    <w:rsid w:val="008513DC"/>
    <w:rsid w:val="00851CE6"/>
    <w:rsid w:val="00862635"/>
    <w:rsid w:val="00865444"/>
    <w:rsid w:val="00866D1C"/>
    <w:rsid w:val="00866F1F"/>
    <w:rsid w:val="00870BE3"/>
    <w:rsid w:val="0087608F"/>
    <w:rsid w:val="0087614E"/>
    <w:rsid w:val="0088181B"/>
    <w:rsid w:val="00883903"/>
    <w:rsid w:val="0088568D"/>
    <w:rsid w:val="008A1DDA"/>
    <w:rsid w:val="008A2A7A"/>
    <w:rsid w:val="008A3262"/>
    <w:rsid w:val="008A52DF"/>
    <w:rsid w:val="008A5D57"/>
    <w:rsid w:val="008B3C3D"/>
    <w:rsid w:val="008B50BF"/>
    <w:rsid w:val="008B64AC"/>
    <w:rsid w:val="008B651A"/>
    <w:rsid w:val="008C0741"/>
    <w:rsid w:val="008C093F"/>
    <w:rsid w:val="008C740D"/>
    <w:rsid w:val="008D1A51"/>
    <w:rsid w:val="008D2F65"/>
    <w:rsid w:val="008D7241"/>
    <w:rsid w:val="008D749C"/>
    <w:rsid w:val="008D7705"/>
    <w:rsid w:val="008E3E4D"/>
    <w:rsid w:val="008E41D6"/>
    <w:rsid w:val="008E42FD"/>
    <w:rsid w:val="008E72DE"/>
    <w:rsid w:val="008F022D"/>
    <w:rsid w:val="008F02C7"/>
    <w:rsid w:val="008F13B1"/>
    <w:rsid w:val="008F17E4"/>
    <w:rsid w:val="008F2EB8"/>
    <w:rsid w:val="008F7F35"/>
    <w:rsid w:val="00900E26"/>
    <w:rsid w:val="00904CA2"/>
    <w:rsid w:val="00911644"/>
    <w:rsid w:val="00912E21"/>
    <w:rsid w:val="009142C2"/>
    <w:rsid w:val="00930D9C"/>
    <w:rsid w:val="00931905"/>
    <w:rsid w:val="00940999"/>
    <w:rsid w:val="00944D0F"/>
    <w:rsid w:val="009502F7"/>
    <w:rsid w:val="00950B79"/>
    <w:rsid w:val="0095443B"/>
    <w:rsid w:val="00960D4C"/>
    <w:rsid w:val="00960F7F"/>
    <w:rsid w:val="009626DC"/>
    <w:rsid w:val="009649DE"/>
    <w:rsid w:val="009661DA"/>
    <w:rsid w:val="00970BCA"/>
    <w:rsid w:val="00971D10"/>
    <w:rsid w:val="00972F44"/>
    <w:rsid w:val="00973741"/>
    <w:rsid w:val="00976720"/>
    <w:rsid w:val="00983222"/>
    <w:rsid w:val="00985025"/>
    <w:rsid w:val="009853F4"/>
    <w:rsid w:val="00986746"/>
    <w:rsid w:val="009945B2"/>
    <w:rsid w:val="009A209A"/>
    <w:rsid w:val="009A2E13"/>
    <w:rsid w:val="009A4E43"/>
    <w:rsid w:val="009A5A87"/>
    <w:rsid w:val="009A6B8E"/>
    <w:rsid w:val="009B0830"/>
    <w:rsid w:val="009B088E"/>
    <w:rsid w:val="009B1148"/>
    <w:rsid w:val="009B5BB5"/>
    <w:rsid w:val="009B5D47"/>
    <w:rsid w:val="009B722D"/>
    <w:rsid w:val="009C3536"/>
    <w:rsid w:val="009C6B7C"/>
    <w:rsid w:val="009D57FA"/>
    <w:rsid w:val="009E0471"/>
    <w:rsid w:val="009E1641"/>
    <w:rsid w:val="009F4B90"/>
    <w:rsid w:val="009F716A"/>
    <w:rsid w:val="00A01D16"/>
    <w:rsid w:val="00A031D9"/>
    <w:rsid w:val="00A05442"/>
    <w:rsid w:val="00A0566F"/>
    <w:rsid w:val="00A106F8"/>
    <w:rsid w:val="00A11ACB"/>
    <w:rsid w:val="00A14D93"/>
    <w:rsid w:val="00A173BB"/>
    <w:rsid w:val="00A17837"/>
    <w:rsid w:val="00A22FDD"/>
    <w:rsid w:val="00A234D7"/>
    <w:rsid w:val="00A25F67"/>
    <w:rsid w:val="00A324A0"/>
    <w:rsid w:val="00A32633"/>
    <w:rsid w:val="00A344F0"/>
    <w:rsid w:val="00A34C01"/>
    <w:rsid w:val="00A430B1"/>
    <w:rsid w:val="00A44C1A"/>
    <w:rsid w:val="00A45FB1"/>
    <w:rsid w:val="00A47787"/>
    <w:rsid w:val="00A5158F"/>
    <w:rsid w:val="00A521C2"/>
    <w:rsid w:val="00A53AED"/>
    <w:rsid w:val="00A55306"/>
    <w:rsid w:val="00A55421"/>
    <w:rsid w:val="00A558D4"/>
    <w:rsid w:val="00A57143"/>
    <w:rsid w:val="00A57411"/>
    <w:rsid w:val="00A64A6E"/>
    <w:rsid w:val="00A64C59"/>
    <w:rsid w:val="00A673E7"/>
    <w:rsid w:val="00A81EB0"/>
    <w:rsid w:val="00A83F6B"/>
    <w:rsid w:val="00A91330"/>
    <w:rsid w:val="00A91DEA"/>
    <w:rsid w:val="00AA3ED4"/>
    <w:rsid w:val="00AA4D1B"/>
    <w:rsid w:val="00AA5161"/>
    <w:rsid w:val="00AA5F2A"/>
    <w:rsid w:val="00AB3E0D"/>
    <w:rsid w:val="00AB5523"/>
    <w:rsid w:val="00AB5F6E"/>
    <w:rsid w:val="00AC0143"/>
    <w:rsid w:val="00AC0A23"/>
    <w:rsid w:val="00AC6966"/>
    <w:rsid w:val="00AC7F93"/>
    <w:rsid w:val="00AD2010"/>
    <w:rsid w:val="00AD3E23"/>
    <w:rsid w:val="00AD41DF"/>
    <w:rsid w:val="00AD73A6"/>
    <w:rsid w:val="00AE7E01"/>
    <w:rsid w:val="00AF1004"/>
    <w:rsid w:val="00B0071D"/>
    <w:rsid w:val="00B00B54"/>
    <w:rsid w:val="00B00B69"/>
    <w:rsid w:val="00B013E6"/>
    <w:rsid w:val="00B044C3"/>
    <w:rsid w:val="00B04EF4"/>
    <w:rsid w:val="00B056A8"/>
    <w:rsid w:val="00B05907"/>
    <w:rsid w:val="00B066F4"/>
    <w:rsid w:val="00B0784A"/>
    <w:rsid w:val="00B11BAC"/>
    <w:rsid w:val="00B12138"/>
    <w:rsid w:val="00B1261D"/>
    <w:rsid w:val="00B152F0"/>
    <w:rsid w:val="00B21DA7"/>
    <w:rsid w:val="00B22819"/>
    <w:rsid w:val="00B278F5"/>
    <w:rsid w:val="00B32C1B"/>
    <w:rsid w:val="00B33652"/>
    <w:rsid w:val="00B36ACF"/>
    <w:rsid w:val="00B41E75"/>
    <w:rsid w:val="00B45C98"/>
    <w:rsid w:val="00B46CD8"/>
    <w:rsid w:val="00B50108"/>
    <w:rsid w:val="00B621E6"/>
    <w:rsid w:val="00B628A2"/>
    <w:rsid w:val="00B63EF9"/>
    <w:rsid w:val="00B66DF1"/>
    <w:rsid w:val="00B67296"/>
    <w:rsid w:val="00B7401D"/>
    <w:rsid w:val="00B74646"/>
    <w:rsid w:val="00B769E0"/>
    <w:rsid w:val="00B76F77"/>
    <w:rsid w:val="00B800C2"/>
    <w:rsid w:val="00B81CAC"/>
    <w:rsid w:val="00B82608"/>
    <w:rsid w:val="00B843D1"/>
    <w:rsid w:val="00B865A7"/>
    <w:rsid w:val="00B91867"/>
    <w:rsid w:val="00B93BC8"/>
    <w:rsid w:val="00B9414F"/>
    <w:rsid w:val="00B95BE0"/>
    <w:rsid w:val="00BA2C9B"/>
    <w:rsid w:val="00BC30F1"/>
    <w:rsid w:val="00BC3721"/>
    <w:rsid w:val="00BC4C45"/>
    <w:rsid w:val="00BC6239"/>
    <w:rsid w:val="00BC6C83"/>
    <w:rsid w:val="00BC6EEA"/>
    <w:rsid w:val="00BD15CF"/>
    <w:rsid w:val="00BD1A5E"/>
    <w:rsid w:val="00BD49B8"/>
    <w:rsid w:val="00BD4D03"/>
    <w:rsid w:val="00BD5ED5"/>
    <w:rsid w:val="00BE469B"/>
    <w:rsid w:val="00BE4744"/>
    <w:rsid w:val="00BE7F4A"/>
    <w:rsid w:val="00BF1388"/>
    <w:rsid w:val="00BF491F"/>
    <w:rsid w:val="00C04892"/>
    <w:rsid w:val="00C061F7"/>
    <w:rsid w:val="00C065DD"/>
    <w:rsid w:val="00C07C60"/>
    <w:rsid w:val="00C16F79"/>
    <w:rsid w:val="00C20D3A"/>
    <w:rsid w:val="00C23F22"/>
    <w:rsid w:val="00C24378"/>
    <w:rsid w:val="00C30AC8"/>
    <w:rsid w:val="00C3365D"/>
    <w:rsid w:val="00C37258"/>
    <w:rsid w:val="00C379BF"/>
    <w:rsid w:val="00C446B9"/>
    <w:rsid w:val="00C447D1"/>
    <w:rsid w:val="00C45BB9"/>
    <w:rsid w:val="00C45F77"/>
    <w:rsid w:val="00C4691C"/>
    <w:rsid w:val="00C478B1"/>
    <w:rsid w:val="00C47BB7"/>
    <w:rsid w:val="00C47D95"/>
    <w:rsid w:val="00C47EEA"/>
    <w:rsid w:val="00C50F93"/>
    <w:rsid w:val="00C51B03"/>
    <w:rsid w:val="00C54433"/>
    <w:rsid w:val="00C57E0D"/>
    <w:rsid w:val="00C61E97"/>
    <w:rsid w:val="00C6256F"/>
    <w:rsid w:val="00C62C39"/>
    <w:rsid w:val="00C74BAC"/>
    <w:rsid w:val="00C76345"/>
    <w:rsid w:val="00C8005E"/>
    <w:rsid w:val="00C802D2"/>
    <w:rsid w:val="00C9451E"/>
    <w:rsid w:val="00CA10F3"/>
    <w:rsid w:val="00CA3E72"/>
    <w:rsid w:val="00CA7A6F"/>
    <w:rsid w:val="00CA7BED"/>
    <w:rsid w:val="00CB24FB"/>
    <w:rsid w:val="00CB3EF6"/>
    <w:rsid w:val="00CB5217"/>
    <w:rsid w:val="00CB6E7D"/>
    <w:rsid w:val="00CB777A"/>
    <w:rsid w:val="00CC06D5"/>
    <w:rsid w:val="00CC4EAF"/>
    <w:rsid w:val="00CD10AC"/>
    <w:rsid w:val="00CD1B31"/>
    <w:rsid w:val="00CD25F0"/>
    <w:rsid w:val="00CE1229"/>
    <w:rsid w:val="00CE496D"/>
    <w:rsid w:val="00CF0C3B"/>
    <w:rsid w:val="00D01D65"/>
    <w:rsid w:val="00D04E47"/>
    <w:rsid w:val="00D052B7"/>
    <w:rsid w:val="00D07152"/>
    <w:rsid w:val="00D1092A"/>
    <w:rsid w:val="00D11929"/>
    <w:rsid w:val="00D13011"/>
    <w:rsid w:val="00D159B8"/>
    <w:rsid w:val="00D22535"/>
    <w:rsid w:val="00D2486E"/>
    <w:rsid w:val="00D24ADC"/>
    <w:rsid w:val="00D25D08"/>
    <w:rsid w:val="00D261D1"/>
    <w:rsid w:val="00D3199E"/>
    <w:rsid w:val="00D348C9"/>
    <w:rsid w:val="00D35CBB"/>
    <w:rsid w:val="00D36FAF"/>
    <w:rsid w:val="00D4056F"/>
    <w:rsid w:val="00D41AE9"/>
    <w:rsid w:val="00D44D92"/>
    <w:rsid w:val="00D47766"/>
    <w:rsid w:val="00D4798D"/>
    <w:rsid w:val="00D52C57"/>
    <w:rsid w:val="00D55414"/>
    <w:rsid w:val="00D5590D"/>
    <w:rsid w:val="00D5786C"/>
    <w:rsid w:val="00D61F92"/>
    <w:rsid w:val="00D63C53"/>
    <w:rsid w:val="00D67329"/>
    <w:rsid w:val="00D71D6E"/>
    <w:rsid w:val="00D755C5"/>
    <w:rsid w:val="00D76E11"/>
    <w:rsid w:val="00D80970"/>
    <w:rsid w:val="00D84819"/>
    <w:rsid w:val="00D85898"/>
    <w:rsid w:val="00D87F98"/>
    <w:rsid w:val="00DA0BED"/>
    <w:rsid w:val="00DA44E7"/>
    <w:rsid w:val="00DA4F59"/>
    <w:rsid w:val="00DA5382"/>
    <w:rsid w:val="00DB2BE9"/>
    <w:rsid w:val="00DB3311"/>
    <w:rsid w:val="00DB41DB"/>
    <w:rsid w:val="00DB43BF"/>
    <w:rsid w:val="00DB6E35"/>
    <w:rsid w:val="00DC0FB0"/>
    <w:rsid w:val="00DC27FE"/>
    <w:rsid w:val="00DC39D9"/>
    <w:rsid w:val="00DD0792"/>
    <w:rsid w:val="00DD391E"/>
    <w:rsid w:val="00DD4406"/>
    <w:rsid w:val="00DD4D2F"/>
    <w:rsid w:val="00DD5B80"/>
    <w:rsid w:val="00DE4D98"/>
    <w:rsid w:val="00DE4DCA"/>
    <w:rsid w:val="00DE6AB3"/>
    <w:rsid w:val="00DF0998"/>
    <w:rsid w:val="00DF4FD0"/>
    <w:rsid w:val="00DF77E4"/>
    <w:rsid w:val="00E00091"/>
    <w:rsid w:val="00E02FC3"/>
    <w:rsid w:val="00E039FE"/>
    <w:rsid w:val="00E07951"/>
    <w:rsid w:val="00E11695"/>
    <w:rsid w:val="00E15F83"/>
    <w:rsid w:val="00E1756F"/>
    <w:rsid w:val="00E2070D"/>
    <w:rsid w:val="00E21298"/>
    <w:rsid w:val="00E22A7C"/>
    <w:rsid w:val="00E261A5"/>
    <w:rsid w:val="00E275A9"/>
    <w:rsid w:val="00E30C94"/>
    <w:rsid w:val="00E40C16"/>
    <w:rsid w:val="00E40E6C"/>
    <w:rsid w:val="00E41B71"/>
    <w:rsid w:val="00E428EB"/>
    <w:rsid w:val="00E43EC7"/>
    <w:rsid w:val="00E4622F"/>
    <w:rsid w:val="00E51B5E"/>
    <w:rsid w:val="00E54139"/>
    <w:rsid w:val="00E55DD4"/>
    <w:rsid w:val="00E636AD"/>
    <w:rsid w:val="00E66387"/>
    <w:rsid w:val="00E67690"/>
    <w:rsid w:val="00E7025B"/>
    <w:rsid w:val="00E70273"/>
    <w:rsid w:val="00E71F89"/>
    <w:rsid w:val="00E722E4"/>
    <w:rsid w:val="00E73700"/>
    <w:rsid w:val="00E811AF"/>
    <w:rsid w:val="00E840AB"/>
    <w:rsid w:val="00E854B6"/>
    <w:rsid w:val="00E8550A"/>
    <w:rsid w:val="00E906E9"/>
    <w:rsid w:val="00EA402D"/>
    <w:rsid w:val="00EA6DBC"/>
    <w:rsid w:val="00EB09CC"/>
    <w:rsid w:val="00EB0F0F"/>
    <w:rsid w:val="00EB2010"/>
    <w:rsid w:val="00EB7310"/>
    <w:rsid w:val="00EB7E13"/>
    <w:rsid w:val="00EC44D3"/>
    <w:rsid w:val="00EC7670"/>
    <w:rsid w:val="00ED2526"/>
    <w:rsid w:val="00ED3339"/>
    <w:rsid w:val="00EE0487"/>
    <w:rsid w:val="00EE264F"/>
    <w:rsid w:val="00EE5EC4"/>
    <w:rsid w:val="00EE7708"/>
    <w:rsid w:val="00EF122C"/>
    <w:rsid w:val="00EF2195"/>
    <w:rsid w:val="00EF33BF"/>
    <w:rsid w:val="00EF3AF9"/>
    <w:rsid w:val="00EF4592"/>
    <w:rsid w:val="00F02A8A"/>
    <w:rsid w:val="00F04E23"/>
    <w:rsid w:val="00F06952"/>
    <w:rsid w:val="00F104D6"/>
    <w:rsid w:val="00F10BEE"/>
    <w:rsid w:val="00F1352A"/>
    <w:rsid w:val="00F14BC7"/>
    <w:rsid w:val="00F15EEF"/>
    <w:rsid w:val="00F2277B"/>
    <w:rsid w:val="00F23B9D"/>
    <w:rsid w:val="00F23DE4"/>
    <w:rsid w:val="00F27B19"/>
    <w:rsid w:val="00F3243A"/>
    <w:rsid w:val="00F338E9"/>
    <w:rsid w:val="00F33BF3"/>
    <w:rsid w:val="00F44A76"/>
    <w:rsid w:val="00F463EC"/>
    <w:rsid w:val="00F466CB"/>
    <w:rsid w:val="00F50B85"/>
    <w:rsid w:val="00F556EA"/>
    <w:rsid w:val="00F57001"/>
    <w:rsid w:val="00F60FBC"/>
    <w:rsid w:val="00F63CCB"/>
    <w:rsid w:val="00F71264"/>
    <w:rsid w:val="00F72ED3"/>
    <w:rsid w:val="00F7444F"/>
    <w:rsid w:val="00F745B6"/>
    <w:rsid w:val="00F75ADE"/>
    <w:rsid w:val="00F80E4D"/>
    <w:rsid w:val="00F83E7A"/>
    <w:rsid w:val="00F86875"/>
    <w:rsid w:val="00F86F0A"/>
    <w:rsid w:val="00F91D25"/>
    <w:rsid w:val="00F95A2F"/>
    <w:rsid w:val="00FA21F5"/>
    <w:rsid w:val="00FA339D"/>
    <w:rsid w:val="00FA3421"/>
    <w:rsid w:val="00FA4489"/>
    <w:rsid w:val="00FA4D8D"/>
    <w:rsid w:val="00FA6C11"/>
    <w:rsid w:val="00FA70B3"/>
    <w:rsid w:val="00FB0D1D"/>
    <w:rsid w:val="00FB1178"/>
    <w:rsid w:val="00FB5EA4"/>
    <w:rsid w:val="00FC70E0"/>
    <w:rsid w:val="00FC72AA"/>
    <w:rsid w:val="00FC7E00"/>
    <w:rsid w:val="00FD26A6"/>
    <w:rsid w:val="00FD34E8"/>
    <w:rsid w:val="00FD4F3C"/>
    <w:rsid w:val="00FD5C21"/>
    <w:rsid w:val="00FE1614"/>
    <w:rsid w:val="00FE2593"/>
    <w:rsid w:val="00FE543A"/>
    <w:rsid w:val="00FE54DB"/>
    <w:rsid w:val="00FE5A97"/>
    <w:rsid w:val="00FE7B7F"/>
    <w:rsid w:val="00FF63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B3E3E"/>
  <w15:docId w15:val="{E1DF3106-9142-4B5D-8794-753E57E6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46C"/>
  </w:style>
  <w:style w:type="paragraph" w:styleId="Heading1">
    <w:name w:val="heading 1"/>
    <w:basedOn w:val="Normal"/>
    <w:next w:val="Normal"/>
    <w:link w:val="Heading1Char"/>
    <w:uiPriority w:val="9"/>
    <w:qFormat/>
    <w:rsid w:val="00E151B7"/>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E151B7"/>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151B7"/>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151B7"/>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E151B7"/>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E151B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51B7"/>
    <w:pPr>
      <w:keepNext/>
      <w:keepLines/>
      <w:spacing w:before="480" w:after="120"/>
    </w:pPr>
    <w:rPr>
      <w:b/>
      <w:sz w:val="72"/>
      <w:szCs w:val="72"/>
    </w:rPr>
  </w:style>
  <w:style w:type="character" w:customStyle="1" w:styleId="Heading1Char">
    <w:name w:val="Heading 1 Char"/>
    <w:basedOn w:val="DefaultParagraphFont"/>
    <w:link w:val="Heading1"/>
    <w:uiPriority w:val="9"/>
    <w:rsid w:val="00E151B7"/>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semiHidden/>
    <w:rsid w:val="00E151B7"/>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semiHidden/>
    <w:rsid w:val="00E151B7"/>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E151B7"/>
    <w:rPr>
      <w:rFonts w:ascii="Times New Roman" w:eastAsia="Times New Roman" w:hAnsi="Times New Roman" w:cs="Times New Roman"/>
      <w:b/>
    </w:rPr>
  </w:style>
  <w:style w:type="character" w:customStyle="1" w:styleId="Heading5Char">
    <w:name w:val="Heading 5 Char"/>
    <w:basedOn w:val="DefaultParagraphFont"/>
    <w:link w:val="Heading5"/>
    <w:uiPriority w:val="9"/>
    <w:semiHidden/>
    <w:rsid w:val="00E151B7"/>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E151B7"/>
    <w:rPr>
      <w:rFonts w:ascii="Times New Roman" w:eastAsia="Times New Roman" w:hAnsi="Times New Roman" w:cs="Times New Roman"/>
      <w:b/>
      <w:sz w:val="20"/>
      <w:szCs w:val="20"/>
    </w:rPr>
  </w:style>
  <w:style w:type="character" w:customStyle="1" w:styleId="TitleChar">
    <w:name w:val="Title Char"/>
    <w:basedOn w:val="DefaultParagraphFont"/>
    <w:link w:val="Title"/>
    <w:uiPriority w:val="10"/>
    <w:rsid w:val="00E151B7"/>
    <w:rPr>
      <w:rFonts w:ascii="Times New Roman" w:eastAsia="Times New Roman" w:hAnsi="Times New Roman" w:cs="Times New Roman"/>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E151B7"/>
    <w:rPr>
      <w:rFonts w:ascii="Georgia" w:eastAsia="Georgia" w:hAnsi="Georgia" w:cs="Georgia"/>
      <w:i/>
      <w:color w:val="666666"/>
      <w:sz w:val="48"/>
      <w:szCs w:val="48"/>
    </w:rPr>
  </w:style>
  <w:style w:type="character" w:customStyle="1" w:styleId="authors">
    <w:name w:val="authors"/>
    <w:basedOn w:val="DefaultParagraphFont"/>
    <w:rsid w:val="00E151B7"/>
  </w:style>
  <w:style w:type="character" w:customStyle="1" w:styleId="Date1">
    <w:name w:val="Date1"/>
    <w:basedOn w:val="DefaultParagraphFont"/>
    <w:rsid w:val="00E151B7"/>
  </w:style>
  <w:style w:type="character" w:customStyle="1" w:styleId="arttitle">
    <w:name w:val="art_title"/>
    <w:basedOn w:val="DefaultParagraphFont"/>
    <w:rsid w:val="00E151B7"/>
  </w:style>
  <w:style w:type="character" w:customStyle="1" w:styleId="serialtitle">
    <w:name w:val="serial_title"/>
    <w:basedOn w:val="DefaultParagraphFont"/>
    <w:rsid w:val="00E151B7"/>
  </w:style>
  <w:style w:type="character" w:customStyle="1" w:styleId="volumeissue">
    <w:name w:val="volume_issue"/>
    <w:basedOn w:val="DefaultParagraphFont"/>
    <w:rsid w:val="00E151B7"/>
  </w:style>
  <w:style w:type="character" w:customStyle="1" w:styleId="pagerange">
    <w:name w:val="page_range"/>
    <w:basedOn w:val="DefaultParagraphFont"/>
    <w:rsid w:val="00E151B7"/>
  </w:style>
  <w:style w:type="character" w:customStyle="1" w:styleId="doilink">
    <w:name w:val="doi_link"/>
    <w:basedOn w:val="DefaultParagraphFont"/>
    <w:rsid w:val="00E151B7"/>
  </w:style>
  <w:style w:type="character" w:styleId="Hyperlink">
    <w:name w:val="Hyperlink"/>
    <w:basedOn w:val="DefaultParagraphFont"/>
    <w:uiPriority w:val="99"/>
    <w:unhideWhenUsed/>
    <w:rsid w:val="00E151B7"/>
    <w:rPr>
      <w:color w:val="0000FF"/>
      <w:u w:val="single"/>
    </w:rPr>
  </w:style>
  <w:style w:type="paragraph" w:customStyle="1" w:styleId="dx-doi">
    <w:name w:val="dx-doi"/>
    <w:basedOn w:val="Normal"/>
    <w:rsid w:val="00E151B7"/>
    <w:pPr>
      <w:spacing w:before="100" w:beforeAutospacing="1" w:after="100" w:afterAutospacing="1"/>
    </w:pPr>
  </w:style>
  <w:style w:type="character" w:styleId="UnresolvedMention">
    <w:name w:val="Unresolved Mention"/>
    <w:basedOn w:val="DefaultParagraphFont"/>
    <w:uiPriority w:val="99"/>
    <w:semiHidden/>
    <w:unhideWhenUsed/>
    <w:rsid w:val="00E151B7"/>
    <w:rPr>
      <w:color w:val="605E5C"/>
      <w:shd w:val="clear" w:color="auto" w:fill="E1DFDD"/>
    </w:rPr>
  </w:style>
  <w:style w:type="paragraph" w:styleId="ListParagraph">
    <w:name w:val="List Paragraph"/>
    <w:basedOn w:val="Normal"/>
    <w:uiPriority w:val="34"/>
    <w:qFormat/>
    <w:rsid w:val="00E151B7"/>
    <w:pPr>
      <w:ind w:left="720"/>
      <w:contextualSpacing/>
    </w:pPr>
  </w:style>
  <w:style w:type="character" w:styleId="FollowedHyperlink">
    <w:name w:val="FollowedHyperlink"/>
    <w:basedOn w:val="DefaultParagraphFont"/>
    <w:uiPriority w:val="99"/>
    <w:semiHidden/>
    <w:unhideWhenUsed/>
    <w:rsid w:val="00E151B7"/>
    <w:rPr>
      <w:color w:val="954F72" w:themeColor="followedHyperlink"/>
      <w:u w:val="single"/>
    </w:rPr>
  </w:style>
  <w:style w:type="character" w:styleId="Emphasis">
    <w:name w:val="Emphasis"/>
    <w:basedOn w:val="DefaultParagraphFont"/>
    <w:uiPriority w:val="20"/>
    <w:qFormat/>
    <w:rsid w:val="00E151B7"/>
    <w:rPr>
      <w:i/>
      <w:iCs/>
    </w:rPr>
  </w:style>
  <w:style w:type="paragraph" w:styleId="BalloonText">
    <w:name w:val="Balloon Text"/>
    <w:basedOn w:val="Normal"/>
    <w:link w:val="BalloonTextChar"/>
    <w:uiPriority w:val="99"/>
    <w:semiHidden/>
    <w:unhideWhenUsed/>
    <w:rsid w:val="00E151B7"/>
    <w:rPr>
      <w:sz w:val="18"/>
      <w:szCs w:val="18"/>
    </w:rPr>
  </w:style>
  <w:style w:type="character" w:customStyle="1" w:styleId="BalloonTextChar">
    <w:name w:val="Balloon Text Char"/>
    <w:basedOn w:val="DefaultParagraphFont"/>
    <w:link w:val="BalloonText"/>
    <w:uiPriority w:val="99"/>
    <w:semiHidden/>
    <w:rsid w:val="00E151B7"/>
    <w:rPr>
      <w:rFonts w:ascii="Times New Roman" w:eastAsia="Times New Roman" w:hAnsi="Times New Roman" w:cs="Times New Roman"/>
      <w:sz w:val="18"/>
      <w:szCs w:val="18"/>
    </w:rPr>
  </w:style>
  <w:style w:type="paragraph" w:styleId="Revision">
    <w:name w:val="Revision"/>
    <w:hidden/>
    <w:uiPriority w:val="99"/>
    <w:semiHidden/>
    <w:rsid w:val="00E151B7"/>
  </w:style>
  <w:style w:type="table" w:styleId="TableGrid">
    <w:name w:val="Table Grid"/>
    <w:basedOn w:val="TableNormal"/>
    <w:uiPriority w:val="39"/>
    <w:rsid w:val="00F00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5483"/>
    <w:pPr>
      <w:tabs>
        <w:tab w:val="center" w:pos="4680"/>
        <w:tab w:val="right" w:pos="9360"/>
      </w:tabs>
    </w:pPr>
  </w:style>
  <w:style w:type="character" w:customStyle="1" w:styleId="HeaderChar">
    <w:name w:val="Header Char"/>
    <w:basedOn w:val="DefaultParagraphFont"/>
    <w:link w:val="Header"/>
    <w:uiPriority w:val="99"/>
    <w:rsid w:val="00935483"/>
    <w:rPr>
      <w:rFonts w:ascii="Times New Roman" w:eastAsia="Times New Roman" w:hAnsi="Times New Roman" w:cs="Times New Roman"/>
    </w:rPr>
  </w:style>
  <w:style w:type="paragraph" w:styleId="Footer">
    <w:name w:val="footer"/>
    <w:basedOn w:val="Normal"/>
    <w:link w:val="FooterChar"/>
    <w:uiPriority w:val="99"/>
    <w:unhideWhenUsed/>
    <w:rsid w:val="00935483"/>
    <w:pPr>
      <w:tabs>
        <w:tab w:val="center" w:pos="4680"/>
        <w:tab w:val="right" w:pos="9360"/>
      </w:tabs>
    </w:pPr>
  </w:style>
  <w:style w:type="character" w:customStyle="1" w:styleId="FooterChar">
    <w:name w:val="Footer Char"/>
    <w:basedOn w:val="DefaultParagraphFont"/>
    <w:link w:val="Footer"/>
    <w:uiPriority w:val="99"/>
    <w:rsid w:val="00935483"/>
    <w:rPr>
      <w:rFonts w:ascii="Times New Roman" w:eastAsia="Times New Roman" w:hAnsi="Times New Roman" w:cs="Times New Roman"/>
    </w:rPr>
  </w:style>
  <w:style w:type="character" w:styleId="PageNumber">
    <w:name w:val="page number"/>
    <w:basedOn w:val="DefaultParagraphFont"/>
    <w:uiPriority w:val="99"/>
    <w:semiHidden/>
    <w:unhideWhenUsed/>
    <w:rsid w:val="009B61CC"/>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link w:val="NormalWebChar"/>
    <w:uiPriority w:val="99"/>
    <w:unhideWhenUsed/>
    <w:rsid w:val="0066558C"/>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F72ED3"/>
    <w:rPr>
      <w:b/>
      <w:bCs/>
    </w:rPr>
  </w:style>
  <w:style w:type="character" w:customStyle="1" w:styleId="CommentSubjectChar">
    <w:name w:val="Comment Subject Char"/>
    <w:basedOn w:val="CommentTextChar"/>
    <w:link w:val="CommentSubject"/>
    <w:uiPriority w:val="99"/>
    <w:semiHidden/>
    <w:rsid w:val="00F72ED3"/>
    <w:rPr>
      <w:b/>
      <w:bCs/>
      <w:sz w:val="20"/>
      <w:szCs w:val="20"/>
    </w:rPr>
  </w:style>
  <w:style w:type="paragraph" w:styleId="Date">
    <w:name w:val="Date"/>
    <w:basedOn w:val="Normal"/>
    <w:next w:val="Normal"/>
    <w:link w:val="DateChar"/>
    <w:uiPriority w:val="99"/>
    <w:semiHidden/>
    <w:unhideWhenUsed/>
    <w:rsid w:val="00D80970"/>
  </w:style>
  <w:style w:type="character" w:customStyle="1" w:styleId="DateChar">
    <w:name w:val="Date Char"/>
    <w:basedOn w:val="DefaultParagraphFont"/>
    <w:link w:val="Date"/>
    <w:uiPriority w:val="99"/>
    <w:semiHidden/>
    <w:rsid w:val="00D80970"/>
  </w:style>
  <w:style w:type="character" w:customStyle="1" w:styleId="internalref">
    <w:name w:val="internalref"/>
    <w:basedOn w:val="DefaultParagraphFont"/>
    <w:rsid w:val="006E0A7A"/>
  </w:style>
  <w:style w:type="table" w:styleId="GridTable6Colorful">
    <w:name w:val="Grid Table 6 Colorful"/>
    <w:basedOn w:val="TableNormal"/>
    <w:uiPriority w:val="51"/>
    <w:rsid w:val="00C47D95"/>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f01">
    <w:name w:val="cf01"/>
    <w:basedOn w:val="DefaultParagraphFont"/>
    <w:rsid w:val="00E2070D"/>
    <w:rPr>
      <w:rFonts w:ascii="Segoe UI" w:hAnsi="Segoe UI" w:cs="Segoe UI" w:hint="default"/>
      <w:sz w:val="18"/>
      <w:szCs w:val="18"/>
    </w:rPr>
  </w:style>
  <w:style w:type="character" w:customStyle="1" w:styleId="cf11">
    <w:name w:val="cf11"/>
    <w:basedOn w:val="DefaultParagraphFont"/>
    <w:rsid w:val="00E2070D"/>
    <w:rPr>
      <w:rFonts w:ascii="Segoe UI" w:hAnsi="Segoe UI" w:cs="Segoe UI" w:hint="default"/>
      <w:i/>
      <w:iCs/>
      <w:sz w:val="18"/>
      <w:szCs w:val="18"/>
    </w:rPr>
  </w:style>
  <w:style w:type="paragraph" w:customStyle="1" w:styleId="Default">
    <w:name w:val="Default"/>
    <w:rsid w:val="00E30C94"/>
    <w:pPr>
      <w:autoSpaceDE w:val="0"/>
      <w:autoSpaceDN w:val="0"/>
      <w:adjustRightInd w:val="0"/>
    </w:pPr>
    <w:rPr>
      <w:color w:val="000000"/>
    </w:rPr>
  </w:style>
  <w:style w:type="paragraph" w:styleId="Caption">
    <w:name w:val="caption"/>
    <w:basedOn w:val="Normal"/>
    <w:next w:val="Normal"/>
    <w:uiPriority w:val="35"/>
    <w:unhideWhenUsed/>
    <w:qFormat/>
    <w:rsid w:val="00B93BC8"/>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5045CB"/>
    <w:pPr>
      <w:jc w:val="center"/>
    </w:pPr>
    <w:rPr>
      <w:noProof/>
      <w:lang w:val="en-US"/>
    </w:rPr>
  </w:style>
  <w:style w:type="character" w:customStyle="1" w:styleId="NormalWebChar">
    <w:name w:val="Normal (Web) Char"/>
    <w:basedOn w:val="DefaultParagraphFont"/>
    <w:link w:val="NormalWeb"/>
    <w:uiPriority w:val="99"/>
    <w:rsid w:val="005045CB"/>
  </w:style>
  <w:style w:type="character" w:customStyle="1" w:styleId="EndNoteBibliographyTitleChar">
    <w:name w:val="EndNote Bibliography Title Char"/>
    <w:basedOn w:val="NormalWebChar"/>
    <w:link w:val="EndNoteBibliographyTitle"/>
    <w:rsid w:val="005045CB"/>
    <w:rPr>
      <w:noProof/>
      <w:lang w:val="en-US"/>
    </w:rPr>
  </w:style>
  <w:style w:type="paragraph" w:customStyle="1" w:styleId="EndNoteBibliography">
    <w:name w:val="EndNote Bibliography"/>
    <w:basedOn w:val="Normal"/>
    <w:link w:val="EndNoteBibliographyChar"/>
    <w:rsid w:val="005045CB"/>
    <w:rPr>
      <w:noProof/>
      <w:lang w:val="en-US"/>
    </w:rPr>
  </w:style>
  <w:style w:type="character" w:customStyle="1" w:styleId="EndNoteBibliographyChar">
    <w:name w:val="EndNote Bibliography Char"/>
    <w:basedOn w:val="NormalWebChar"/>
    <w:link w:val="EndNoteBibliography"/>
    <w:rsid w:val="005045CB"/>
    <w:rPr>
      <w:noProof/>
      <w:lang w:val="en-US"/>
    </w:rPr>
  </w:style>
  <w:style w:type="character" w:styleId="LineNumber">
    <w:name w:val="line number"/>
    <w:basedOn w:val="DefaultParagraphFont"/>
    <w:uiPriority w:val="99"/>
    <w:semiHidden/>
    <w:unhideWhenUsed/>
    <w:rsid w:val="00805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5884">
      <w:bodyDiv w:val="1"/>
      <w:marLeft w:val="0"/>
      <w:marRight w:val="0"/>
      <w:marTop w:val="0"/>
      <w:marBottom w:val="0"/>
      <w:divBdr>
        <w:top w:val="none" w:sz="0" w:space="0" w:color="auto"/>
        <w:left w:val="none" w:sz="0" w:space="0" w:color="auto"/>
        <w:bottom w:val="none" w:sz="0" w:space="0" w:color="auto"/>
        <w:right w:val="none" w:sz="0" w:space="0" w:color="auto"/>
      </w:divBdr>
    </w:div>
    <w:div w:id="108201672">
      <w:bodyDiv w:val="1"/>
      <w:marLeft w:val="0"/>
      <w:marRight w:val="0"/>
      <w:marTop w:val="0"/>
      <w:marBottom w:val="0"/>
      <w:divBdr>
        <w:top w:val="none" w:sz="0" w:space="0" w:color="auto"/>
        <w:left w:val="none" w:sz="0" w:space="0" w:color="auto"/>
        <w:bottom w:val="none" w:sz="0" w:space="0" w:color="auto"/>
        <w:right w:val="none" w:sz="0" w:space="0" w:color="auto"/>
      </w:divBdr>
    </w:div>
    <w:div w:id="186678999">
      <w:bodyDiv w:val="1"/>
      <w:marLeft w:val="0"/>
      <w:marRight w:val="0"/>
      <w:marTop w:val="0"/>
      <w:marBottom w:val="0"/>
      <w:divBdr>
        <w:top w:val="none" w:sz="0" w:space="0" w:color="auto"/>
        <w:left w:val="none" w:sz="0" w:space="0" w:color="auto"/>
        <w:bottom w:val="none" w:sz="0" w:space="0" w:color="auto"/>
        <w:right w:val="none" w:sz="0" w:space="0" w:color="auto"/>
      </w:divBdr>
    </w:div>
    <w:div w:id="217664704">
      <w:bodyDiv w:val="1"/>
      <w:marLeft w:val="0"/>
      <w:marRight w:val="0"/>
      <w:marTop w:val="0"/>
      <w:marBottom w:val="0"/>
      <w:divBdr>
        <w:top w:val="none" w:sz="0" w:space="0" w:color="auto"/>
        <w:left w:val="none" w:sz="0" w:space="0" w:color="auto"/>
        <w:bottom w:val="none" w:sz="0" w:space="0" w:color="auto"/>
        <w:right w:val="none" w:sz="0" w:space="0" w:color="auto"/>
      </w:divBdr>
    </w:div>
    <w:div w:id="221599955">
      <w:bodyDiv w:val="1"/>
      <w:marLeft w:val="0"/>
      <w:marRight w:val="0"/>
      <w:marTop w:val="0"/>
      <w:marBottom w:val="0"/>
      <w:divBdr>
        <w:top w:val="none" w:sz="0" w:space="0" w:color="auto"/>
        <w:left w:val="none" w:sz="0" w:space="0" w:color="auto"/>
        <w:bottom w:val="none" w:sz="0" w:space="0" w:color="auto"/>
        <w:right w:val="none" w:sz="0" w:space="0" w:color="auto"/>
      </w:divBdr>
    </w:div>
    <w:div w:id="263077675">
      <w:bodyDiv w:val="1"/>
      <w:marLeft w:val="0"/>
      <w:marRight w:val="0"/>
      <w:marTop w:val="0"/>
      <w:marBottom w:val="0"/>
      <w:divBdr>
        <w:top w:val="none" w:sz="0" w:space="0" w:color="auto"/>
        <w:left w:val="none" w:sz="0" w:space="0" w:color="auto"/>
        <w:bottom w:val="none" w:sz="0" w:space="0" w:color="auto"/>
        <w:right w:val="none" w:sz="0" w:space="0" w:color="auto"/>
      </w:divBdr>
    </w:div>
    <w:div w:id="271786110">
      <w:bodyDiv w:val="1"/>
      <w:marLeft w:val="0"/>
      <w:marRight w:val="0"/>
      <w:marTop w:val="0"/>
      <w:marBottom w:val="0"/>
      <w:divBdr>
        <w:top w:val="none" w:sz="0" w:space="0" w:color="auto"/>
        <w:left w:val="none" w:sz="0" w:space="0" w:color="auto"/>
        <w:bottom w:val="none" w:sz="0" w:space="0" w:color="auto"/>
        <w:right w:val="none" w:sz="0" w:space="0" w:color="auto"/>
      </w:divBdr>
    </w:div>
    <w:div w:id="273756910">
      <w:bodyDiv w:val="1"/>
      <w:marLeft w:val="0"/>
      <w:marRight w:val="0"/>
      <w:marTop w:val="0"/>
      <w:marBottom w:val="0"/>
      <w:divBdr>
        <w:top w:val="none" w:sz="0" w:space="0" w:color="auto"/>
        <w:left w:val="none" w:sz="0" w:space="0" w:color="auto"/>
        <w:bottom w:val="none" w:sz="0" w:space="0" w:color="auto"/>
        <w:right w:val="none" w:sz="0" w:space="0" w:color="auto"/>
      </w:divBdr>
    </w:div>
    <w:div w:id="278413994">
      <w:bodyDiv w:val="1"/>
      <w:marLeft w:val="0"/>
      <w:marRight w:val="0"/>
      <w:marTop w:val="0"/>
      <w:marBottom w:val="0"/>
      <w:divBdr>
        <w:top w:val="none" w:sz="0" w:space="0" w:color="auto"/>
        <w:left w:val="none" w:sz="0" w:space="0" w:color="auto"/>
        <w:bottom w:val="none" w:sz="0" w:space="0" w:color="auto"/>
        <w:right w:val="none" w:sz="0" w:space="0" w:color="auto"/>
      </w:divBdr>
    </w:div>
    <w:div w:id="300116674">
      <w:bodyDiv w:val="1"/>
      <w:marLeft w:val="0"/>
      <w:marRight w:val="0"/>
      <w:marTop w:val="0"/>
      <w:marBottom w:val="0"/>
      <w:divBdr>
        <w:top w:val="none" w:sz="0" w:space="0" w:color="auto"/>
        <w:left w:val="none" w:sz="0" w:space="0" w:color="auto"/>
        <w:bottom w:val="none" w:sz="0" w:space="0" w:color="auto"/>
        <w:right w:val="none" w:sz="0" w:space="0" w:color="auto"/>
      </w:divBdr>
    </w:div>
    <w:div w:id="353194219">
      <w:bodyDiv w:val="1"/>
      <w:marLeft w:val="0"/>
      <w:marRight w:val="0"/>
      <w:marTop w:val="0"/>
      <w:marBottom w:val="0"/>
      <w:divBdr>
        <w:top w:val="none" w:sz="0" w:space="0" w:color="auto"/>
        <w:left w:val="none" w:sz="0" w:space="0" w:color="auto"/>
        <w:bottom w:val="none" w:sz="0" w:space="0" w:color="auto"/>
        <w:right w:val="none" w:sz="0" w:space="0" w:color="auto"/>
      </w:divBdr>
    </w:div>
    <w:div w:id="397291505">
      <w:bodyDiv w:val="1"/>
      <w:marLeft w:val="0"/>
      <w:marRight w:val="0"/>
      <w:marTop w:val="0"/>
      <w:marBottom w:val="0"/>
      <w:divBdr>
        <w:top w:val="none" w:sz="0" w:space="0" w:color="auto"/>
        <w:left w:val="none" w:sz="0" w:space="0" w:color="auto"/>
        <w:bottom w:val="none" w:sz="0" w:space="0" w:color="auto"/>
        <w:right w:val="none" w:sz="0" w:space="0" w:color="auto"/>
      </w:divBdr>
    </w:div>
    <w:div w:id="448286217">
      <w:bodyDiv w:val="1"/>
      <w:marLeft w:val="0"/>
      <w:marRight w:val="0"/>
      <w:marTop w:val="0"/>
      <w:marBottom w:val="0"/>
      <w:divBdr>
        <w:top w:val="none" w:sz="0" w:space="0" w:color="auto"/>
        <w:left w:val="none" w:sz="0" w:space="0" w:color="auto"/>
        <w:bottom w:val="none" w:sz="0" w:space="0" w:color="auto"/>
        <w:right w:val="none" w:sz="0" w:space="0" w:color="auto"/>
      </w:divBdr>
    </w:div>
    <w:div w:id="455100002">
      <w:bodyDiv w:val="1"/>
      <w:marLeft w:val="0"/>
      <w:marRight w:val="0"/>
      <w:marTop w:val="0"/>
      <w:marBottom w:val="0"/>
      <w:divBdr>
        <w:top w:val="none" w:sz="0" w:space="0" w:color="auto"/>
        <w:left w:val="none" w:sz="0" w:space="0" w:color="auto"/>
        <w:bottom w:val="none" w:sz="0" w:space="0" w:color="auto"/>
        <w:right w:val="none" w:sz="0" w:space="0" w:color="auto"/>
      </w:divBdr>
      <w:divsChild>
        <w:div w:id="353921828">
          <w:marLeft w:val="0"/>
          <w:marRight w:val="0"/>
          <w:marTop w:val="0"/>
          <w:marBottom w:val="0"/>
          <w:divBdr>
            <w:top w:val="none" w:sz="0" w:space="0" w:color="auto"/>
            <w:left w:val="none" w:sz="0" w:space="0" w:color="auto"/>
            <w:bottom w:val="none" w:sz="0" w:space="0" w:color="auto"/>
            <w:right w:val="none" w:sz="0" w:space="0" w:color="auto"/>
          </w:divBdr>
        </w:div>
        <w:div w:id="1976597036">
          <w:marLeft w:val="0"/>
          <w:marRight w:val="0"/>
          <w:marTop w:val="0"/>
          <w:marBottom w:val="0"/>
          <w:divBdr>
            <w:top w:val="none" w:sz="0" w:space="0" w:color="auto"/>
            <w:left w:val="none" w:sz="0" w:space="0" w:color="auto"/>
            <w:bottom w:val="none" w:sz="0" w:space="0" w:color="auto"/>
            <w:right w:val="none" w:sz="0" w:space="0" w:color="auto"/>
          </w:divBdr>
        </w:div>
        <w:div w:id="2104259953">
          <w:marLeft w:val="0"/>
          <w:marRight w:val="0"/>
          <w:marTop w:val="0"/>
          <w:marBottom w:val="0"/>
          <w:divBdr>
            <w:top w:val="none" w:sz="0" w:space="0" w:color="auto"/>
            <w:left w:val="none" w:sz="0" w:space="0" w:color="auto"/>
            <w:bottom w:val="none" w:sz="0" w:space="0" w:color="auto"/>
            <w:right w:val="none" w:sz="0" w:space="0" w:color="auto"/>
          </w:divBdr>
        </w:div>
      </w:divsChild>
    </w:div>
    <w:div w:id="580219103">
      <w:bodyDiv w:val="1"/>
      <w:marLeft w:val="0"/>
      <w:marRight w:val="0"/>
      <w:marTop w:val="0"/>
      <w:marBottom w:val="0"/>
      <w:divBdr>
        <w:top w:val="none" w:sz="0" w:space="0" w:color="auto"/>
        <w:left w:val="none" w:sz="0" w:space="0" w:color="auto"/>
        <w:bottom w:val="none" w:sz="0" w:space="0" w:color="auto"/>
        <w:right w:val="none" w:sz="0" w:space="0" w:color="auto"/>
      </w:divBdr>
    </w:div>
    <w:div w:id="661157362">
      <w:bodyDiv w:val="1"/>
      <w:marLeft w:val="0"/>
      <w:marRight w:val="0"/>
      <w:marTop w:val="0"/>
      <w:marBottom w:val="0"/>
      <w:divBdr>
        <w:top w:val="none" w:sz="0" w:space="0" w:color="auto"/>
        <w:left w:val="none" w:sz="0" w:space="0" w:color="auto"/>
        <w:bottom w:val="none" w:sz="0" w:space="0" w:color="auto"/>
        <w:right w:val="none" w:sz="0" w:space="0" w:color="auto"/>
      </w:divBdr>
    </w:div>
    <w:div w:id="725837840">
      <w:bodyDiv w:val="1"/>
      <w:marLeft w:val="0"/>
      <w:marRight w:val="0"/>
      <w:marTop w:val="0"/>
      <w:marBottom w:val="0"/>
      <w:divBdr>
        <w:top w:val="none" w:sz="0" w:space="0" w:color="auto"/>
        <w:left w:val="none" w:sz="0" w:space="0" w:color="auto"/>
        <w:bottom w:val="none" w:sz="0" w:space="0" w:color="auto"/>
        <w:right w:val="none" w:sz="0" w:space="0" w:color="auto"/>
      </w:divBdr>
    </w:div>
    <w:div w:id="746071973">
      <w:bodyDiv w:val="1"/>
      <w:marLeft w:val="0"/>
      <w:marRight w:val="0"/>
      <w:marTop w:val="0"/>
      <w:marBottom w:val="0"/>
      <w:divBdr>
        <w:top w:val="none" w:sz="0" w:space="0" w:color="auto"/>
        <w:left w:val="none" w:sz="0" w:space="0" w:color="auto"/>
        <w:bottom w:val="none" w:sz="0" w:space="0" w:color="auto"/>
        <w:right w:val="none" w:sz="0" w:space="0" w:color="auto"/>
      </w:divBdr>
    </w:div>
    <w:div w:id="803083217">
      <w:bodyDiv w:val="1"/>
      <w:marLeft w:val="0"/>
      <w:marRight w:val="0"/>
      <w:marTop w:val="0"/>
      <w:marBottom w:val="0"/>
      <w:divBdr>
        <w:top w:val="none" w:sz="0" w:space="0" w:color="auto"/>
        <w:left w:val="none" w:sz="0" w:space="0" w:color="auto"/>
        <w:bottom w:val="none" w:sz="0" w:space="0" w:color="auto"/>
        <w:right w:val="none" w:sz="0" w:space="0" w:color="auto"/>
      </w:divBdr>
    </w:div>
    <w:div w:id="804586409">
      <w:bodyDiv w:val="1"/>
      <w:marLeft w:val="0"/>
      <w:marRight w:val="0"/>
      <w:marTop w:val="0"/>
      <w:marBottom w:val="0"/>
      <w:divBdr>
        <w:top w:val="none" w:sz="0" w:space="0" w:color="auto"/>
        <w:left w:val="none" w:sz="0" w:space="0" w:color="auto"/>
        <w:bottom w:val="none" w:sz="0" w:space="0" w:color="auto"/>
        <w:right w:val="none" w:sz="0" w:space="0" w:color="auto"/>
      </w:divBdr>
    </w:div>
    <w:div w:id="870805695">
      <w:bodyDiv w:val="1"/>
      <w:marLeft w:val="0"/>
      <w:marRight w:val="0"/>
      <w:marTop w:val="0"/>
      <w:marBottom w:val="0"/>
      <w:divBdr>
        <w:top w:val="none" w:sz="0" w:space="0" w:color="auto"/>
        <w:left w:val="none" w:sz="0" w:space="0" w:color="auto"/>
        <w:bottom w:val="none" w:sz="0" w:space="0" w:color="auto"/>
        <w:right w:val="none" w:sz="0" w:space="0" w:color="auto"/>
      </w:divBdr>
      <w:divsChild>
        <w:div w:id="680740777">
          <w:marLeft w:val="0"/>
          <w:marRight w:val="0"/>
          <w:marTop w:val="0"/>
          <w:marBottom w:val="0"/>
          <w:divBdr>
            <w:top w:val="single" w:sz="2" w:space="0" w:color="D9D9E3"/>
            <w:left w:val="single" w:sz="2" w:space="0" w:color="D9D9E3"/>
            <w:bottom w:val="single" w:sz="2" w:space="0" w:color="D9D9E3"/>
            <w:right w:val="single" w:sz="2" w:space="0" w:color="D9D9E3"/>
          </w:divBdr>
          <w:divsChild>
            <w:div w:id="69892202">
              <w:marLeft w:val="0"/>
              <w:marRight w:val="0"/>
              <w:marTop w:val="0"/>
              <w:marBottom w:val="0"/>
              <w:divBdr>
                <w:top w:val="single" w:sz="2" w:space="0" w:color="D9D9E3"/>
                <w:left w:val="single" w:sz="2" w:space="0" w:color="D9D9E3"/>
                <w:bottom w:val="single" w:sz="2" w:space="0" w:color="D9D9E3"/>
                <w:right w:val="single" w:sz="2" w:space="0" w:color="D9D9E3"/>
              </w:divBdr>
              <w:divsChild>
                <w:div w:id="838084868">
                  <w:marLeft w:val="0"/>
                  <w:marRight w:val="0"/>
                  <w:marTop w:val="0"/>
                  <w:marBottom w:val="0"/>
                  <w:divBdr>
                    <w:top w:val="single" w:sz="2" w:space="0" w:color="D9D9E3"/>
                    <w:left w:val="single" w:sz="2" w:space="0" w:color="D9D9E3"/>
                    <w:bottom w:val="single" w:sz="2" w:space="0" w:color="D9D9E3"/>
                    <w:right w:val="single" w:sz="2" w:space="0" w:color="D9D9E3"/>
                  </w:divBdr>
                  <w:divsChild>
                    <w:div w:id="1236547325">
                      <w:marLeft w:val="0"/>
                      <w:marRight w:val="0"/>
                      <w:marTop w:val="0"/>
                      <w:marBottom w:val="0"/>
                      <w:divBdr>
                        <w:top w:val="single" w:sz="2" w:space="0" w:color="D9D9E3"/>
                        <w:left w:val="single" w:sz="2" w:space="0" w:color="D9D9E3"/>
                        <w:bottom w:val="single" w:sz="2" w:space="0" w:color="D9D9E3"/>
                        <w:right w:val="single" w:sz="2" w:space="0" w:color="D9D9E3"/>
                      </w:divBdr>
                      <w:divsChild>
                        <w:div w:id="832718101">
                          <w:marLeft w:val="0"/>
                          <w:marRight w:val="0"/>
                          <w:marTop w:val="0"/>
                          <w:marBottom w:val="0"/>
                          <w:divBdr>
                            <w:top w:val="single" w:sz="2" w:space="0" w:color="auto"/>
                            <w:left w:val="single" w:sz="2" w:space="0" w:color="auto"/>
                            <w:bottom w:val="single" w:sz="6" w:space="0" w:color="auto"/>
                            <w:right w:val="single" w:sz="2" w:space="0" w:color="auto"/>
                          </w:divBdr>
                          <w:divsChild>
                            <w:div w:id="1506552626">
                              <w:marLeft w:val="0"/>
                              <w:marRight w:val="0"/>
                              <w:marTop w:val="100"/>
                              <w:marBottom w:val="100"/>
                              <w:divBdr>
                                <w:top w:val="single" w:sz="2" w:space="0" w:color="D9D9E3"/>
                                <w:left w:val="single" w:sz="2" w:space="0" w:color="D9D9E3"/>
                                <w:bottom w:val="single" w:sz="2" w:space="0" w:color="D9D9E3"/>
                                <w:right w:val="single" w:sz="2" w:space="0" w:color="D9D9E3"/>
                              </w:divBdr>
                              <w:divsChild>
                                <w:div w:id="1725714313">
                                  <w:marLeft w:val="0"/>
                                  <w:marRight w:val="0"/>
                                  <w:marTop w:val="0"/>
                                  <w:marBottom w:val="0"/>
                                  <w:divBdr>
                                    <w:top w:val="single" w:sz="2" w:space="0" w:color="D9D9E3"/>
                                    <w:left w:val="single" w:sz="2" w:space="0" w:color="D9D9E3"/>
                                    <w:bottom w:val="single" w:sz="2" w:space="0" w:color="D9D9E3"/>
                                    <w:right w:val="single" w:sz="2" w:space="0" w:color="D9D9E3"/>
                                  </w:divBdr>
                                  <w:divsChild>
                                    <w:div w:id="676469488">
                                      <w:marLeft w:val="0"/>
                                      <w:marRight w:val="0"/>
                                      <w:marTop w:val="0"/>
                                      <w:marBottom w:val="0"/>
                                      <w:divBdr>
                                        <w:top w:val="single" w:sz="2" w:space="0" w:color="D9D9E3"/>
                                        <w:left w:val="single" w:sz="2" w:space="0" w:color="D9D9E3"/>
                                        <w:bottom w:val="single" w:sz="2" w:space="0" w:color="D9D9E3"/>
                                        <w:right w:val="single" w:sz="2" w:space="0" w:color="D9D9E3"/>
                                      </w:divBdr>
                                      <w:divsChild>
                                        <w:div w:id="1375037408">
                                          <w:marLeft w:val="0"/>
                                          <w:marRight w:val="0"/>
                                          <w:marTop w:val="0"/>
                                          <w:marBottom w:val="0"/>
                                          <w:divBdr>
                                            <w:top w:val="single" w:sz="2" w:space="0" w:color="D9D9E3"/>
                                            <w:left w:val="single" w:sz="2" w:space="0" w:color="D9D9E3"/>
                                            <w:bottom w:val="single" w:sz="2" w:space="0" w:color="D9D9E3"/>
                                            <w:right w:val="single" w:sz="2" w:space="0" w:color="D9D9E3"/>
                                          </w:divBdr>
                                          <w:divsChild>
                                            <w:div w:id="17495772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60721245">
          <w:marLeft w:val="0"/>
          <w:marRight w:val="0"/>
          <w:marTop w:val="0"/>
          <w:marBottom w:val="0"/>
          <w:divBdr>
            <w:top w:val="none" w:sz="0" w:space="0" w:color="auto"/>
            <w:left w:val="none" w:sz="0" w:space="0" w:color="auto"/>
            <w:bottom w:val="none" w:sz="0" w:space="0" w:color="auto"/>
            <w:right w:val="none" w:sz="0" w:space="0" w:color="auto"/>
          </w:divBdr>
          <w:divsChild>
            <w:div w:id="1107852859">
              <w:marLeft w:val="0"/>
              <w:marRight w:val="0"/>
              <w:marTop w:val="0"/>
              <w:marBottom w:val="0"/>
              <w:divBdr>
                <w:top w:val="single" w:sz="2" w:space="0" w:color="D9D9E3"/>
                <w:left w:val="single" w:sz="2" w:space="0" w:color="D9D9E3"/>
                <w:bottom w:val="single" w:sz="2" w:space="0" w:color="D9D9E3"/>
                <w:right w:val="single" w:sz="2" w:space="0" w:color="D9D9E3"/>
              </w:divBdr>
              <w:divsChild>
                <w:div w:id="1295259875">
                  <w:marLeft w:val="0"/>
                  <w:marRight w:val="0"/>
                  <w:marTop w:val="0"/>
                  <w:marBottom w:val="0"/>
                  <w:divBdr>
                    <w:top w:val="single" w:sz="2" w:space="0" w:color="D9D9E3"/>
                    <w:left w:val="single" w:sz="2" w:space="0" w:color="D9D9E3"/>
                    <w:bottom w:val="single" w:sz="2" w:space="0" w:color="D9D9E3"/>
                    <w:right w:val="single" w:sz="2" w:space="0" w:color="D9D9E3"/>
                  </w:divBdr>
                  <w:divsChild>
                    <w:div w:id="1243175097">
                      <w:marLeft w:val="0"/>
                      <w:marRight w:val="0"/>
                      <w:marTop w:val="0"/>
                      <w:marBottom w:val="0"/>
                      <w:divBdr>
                        <w:top w:val="single" w:sz="2" w:space="0" w:color="D9D9E3"/>
                        <w:left w:val="single" w:sz="2" w:space="0" w:color="D9D9E3"/>
                        <w:bottom w:val="single" w:sz="2" w:space="0" w:color="D9D9E3"/>
                        <w:right w:val="single" w:sz="2" w:space="0" w:color="D9D9E3"/>
                      </w:divBdr>
                      <w:divsChild>
                        <w:div w:id="9821258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34901030">
      <w:bodyDiv w:val="1"/>
      <w:marLeft w:val="0"/>
      <w:marRight w:val="0"/>
      <w:marTop w:val="0"/>
      <w:marBottom w:val="0"/>
      <w:divBdr>
        <w:top w:val="none" w:sz="0" w:space="0" w:color="auto"/>
        <w:left w:val="none" w:sz="0" w:space="0" w:color="auto"/>
        <w:bottom w:val="none" w:sz="0" w:space="0" w:color="auto"/>
        <w:right w:val="none" w:sz="0" w:space="0" w:color="auto"/>
      </w:divBdr>
    </w:div>
    <w:div w:id="959651193">
      <w:bodyDiv w:val="1"/>
      <w:marLeft w:val="0"/>
      <w:marRight w:val="0"/>
      <w:marTop w:val="0"/>
      <w:marBottom w:val="0"/>
      <w:divBdr>
        <w:top w:val="none" w:sz="0" w:space="0" w:color="auto"/>
        <w:left w:val="none" w:sz="0" w:space="0" w:color="auto"/>
        <w:bottom w:val="none" w:sz="0" w:space="0" w:color="auto"/>
        <w:right w:val="none" w:sz="0" w:space="0" w:color="auto"/>
      </w:divBdr>
    </w:div>
    <w:div w:id="1069114760">
      <w:bodyDiv w:val="1"/>
      <w:marLeft w:val="0"/>
      <w:marRight w:val="0"/>
      <w:marTop w:val="0"/>
      <w:marBottom w:val="0"/>
      <w:divBdr>
        <w:top w:val="none" w:sz="0" w:space="0" w:color="auto"/>
        <w:left w:val="none" w:sz="0" w:space="0" w:color="auto"/>
        <w:bottom w:val="none" w:sz="0" w:space="0" w:color="auto"/>
        <w:right w:val="none" w:sz="0" w:space="0" w:color="auto"/>
      </w:divBdr>
    </w:div>
    <w:div w:id="1183780350">
      <w:bodyDiv w:val="1"/>
      <w:marLeft w:val="0"/>
      <w:marRight w:val="0"/>
      <w:marTop w:val="0"/>
      <w:marBottom w:val="0"/>
      <w:divBdr>
        <w:top w:val="none" w:sz="0" w:space="0" w:color="auto"/>
        <w:left w:val="none" w:sz="0" w:space="0" w:color="auto"/>
        <w:bottom w:val="none" w:sz="0" w:space="0" w:color="auto"/>
        <w:right w:val="none" w:sz="0" w:space="0" w:color="auto"/>
      </w:divBdr>
    </w:div>
    <w:div w:id="1286038528">
      <w:bodyDiv w:val="1"/>
      <w:marLeft w:val="0"/>
      <w:marRight w:val="0"/>
      <w:marTop w:val="0"/>
      <w:marBottom w:val="0"/>
      <w:divBdr>
        <w:top w:val="none" w:sz="0" w:space="0" w:color="auto"/>
        <w:left w:val="none" w:sz="0" w:space="0" w:color="auto"/>
        <w:bottom w:val="none" w:sz="0" w:space="0" w:color="auto"/>
        <w:right w:val="none" w:sz="0" w:space="0" w:color="auto"/>
      </w:divBdr>
    </w:div>
    <w:div w:id="1298682744">
      <w:bodyDiv w:val="1"/>
      <w:marLeft w:val="0"/>
      <w:marRight w:val="0"/>
      <w:marTop w:val="0"/>
      <w:marBottom w:val="0"/>
      <w:divBdr>
        <w:top w:val="none" w:sz="0" w:space="0" w:color="auto"/>
        <w:left w:val="none" w:sz="0" w:space="0" w:color="auto"/>
        <w:bottom w:val="none" w:sz="0" w:space="0" w:color="auto"/>
        <w:right w:val="none" w:sz="0" w:space="0" w:color="auto"/>
      </w:divBdr>
    </w:div>
    <w:div w:id="1334912844">
      <w:bodyDiv w:val="1"/>
      <w:marLeft w:val="0"/>
      <w:marRight w:val="0"/>
      <w:marTop w:val="0"/>
      <w:marBottom w:val="0"/>
      <w:divBdr>
        <w:top w:val="none" w:sz="0" w:space="0" w:color="auto"/>
        <w:left w:val="none" w:sz="0" w:space="0" w:color="auto"/>
        <w:bottom w:val="none" w:sz="0" w:space="0" w:color="auto"/>
        <w:right w:val="none" w:sz="0" w:space="0" w:color="auto"/>
      </w:divBdr>
    </w:div>
    <w:div w:id="1341544964">
      <w:bodyDiv w:val="1"/>
      <w:marLeft w:val="0"/>
      <w:marRight w:val="0"/>
      <w:marTop w:val="0"/>
      <w:marBottom w:val="0"/>
      <w:divBdr>
        <w:top w:val="none" w:sz="0" w:space="0" w:color="auto"/>
        <w:left w:val="none" w:sz="0" w:space="0" w:color="auto"/>
        <w:bottom w:val="none" w:sz="0" w:space="0" w:color="auto"/>
        <w:right w:val="none" w:sz="0" w:space="0" w:color="auto"/>
      </w:divBdr>
    </w:div>
    <w:div w:id="1360467197">
      <w:bodyDiv w:val="1"/>
      <w:marLeft w:val="0"/>
      <w:marRight w:val="0"/>
      <w:marTop w:val="0"/>
      <w:marBottom w:val="0"/>
      <w:divBdr>
        <w:top w:val="none" w:sz="0" w:space="0" w:color="auto"/>
        <w:left w:val="none" w:sz="0" w:space="0" w:color="auto"/>
        <w:bottom w:val="none" w:sz="0" w:space="0" w:color="auto"/>
        <w:right w:val="none" w:sz="0" w:space="0" w:color="auto"/>
      </w:divBdr>
      <w:divsChild>
        <w:div w:id="1955284755">
          <w:marLeft w:val="0"/>
          <w:marRight w:val="0"/>
          <w:marTop w:val="0"/>
          <w:marBottom w:val="0"/>
          <w:divBdr>
            <w:top w:val="none" w:sz="0" w:space="0" w:color="auto"/>
            <w:left w:val="none" w:sz="0" w:space="0" w:color="auto"/>
            <w:bottom w:val="none" w:sz="0" w:space="0" w:color="auto"/>
            <w:right w:val="none" w:sz="0" w:space="0" w:color="auto"/>
          </w:divBdr>
        </w:div>
      </w:divsChild>
    </w:div>
    <w:div w:id="1378123556">
      <w:bodyDiv w:val="1"/>
      <w:marLeft w:val="0"/>
      <w:marRight w:val="0"/>
      <w:marTop w:val="0"/>
      <w:marBottom w:val="0"/>
      <w:divBdr>
        <w:top w:val="none" w:sz="0" w:space="0" w:color="auto"/>
        <w:left w:val="none" w:sz="0" w:space="0" w:color="auto"/>
        <w:bottom w:val="none" w:sz="0" w:space="0" w:color="auto"/>
        <w:right w:val="none" w:sz="0" w:space="0" w:color="auto"/>
      </w:divBdr>
    </w:div>
    <w:div w:id="1378778867">
      <w:bodyDiv w:val="1"/>
      <w:marLeft w:val="0"/>
      <w:marRight w:val="0"/>
      <w:marTop w:val="0"/>
      <w:marBottom w:val="0"/>
      <w:divBdr>
        <w:top w:val="none" w:sz="0" w:space="0" w:color="auto"/>
        <w:left w:val="none" w:sz="0" w:space="0" w:color="auto"/>
        <w:bottom w:val="none" w:sz="0" w:space="0" w:color="auto"/>
        <w:right w:val="none" w:sz="0" w:space="0" w:color="auto"/>
      </w:divBdr>
    </w:div>
    <w:div w:id="1382678660">
      <w:bodyDiv w:val="1"/>
      <w:marLeft w:val="0"/>
      <w:marRight w:val="0"/>
      <w:marTop w:val="0"/>
      <w:marBottom w:val="0"/>
      <w:divBdr>
        <w:top w:val="none" w:sz="0" w:space="0" w:color="auto"/>
        <w:left w:val="none" w:sz="0" w:space="0" w:color="auto"/>
        <w:bottom w:val="none" w:sz="0" w:space="0" w:color="auto"/>
        <w:right w:val="none" w:sz="0" w:space="0" w:color="auto"/>
      </w:divBdr>
    </w:div>
    <w:div w:id="1473017611">
      <w:bodyDiv w:val="1"/>
      <w:marLeft w:val="0"/>
      <w:marRight w:val="0"/>
      <w:marTop w:val="0"/>
      <w:marBottom w:val="0"/>
      <w:divBdr>
        <w:top w:val="none" w:sz="0" w:space="0" w:color="auto"/>
        <w:left w:val="none" w:sz="0" w:space="0" w:color="auto"/>
        <w:bottom w:val="none" w:sz="0" w:space="0" w:color="auto"/>
        <w:right w:val="none" w:sz="0" w:space="0" w:color="auto"/>
      </w:divBdr>
    </w:div>
    <w:div w:id="1537696801">
      <w:bodyDiv w:val="1"/>
      <w:marLeft w:val="0"/>
      <w:marRight w:val="0"/>
      <w:marTop w:val="0"/>
      <w:marBottom w:val="0"/>
      <w:divBdr>
        <w:top w:val="none" w:sz="0" w:space="0" w:color="auto"/>
        <w:left w:val="none" w:sz="0" w:space="0" w:color="auto"/>
        <w:bottom w:val="none" w:sz="0" w:space="0" w:color="auto"/>
        <w:right w:val="none" w:sz="0" w:space="0" w:color="auto"/>
      </w:divBdr>
    </w:div>
    <w:div w:id="1538546419">
      <w:bodyDiv w:val="1"/>
      <w:marLeft w:val="0"/>
      <w:marRight w:val="0"/>
      <w:marTop w:val="0"/>
      <w:marBottom w:val="0"/>
      <w:divBdr>
        <w:top w:val="none" w:sz="0" w:space="0" w:color="auto"/>
        <w:left w:val="none" w:sz="0" w:space="0" w:color="auto"/>
        <w:bottom w:val="none" w:sz="0" w:space="0" w:color="auto"/>
        <w:right w:val="none" w:sz="0" w:space="0" w:color="auto"/>
      </w:divBdr>
    </w:div>
    <w:div w:id="1559438353">
      <w:bodyDiv w:val="1"/>
      <w:marLeft w:val="0"/>
      <w:marRight w:val="0"/>
      <w:marTop w:val="0"/>
      <w:marBottom w:val="0"/>
      <w:divBdr>
        <w:top w:val="none" w:sz="0" w:space="0" w:color="auto"/>
        <w:left w:val="none" w:sz="0" w:space="0" w:color="auto"/>
        <w:bottom w:val="none" w:sz="0" w:space="0" w:color="auto"/>
        <w:right w:val="none" w:sz="0" w:space="0" w:color="auto"/>
      </w:divBdr>
    </w:div>
    <w:div w:id="1573077425">
      <w:bodyDiv w:val="1"/>
      <w:marLeft w:val="0"/>
      <w:marRight w:val="0"/>
      <w:marTop w:val="0"/>
      <w:marBottom w:val="0"/>
      <w:divBdr>
        <w:top w:val="none" w:sz="0" w:space="0" w:color="auto"/>
        <w:left w:val="none" w:sz="0" w:space="0" w:color="auto"/>
        <w:bottom w:val="none" w:sz="0" w:space="0" w:color="auto"/>
        <w:right w:val="none" w:sz="0" w:space="0" w:color="auto"/>
      </w:divBdr>
    </w:div>
    <w:div w:id="1631354064">
      <w:bodyDiv w:val="1"/>
      <w:marLeft w:val="0"/>
      <w:marRight w:val="0"/>
      <w:marTop w:val="0"/>
      <w:marBottom w:val="0"/>
      <w:divBdr>
        <w:top w:val="none" w:sz="0" w:space="0" w:color="auto"/>
        <w:left w:val="none" w:sz="0" w:space="0" w:color="auto"/>
        <w:bottom w:val="none" w:sz="0" w:space="0" w:color="auto"/>
        <w:right w:val="none" w:sz="0" w:space="0" w:color="auto"/>
      </w:divBdr>
    </w:div>
    <w:div w:id="1640645341">
      <w:bodyDiv w:val="1"/>
      <w:marLeft w:val="0"/>
      <w:marRight w:val="0"/>
      <w:marTop w:val="0"/>
      <w:marBottom w:val="0"/>
      <w:divBdr>
        <w:top w:val="none" w:sz="0" w:space="0" w:color="auto"/>
        <w:left w:val="none" w:sz="0" w:space="0" w:color="auto"/>
        <w:bottom w:val="none" w:sz="0" w:space="0" w:color="auto"/>
        <w:right w:val="none" w:sz="0" w:space="0" w:color="auto"/>
      </w:divBdr>
      <w:divsChild>
        <w:div w:id="575285310">
          <w:marLeft w:val="0"/>
          <w:marRight w:val="0"/>
          <w:marTop w:val="0"/>
          <w:marBottom w:val="0"/>
          <w:divBdr>
            <w:top w:val="single" w:sz="2" w:space="0" w:color="D9D9E3"/>
            <w:left w:val="single" w:sz="2" w:space="0" w:color="D9D9E3"/>
            <w:bottom w:val="single" w:sz="2" w:space="0" w:color="D9D9E3"/>
            <w:right w:val="single" w:sz="2" w:space="0" w:color="D9D9E3"/>
          </w:divBdr>
          <w:divsChild>
            <w:div w:id="1990858417">
              <w:marLeft w:val="0"/>
              <w:marRight w:val="0"/>
              <w:marTop w:val="0"/>
              <w:marBottom w:val="0"/>
              <w:divBdr>
                <w:top w:val="single" w:sz="2" w:space="0" w:color="D9D9E3"/>
                <w:left w:val="single" w:sz="2" w:space="0" w:color="D9D9E3"/>
                <w:bottom w:val="single" w:sz="2" w:space="0" w:color="D9D9E3"/>
                <w:right w:val="single" w:sz="2" w:space="0" w:color="D9D9E3"/>
              </w:divBdr>
              <w:divsChild>
                <w:div w:id="1671367157">
                  <w:marLeft w:val="0"/>
                  <w:marRight w:val="0"/>
                  <w:marTop w:val="0"/>
                  <w:marBottom w:val="0"/>
                  <w:divBdr>
                    <w:top w:val="single" w:sz="2" w:space="0" w:color="D9D9E3"/>
                    <w:left w:val="single" w:sz="2" w:space="0" w:color="D9D9E3"/>
                    <w:bottom w:val="single" w:sz="2" w:space="0" w:color="D9D9E3"/>
                    <w:right w:val="single" w:sz="2" w:space="0" w:color="D9D9E3"/>
                  </w:divBdr>
                  <w:divsChild>
                    <w:div w:id="300579054">
                      <w:marLeft w:val="0"/>
                      <w:marRight w:val="0"/>
                      <w:marTop w:val="0"/>
                      <w:marBottom w:val="0"/>
                      <w:divBdr>
                        <w:top w:val="single" w:sz="2" w:space="0" w:color="D9D9E3"/>
                        <w:left w:val="single" w:sz="2" w:space="0" w:color="D9D9E3"/>
                        <w:bottom w:val="single" w:sz="2" w:space="0" w:color="D9D9E3"/>
                        <w:right w:val="single" w:sz="2" w:space="0" w:color="D9D9E3"/>
                      </w:divBdr>
                      <w:divsChild>
                        <w:div w:id="1383560287">
                          <w:marLeft w:val="0"/>
                          <w:marRight w:val="0"/>
                          <w:marTop w:val="0"/>
                          <w:marBottom w:val="0"/>
                          <w:divBdr>
                            <w:top w:val="single" w:sz="2" w:space="0" w:color="auto"/>
                            <w:left w:val="single" w:sz="2" w:space="0" w:color="auto"/>
                            <w:bottom w:val="single" w:sz="6" w:space="0" w:color="auto"/>
                            <w:right w:val="single" w:sz="2" w:space="0" w:color="auto"/>
                          </w:divBdr>
                          <w:divsChild>
                            <w:div w:id="1055197487">
                              <w:marLeft w:val="0"/>
                              <w:marRight w:val="0"/>
                              <w:marTop w:val="100"/>
                              <w:marBottom w:val="100"/>
                              <w:divBdr>
                                <w:top w:val="single" w:sz="2" w:space="0" w:color="D9D9E3"/>
                                <w:left w:val="single" w:sz="2" w:space="0" w:color="D9D9E3"/>
                                <w:bottom w:val="single" w:sz="2" w:space="0" w:color="D9D9E3"/>
                                <w:right w:val="single" w:sz="2" w:space="0" w:color="D9D9E3"/>
                              </w:divBdr>
                              <w:divsChild>
                                <w:div w:id="25757731">
                                  <w:marLeft w:val="0"/>
                                  <w:marRight w:val="0"/>
                                  <w:marTop w:val="0"/>
                                  <w:marBottom w:val="0"/>
                                  <w:divBdr>
                                    <w:top w:val="single" w:sz="2" w:space="0" w:color="D9D9E3"/>
                                    <w:left w:val="single" w:sz="2" w:space="0" w:color="D9D9E3"/>
                                    <w:bottom w:val="single" w:sz="2" w:space="0" w:color="D9D9E3"/>
                                    <w:right w:val="single" w:sz="2" w:space="0" w:color="D9D9E3"/>
                                  </w:divBdr>
                                  <w:divsChild>
                                    <w:div w:id="428626463">
                                      <w:marLeft w:val="0"/>
                                      <w:marRight w:val="0"/>
                                      <w:marTop w:val="0"/>
                                      <w:marBottom w:val="0"/>
                                      <w:divBdr>
                                        <w:top w:val="single" w:sz="2" w:space="0" w:color="D9D9E3"/>
                                        <w:left w:val="single" w:sz="2" w:space="0" w:color="D9D9E3"/>
                                        <w:bottom w:val="single" w:sz="2" w:space="0" w:color="D9D9E3"/>
                                        <w:right w:val="single" w:sz="2" w:space="0" w:color="D9D9E3"/>
                                      </w:divBdr>
                                      <w:divsChild>
                                        <w:div w:id="578103997">
                                          <w:marLeft w:val="0"/>
                                          <w:marRight w:val="0"/>
                                          <w:marTop w:val="0"/>
                                          <w:marBottom w:val="0"/>
                                          <w:divBdr>
                                            <w:top w:val="single" w:sz="2" w:space="0" w:color="D9D9E3"/>
                                            <w:left w:val="single" w:sz="2" w:space="0" w:color="D9D9E3"/>
                                            <w:bottom w:val="single" w:sz="2" w:space="0" w:color="D9D9E3"/>
                                            <w:right w:val="single" w:sz="2" w:space="0" w:color="D9D9E3"/>
                                          </w:divBdr>
                                          <w:divsChild>
                                            <w:div w:id="12851908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86224283">
          <w:marLeft w:val="0"/>
          <w:marRight w:val="0"/>
          <w:marTop w:val="0"/>
          <w:marBottom w:val="0"/>
          <w:divBdr>
            <w:top w:val="none" w:sz="0" w:space="0" w:color="auto"/>
            <w:left w:val="none" w:sz="0" w:space="0" w:color="auto"/>
            <w:bottom w:val="none" w:sz="0" w:space="0" w:color="auto"/>
            <w:right w:val="none" w:sz="0" w:space="0" w:color="auto"/>
          </w:divBdr>
        </w:div>
      </w:divsChild>
    </w:div>
    <w:div w:id="1667434187">
      <w:bodyDiv w:val="1"/>
      <w:marLeft w:val="0"/>
      <w:marRight w:val="0"/>
      <w:marTop w:val="0"/>
      <w:marBottom w:val="0"/>
      <w:divBdr>
        <w:top w:val="none" w:sz="0" w:space="0" w:color="auto"/>
        <w:left w:val="none" w:sz="0" w:space="0" w:color="auto"/>
        <w:bottom w:val="none" w:sz="0" w:space="0" w:color="auto"/>
        <w:right w:val="none" w:sz="0" w:space="0" w:color="auto"/>
      </w:divBdr>
    </w:div>
    <w:div w:id="1707829098">
      <w:bodyDiv w:val="1"/>
      <w:marLeft w:val="0"/>
      <w:marRight w:val="0"/>
      <w:marTop w:val="0"/>
      <w:marBottom w:val="0"/>
      <w:divBdr>
        <w:top w:val="none" w:sz="0" w:space="0" w:color="auto"/>
        <w:left w:val="none" w:sz="0" w:space="0" w:color="auto"/>
        <w:bottom w:val="none" w:sz="0" w:space="0" w:color="auto"/>
        <w:right w:val="none" w:sz="0" w:space="0" w:color="auto"/>
      </w:divBdr>
    </w:div>
    <w:div w:id="1725448717">
      <w:bodyDiv w:val="1"/>
      <w:marLeft w:val="0"/>
      <w:marRight w:val="0"/>
      <w:marTop w:val="0"/>
      <w:marBottom w:val="0"/>
      <w:divBdr>
        <w:top w:val="none" w:sz="0" w:space="0" w:color="auto"/>
        <w:left w:val="none" w:sz="0" w:space="0" w:color="auto"/>
        <w:bottom w:val="none" w:sz="0" w:space="0" w:color="auto"/>
        <w:right w:val="none" w:sz="0" w:space="0" w:color="auto"/>
      </w:divBdr>
    </w:div>
    <w:div w:id="1777480008">
      <w:bodyDiv w:val="1"/>
      <w:marLeft w:val="0"/>
      <w:marRight w:val="0"/>
      <w:marTop w:val="0"/>
      <w:marBottom w:val="0"/>
      <w:divBdr>
        <w:top w:val="none" w:sz="0" w:space="0" w:color="auto"/>
        <w:left w:val="none" w:sz="0" w:space="0" w:color="auto"/>
        <w:bottom w:val="none" w:sz="0" w:space="0" w:color="auto"/>
        <w:right w:val="none" w:sz="0" w:space="0" w:color="auto"/>
      </w:divBdr>
    </w:div>
    <w:div w:id="1787194331">
      <w:bodyDiv w:val="1"/>
      <w:marLeft w:val="0"/>
      <w:marRight w:val="0"/>
      <w:marTop w:val="0"/>
      <w:marBottom w:val="0"/>
      <w:divBdr>
        <w:top w:val="none" w:sz="0" w:space="0" w:color="auto"/>
        <w:left w:val="none" w:sz="0" w:space="0" w:color="auto"/>
        <w:bottom w:val="none" w:sz="0" w:space="0" w:color="auto"/>
        <w:right w:val="none" w:sz="0" w:space="0" w:color="auto"/>
      </w:divBdr>
    </w:div>
    <w:div w:id="1796413763">
      <w:bodyDiv w:val="1"/>
      <w:marLeft w:val="0"/>
      <w:marRight w:val="0"/>
      <w:marTop w:val="0"/>
      <w:marBottom w:val="0"/>
      <w:divBdr>
        <w:top w:val="none" w:sz="0" w:space="0" w:color="auto"/>
        <w:left w:val="none" w:sz="0" w:space="0" w:color="auto"/>
        <w:bottom w:val="none" w:sz="0" w:space="0" w:color="auto"/>
        <w:right w:val="none" w:sz="0" w:space="0" w:color="auto"/>
      </w:divBdr>
    </w:div>
    <w:div w:id="1805582907">
      <w:bodyDiv w:val="1"/>
      <w:marLeft w:val="0"/>
      <w:marRight w:val="0"/>
      <w:marTop w:val="0"/>
      <w:marBottom w:val="0"/>
      <w:divBdr>
        <w:top w:val="none" w:sz="0" w:space="0" w:color="auto"/>
        <w:left w:val="none" w:sz="0" w:space="0" w:color="auto"/>
        <w:bottom w:val="none" w:sz="0" w:space="0" w:color="auto"/>
        <w:right w:val="none" w:sz="0" w:space="0" w:color="auto"/>
      </w:divBdr>
    </w:div>
    <w:div w:id="2024889820">
      <w:bodyDiv w:val="1"/>
      <w:marLeft w:val="0"/>
      <w:marRight w:val="0"/>
      <w:marTop w:val="0"/>
      <w:marBottom w:val="0"/>
      <w:divBdr>
        <w:top w:val="none" w:sz="0" w:space="0" w:color="auto"/>
        <w:left w:val="none" w:sz="0" w:space="0" w:color="auto"/>
        <w:bottom w:val="none" w:sz="0" w:space="0" w:color="auto"/>
        <w:right w:val="none" w:sz="0" w:space="0" w:color="auto"/>
      </w:divBdr>
    </w:div>
    <w:div w:id="2087220972">
      <w:bodyDiv w:val="1"/>
      <w:marLeft w:val="0"/>
      <w:marRight w:val="0"/>
      <w:marTop w:val="0"/>
      <w:marBottom w:val="0"/>
      <w:divBdr>
        <w:top w:val="none" w:sz="0" w:space="0" w:color="auto"/>
        <w:left w:val="none" w:sz="0" w:space="0" w:color="auto"/>
        <w:bottom w:val="none" w:sz="0" w:space="0" w:color="auto"/>
        <w:right w:val="none" w:sz="0" w:space="0" w:color="auto"/>
      </w:divBdr>
    </w:div>
    <w:div w:id="2115901815">
      <w:bodyDiv w:val="1"/>
      <w:marLeft w:val="0"/>
      <w:marRight w:val="0"/>
      <w:marTop w:val="0"/>
      <w:marBottom w:val="0"/>
      <w:divBdr>
        <w:top w:val="none" w:sz="0" w:space="0" w:color="auto"/>
        <w:left w:val="none" w:sz="0" w:space="0" w:color="auto"/>
        <w:bottom w:val="none" w:sz="0" w:space="0" w:color="auto"/>
        <w:right w:val="none" w:sz="0" w:space="0" w:color="auto"/>
      </w:divBdr>
    </w:div>
    <w:div w:id="2123499923">
      <w:bodyDiv w:val="1"/>
      <w:marLeft w:val="0"/>
      <w:marRight w:val="0"/>
      <w:marTop w:val="0"/>
      <w:marBottom w:val="0"/>
      <w:divBdr>
        <w:top w:val="none" w:sz="0" w:space="0" w:color="auto"/>
        <w:left w:val="none" w:sz="0" w:space="0" w:color="auto"/>
        <w:bottom w:val="none" w:sz="0" w:space="0" w:color="auto"/>
        <w:right w:val="none" w:sz="0" w:space="0" w:color="auto"/>
      </w:divBdr>
    </w:div>
    <w:div w:id="2142141011">
      <w:bodyDiv w:val="1"/>
      <w:marLeft w:val="0"/>
      <w:marRight w:val="0"/>
      <w:marTop w:val="0"/>
      <w:marBottom w:val="0"/>
      <w:divBdr>
        <w:top w:val="none" w:sz="0" w:space="0" w:color="auto"/>
        <w:left w:val="none" w:sz="0" w:space="0" w:color="auto"/>
        <w:bottom w:val="none" w:sz="0" w:space="0" w:color="auto"/>
        <w:right w:val="none" w:sz="0" w:space="0" w:color="auto"/>
      </w:divBdr>
    </w:div>
    <w:div w:id="2142191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259f55d-0a5d-4090-b7dc-94fbe9ff4a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6FF71FA3682A4EB3651E49EA7F2E5D" ma:contentTypeVersion="14" ma:contentTypeDescription="Create a new document." ma:contentTypeScope="" ma:versionID="5ac34860e6e585f289896dcd978d49d2">
  <xsd:schema xmlns:xsd="http://www.w3.org/2001/XMLSchema" xmlns:xs="http://www.w3.org/2001/XMLSchema" xmlns:p="http://schemas.microsoft.com/office/2006/metadata/properties" xmlns:ns3="29365f3e-8bda-4d5b-9e5b-042c8e67311d" xmlns:ns4="e259f55d-0a5d-4090-b7dc-94fbe9ff4ab8" targetNamespace="http://schemas.microsoft.com/office/2006/metadata/properties" ma:root="true" ma:fieldsID="1cbbb248e63d53b3a6da957aea1b7320" ns3:_="" ns4:_="">
    <xsd:import namespace="29365f3e-8bda-4d5b-9e5b-042c8e67311d"/>
    <xsd:import namespace="e259f55d-0a5d-4090-b7dc-94fbe9ff4ab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65f3e-8bda-4d5b-9e5b-042c8e6731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59f55d-0a5d-4090-b7dc-94fbe9ff4ab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ikO0EtDkTkzKfflhQJhy2Qu3sZhQ==">AMUW2mVnHXeTPI7BxLVMo/UwKFbinNxtSeKa2aR/buR40UHjhIyOJLV7fmH3DXwjDo6NIqPfL69fv8vAZwEQhEPuQJPM95Eg9PUmWUYdqWHTgER2jAtBogMzzxBu9x1nbvlo4RR7Jq1NgSt40pCY1RF0xX9gujVXWmRDf58BrZJh+7D3/2kI3peoyioZXO1xqsjp9xEN6s73rV0WV4xnn8ULyViAnwsp8C9wwF51E7RB+F0jCkiXMmI+2Tzy82gHH35t1EMumFT677S9FP51tbNciF35/ifCDJifie0bKZHXd7HctPLXx+0B6xl66z4DTIs1lBOUhXULtcRlBqEX9gAzL2O9Ep2LVqbTyqTqoqC19SkQTIcY3GlUMODsOEELomVejayC8zeueqRL1VndABiW8AD99wHE76kAazzGZ8/k9dkmSPjmxJk/1elzY1xFiTgmscww2hXc2kwSgASG4RdPr0fR/22lv+LyKxR1VxYANmwluaTU5hPAYYtS5iohK4wAApw1uat7QDDpZiiqE+SHDG2SEu9+uPzHTecqrbPz5DQn6eoppQHJg0sHxCEhWvfu+okT0rdayu2kCoC8n3K+HptYTUxqn2qBfTKqccCjgbeBfTLns3syH6CEuoflRONevZpQhkmRqFOKarHTodOYABIukfPeTd28EsiiqoVrB6hZZL4nVkZbxw2Wa2SjM3uyZMDC70M6TxU7K5U8bx8rjZPtwkWO5u7zNXJ11nMMaQy9ZbbJoAG3+0R3B5qBmqqgFV80fhz8V+J32HRbKXfu3Iv0Xz51Ufp04LUMtGIC4zgWMbVz4V7Xy7ODkoSJE9EltqfWDqLZEVXnj+qivoh0xShLRaRbivbGB63M32W40IQWE9whzTkiLvb2GzL5naID6YUuBtdZjOtl2ASd3plR/fsof8ffnZby4L+K+zl9xZq5RgZaLs8DQKGp7ur8tEBIP9vsfFuQ6ztJvkt3Uvy+5sQPFzGS5XzFRRyxxWufMM8wOCoi5R4C37PXewSUiZs58vcYbrNsv43ExeG3ifcPK1EpKJDKapzMdwCvnCiPu4re1KXESqBsRSUM/xWC/eehx+NRECw5qz30+Hc+fXKc8+DPcs34v7Hfd+SUOykvh2tP+yFQTptZPQsboccjtSYjs+w4mU8KWLqnspymwDVp+RkwYftWtgBVm9bYqNhNPQULfO1Prcq6pSKgizlaF9iUs7pOgFayuVWVLj775e1HwyyuUKrnKKcdakQnp5HoJWGHCWwZF82hjGoYUNOteX+py9+shsHFncZjy/YnGaQeSg7q1V2Ay8AJsZS0I+ahBsEhXHrgQgxt3VEDWhWvzT5Gr0vxdDopnuORH7aTx5DzCP8B0WP0a1iZaMFb38f+spZx8PN9qmnVuahZ2aSm7Dp5lRD1DXrVwHTzv5vc63Y3XDTMixoqkHM8Sc4oo9yXAqUJkQn8x0gQvLcGXQpFnt8Ytq3qBD0t9hMM1+TTAb/ee4FNoYA1VsGvyc0BFDUf74JzNPVlT15y9a3BpJCINxNsVgboHW8syRAsXSW72cDOZCGMPWv2QwtbVXqhcpV7cm94vjhDXO790zhiZ6J3CDkpYnJFhm9oyDV7t4PqKw6WNHuIVWuqR3FwKOb1CgtsMSZ1YZGoTwOOalhRVfb+BD4clDseCWv0d5dW5xOrNC0guRautaoWkMMJ7SI7B3ZaFtTs/pDbfprf9QB4kVvYgA4pEuYias23ZNq3lxxP5pg4ZqlT/+KM+6qtzHObIhJSXVDhrQALBER+RhpesQjjpCGZRo9x8purUa/p93YiTd3u0wLuUpkzycpo3jM/Dnb2HISSum4x45xjOIjVwr62ZIwdlvvdVNRqojiDwwFJUDYu9n0W7YXH/KzZldlb+3AD+R/M3J2ZABDBi6Qs6MmSx4DfTm8FQ9tJdbKwI1vEPreUYoEGZ9Ma3w==</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50AD4-1234-4634-99D8-D8A861078428}">
  <ds:schemaRefs>
    <ds:schemaRef ds:uri="http://schemas.microsoft.com/office/2006/metadata/properties"/>
    <ds:schemaRef ds:uri="http://schemas.microsoft.com/office/infopath/2007/PartnerControls"/>
    <ds:schemaRef ds:uri="e259f55d-0a5d-4090-b7dc-94fbe9ff4ab8"/>
  </ds:schemaRefs>
</ds:datastoreItem>
</file>

<file path=customXml/itemProps2.xml><?xml version="1.0" encoding="utf-8"?>
<ds:datastoreItem xmlns:ds="http://schemas.openxmlformats.org/officeDocument/2006/customXml" ds:itemID="{A8297B49-69CA-4EF7-BBBA-EC683273E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65f3e-8bda-4d5b-9e5b-042c8e67311d"/>
    <ds:schemaRef ds:uri="e259f55d-0a5d-4090-b7dc-94fbe9ff4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F19C0-FED7-421B-ABA3-AA2A5DB01FF8}">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14CDD9D-01B4-49B0-BC1B-B850A971F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Puinean</dc:creator>
  <cp:keywords/>
  <dc:description/>
  <cp:lastModifiedBy>Stephanie Montesanti</cp:lastModifiedBy>
  <cp:revision>2</cp:revision>
  <dcterms:created xsi:type="dcterms:W3CDTF">2024-04-07T02:58:00Z</dcterms:created>
  <dcterms:modified xsi:type="dcterms:W3CDTF">2024-04-07T02:58:00Z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0x010100876FF71FA3682A4EB3651E49EA7F2E5D</vt:lpwstr>
  </property>
</Properties>
</file>