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F3FD3" w14:textId="77777777" w:rsidR="0009703E" w:rsidRPr="00524130" w:rsidRDefault="0009703E" w:rsidP="00A023D1">
      <w:pPr>
        <w:spacing w:line="480" w:lineRule="auto"/>
        <w:jc w:val="center"/>
        <w:rPr>
          <w:rFonts w:ascii="Times New Roman" w:hAnsi="Times New Roman" w:cs="Times New Roman"/>
          <w:b/>
          <w:bCs/>
        </w:rPr>
      </w:pPr>
      <w:r w:rsidRPr="00524130">
        <w:rPr>
          <w:rFonts w:ascii="Times New Roman" w:hAnsi="Times New Roman" w:cs="Times New Roman"/>
          <w:b/>
          <w:bCs/>
        </w:rPr>
        <w:t>Supplementary Material</w:t>
      </w:r>
    </w:p>
    <w:p w14:paraId="002057C0" w14:textId="77777777" w:rsidR="0009703E" w:rsidRPr="00524130" w:rsidRDefault="0009703E" w:rsidP="00A023D1">
      <w:pPr>
        <w:spacing w:line="480" w:lineRule="auto"/>
        <w:rPr>
          <w:rFonts w:ascii="Times New Roman" w:hAnsi="Times New Roman" w:cs="Times New Roman"/>
          <w:b/>
          <w:bCs/>
        </w:rPr>
      </w:pPr>
    </w:p>
    <w:p w14:paraId="6C7D5AD1" w14:textId="4810CD03" w:rsidR="00524130" w:rsidRPr="00524130" w:rsidRDefault="0009703E">
      <w:pPr>
        <w:pStyle w:val="TOC1"/>
        <w:tabs>
          <w:tab w:val="right" w:leader="dot" w:pos="9010"/>
        </w:tabs>
        <w:rPr>
          <w:rFonts w:cs="Times New Roman"/>
          <w:noProof/>
          <w:lang w:val="en-GB"/>
        </w:rPr>
      </w:pPr>
      <w:r w:rsidRPr="00524130">
        <w:rPr>
          <w:rFonts w:cs="Times New Roman"/>
        </w:rPr>
        <w:fldChar w:fldCharType="begin"/>
      </w:r>
      <w:r w:rsidRPr="00524130">
        <w:rPr>
          <w:rFonts w:cs="Times New Roman"/>
        </w:rPr>
        <w:instrText xml:space="preserve"> TOC \o "1-3" \h \z \u </w:instrText>
      </w:r>
      <w:r w:rsidRPr="00524130">
        <w:rPr>
          <w:rFonts w:cs="Times New Roman"/>
        </w:rPr>
        <w:fldChar w:fldCharType="separate"/>
      </w:r>
      <w:hyperlink w:anchor="_Toc169876830" w:history="1">
        <w:r w:rsidR="00524130" w:rsidRPr="00524130">
          <w:rPr>
            <w:rStyle w:val="Hyperlink"/>
            <w:rFonts w:cs="Times New Roman"/>
            <w:noProof/>
          </w:rPr>
          <w:t>Data Cleaning and Variable Construction</w:t>
        </w:r>
        <w:r w:rsidR="00524130" w:rsidRPr="00524130">
          <w:rPr>
            <w:rFonts w:cs="Times New Roman"/>
            <w:noProof/>
            <w:webHidden/>
          </w:rPr>
          <w:tab/>
        </w:r>
        <w:r w:rsidR="00524130" w:rsidRPr="00524130">
          <w:rPr>
            <w:rFonts w:cs="Times New Roman"/>
            <w:noProof/>
            <w:webHidden/>
          </w:rPr>
          <w:fldChar w:fldCharType="begin"/>
        </w:r>
        <w:r w:rsidR="00524130" w:rsidRPr="00524130">
          <w:rPr>
            <w:rFonts w:cs="Times New Roman"/>
            <w:noProof/>
            <w:webHidden/>
          </w:rPr>
          <w:instrText xml:space="preserve"> PAGEREF _Toc169876830 \h </w:instrText>
        </w:r>
        <w:r w:rsidR="00524130" w:rsidRPr="00524130">
          <w:rPr>
            <w:rFonts w:cs="Times New Roman"/>
            <w:noProof/>
            <w:webHidden/>
          </w:rPr>
        </w:r>
        <w:r w:rsidR="00524130" w:rsidRPr="00524130">
          <w:rPr>
            <w:rFonts w:cs="Times New Roman"/>
            <w:noProof/>
            <w:webHidden/>
          </w:rPr>
          <w:fldChar w:fldCharType="separate"/>
        </w:r>
        <w:r w:rsidR="00524130" w:rsidRPr="00524130">
          <w:rPr>
            <w:rFonts w:cs="Times New Roman"/>
            <w:noProof/>
            <w:webHidden/>
          </w:rPr>
          <w:t>2</w:t>
        </w:r>
        <w:r w:rsidR="00524130" w:rsidRPr="00524130">
          <w:rPr>
            <w:rFonts w:cs="Times New Roman"/>
            <w:noProof/>
            <w:webHidden/>
          </w:rPr>
          <w:fldChar w:fldCharType="end"/>
        </w:r>
      </w:hyperlink>
    </w:p>
    <w:p w14:paraId="2011E602" w14:textId="48A07C2E" w:rsidR="00524130" w:rsidRPr="00524130" w:rsidRDefault="00524130">
      <w:pPr>
        <w:pStyle w:val="TOC1"/>
        <w:tabs>
          <w:tab w:val="right" w:leader="dot" w:pos="9010"/>
        </w:tabs>
        <w:rPr>
          <w:rFonts w:cs="Times New Roman"/>
          <w:noProof/>
          <w:lang w:val="en-GB"/>
        </w:rPr>
      </w:pPr>
      <w:hyperlink w:anchor="_Toc169876831" w:history="1">
        <w:r w:rsidRPr="00524130">
          <w:rPr>
            <w:rStyle w:val="Hyperlink"/>
            <w:rFonts w:cs="Times New Roman"/>
            <w:noProof/>
          </w:rPr>
          <w:t>Technical Details for Statistical Analysis</w:t>
        </w:r>
        <w:r w:rsidRPr="00524130">
          <w:rPr>
            <w:rFonts w:cs="Times New Roman"/>
            <w:noProof/>
            <w:webHidden/>
          </w:rPr>
          <w:tab/>
        </w:r>
        <w:r w:rsidRPr="00524130">
          <w:rPr>
            <w:rFonts w:cs="Times New Roman"/>
            <w:noProof/>
            <w:webHidden/>
          </w:rPr>
          <w:fldChar w:fldCharType="begin"/>
        </w:r>
        <w:r w:rsidRPr="00524130">
          <w:rPr>
            <w:rFonts w:cs="Times New Roman"/>
            <w:noProof/>
            <w:webHidden/>
          </w:rPr>
          <w:instrText xml:space="preserve"> PAGEREF _Toc169876831 \h </w:instrText>
        </w:r>
        <w:r w:rsidRPr="00524130">
          <w:rPr>
            <w:rFonts w:cs="Times New Roman"/>
            <w:noProof/>
            <w:webHidden/>
          </w:rPr>
        </w:r>
        <w:r w:rsidRPr="00524130">
          <w:rPr>
            <w:rFonts w:cs="Times New Roman"/>
            <w:noProof/>
            <w:webHidden/>
          </w:rPr>
          <w:fldChar w:fldCharType="separate"/>
        </w:r>
        <w:r w:rsidRPr="00524130">
          <w:rPr>
            <w:rFonts w:cs="Times New Roman"/>
            <w:noProof/>
            <w:webHidden/>
          </w:rPr>
          <w:t>3</w:t>
        </w:r>
        <w:r w:rsidRPr="00524130">
          <w:rPr>
            <w:rFonts w:cs="Times New Roman"/>
            <w:noProof/>
            <w:webHidden/>
          </w:rPr>
          <w:fldChar w:fldCharType="end"/>
        </w:r>
      </w:hyperlink>
    </w:p>
    <w:p w14:paraId="69B1ABB9" w14:textId="0E1AA8BB" w:rsidR="00524130" w:rsidRPr="00524130" w:rsidRDefault="00524130">
      <w:pPr>
        <w:pStyle w:val="TOC1"/>
        <w:tabs>
          <w:tab w:val="right" w:leader="dot" w:pos="9010"/>
        </w:tabs>
        <w:rPr>
          <w:rFonts w:cs="Times New Roman"/>
          <w:noProof/>
          <w:lang w:val="en-GB"/>
        </w:rPr>
      </w:pPr>
      <w:hyperlink w:anchor="_Toc169876832" w:history="1">
        <w:r w:rsidRPr="00524130">
          <w:rPr>
            <w:rStyle w:val="Hyperlink"/>
            <w:rFonts w:cs="Times New Roman"/>
            <w:noProof/>
          </w:rPr>
          <w:t>UHC Index Construction</w:t>
        </w:r>
        <w:r w:rsidRPr="00524130">
          <w:rPr>
            <w:rFonts w:cs="Times New Roman"/>
            <w:noProof/>
            <w:webHidden/>
          </w:rPr>
          <w:tab/>
        </w:r>
        <w:r w:rsidRPr="00524130">
          <w:rPr>
            <w:rFonts w:cs="Times New Roman"/>
            <w:noProof/>
            <w:webHidden/>
          </w:rPr>
          <w:fldChar w:fldCharType="begin"/>
        </w:r>
        <w:r w:rsidRPr="00524130">
          <w:rPr>
            <w:rFonts w:cs="Times New Roman"/>
            <w:noProof/>
            <w:webHidden/>
          </w:rPr>
          <w:instrText xml:space="preserve"> PAGEREF _Toc169876832 \h </w:instrText>
        </w:r>
        <w:r w:rsidRPr="00524130">
          <w:rPr>
            <w:rFonts w:cs="Times New Roman"/>
            <w:noProof/>
            <w:webHidden/>
          </w:rPr>
        </w:r>
        <w:r w:rsidRPr="00524130">
          <w:rPr>
            <w:rFonts w:cs="Times New Roman"/>
            <w:noProof/>
            <w:webHidden/>
          </w:rPr>
          <w:fldChar w:fldCharType="separate"/>
        </w:r>
        <w:r w:rsidRPr="00524130">
          <w:rPr>
            <w:rFonts w:cs="Times New Roman"/>
            <w:noProof/>
            <w:webHidden/>
          </w:rPr>
          <w:t>3</w:t>
        </w:r>
        <w:r w:rsidRPr="00524130">
          <w:rPr>
            <w:rFonts w:cs="Times New Roman"/>
            <w:noProof/>
            <w:webHidden/>
          </w:rPr>
          <w:fldChar w:fldCharType="end"/>
        </w:r>
      </w:hyperlink>
    </w:p>
    <w:p w14:paraId="6015BF9B" w14:textId="29C0EAFA" w:rsidR="00524130" w:rsidRPr="00524130" w:rsidRDefault="00524130">
      <w:pPr>
        <w:pStyle w:val="TOC1"/>
        <w:tabs>
          <w:tab w:val="right" w:leader="dot" w:pos="9010"/>
        </w:tabs>
        <w:rPr>
          <w:rFonts w:cs="Times New Roman"/>
          <w:noProof/>
          <w:lang w:val="en-GB"/>
        </w:rPr>
      </w:pPr>
      <w:hyperlink w:anchor="_Toc169876833" w:history="1">
        <w:r w:rsidRPr="00524130">
          <w:rPr>
            <w:rStyle w:val="Hyperlink"/>
            <w:rFonts w:cs="Times New Roman"/>
            <w:noProof/>
          </w:rPr>
          <w:t>Concentration Index and its Decomposition</w:t>
        </w:r>
        <w:r w:rsidRPr="00524130">
          <w:rPr>
            <w:rFonts w:cs="Times New Roman"/>
            <w:noProof/>
            <w:webHidden/>
          </w:rPr>
          <w:tab/>
        </w:r>
        <w:r w:rsidRPr="00524130">
          <w:rPr>
            <w:rFonts w:cs="Times New Roman"/>
            <w:noProof/>
            <w:webHidden/>
          </w:rPr>
          <w:fldChar w:fldCharType="begin"/>
        </w:r>
        <w:r w:rsidRPr="00524130">
          <w:rPr>
            <w:rFonts w:cs="Times New Roman"/>
            <w:noProof/>
            <w:webHidden/>
          </w:rPr>
          <w:instrText xml:space="preserve"> PAGEREF _Toc169876833 \h </w:instrText>
        </w:r>
        <w:r w:rsidRPr="00524130">
          <w:rPr>
            <w:rFonts w:cs="Times New Roman"/>
            <w:noProof/>
            <w:webHidden/>
          </w:rPr>
        </w:r>
        <w:r w:rsidRPr="00524130">
          <w:rPr>
            <w:rFonts w:cs="Times New Roman"/>
            <w:noProof/>
            <w:webHidden/>
          </w:rPr>
          <w:fldChar w:fldCharType="separate"/>
        </w:r>
        <w:r w:rsidRPr="00524130">
          <w:rPr>
            <w:rFonts w:cs="Times New Roman"/>
            <w:noProof/>
            <w:webHidden/>
          </w:rPr>
          <w:t>4</w:t>
        </w:r>
        <w:r w:rsidRPr="00524130">
          <w:rPr>
            <w:rFonts w:cs="Times New Roman"/>
            <w:noProof/>
            <w:webHidden/>
          </w:rPr>
          <w:fldChar w:fldCharType="end"/>
        </w:r>
      </w:hyperlink>
    </w:p>
    <w:p w14:paraId="3D6490A0" w14:textId="50DC47C9" w:rsidR="00524130" w:rsidRPr="00524130" w:rsidRDefault="00524130">
      <w:pPr>
        <w:pStyle w:val="TOC1"/>
        <w:tabs>
          <w:tab w:val="right" w:leader="dot" w:pos="9010"/>
        </w:tabs>
        <w:rPr>
          <w:rFonts w:cs="Times New Roman"/>
          <w:noProof/>
          <w:lang w:val="en-GB"/>
        </w:rPr>
      </w:pPr>
      <w:hyperlink w:anchor="_Toc169876834" w:history="1">
        <w:r w:rsidRPr="00524130">
          <w:rPr>
            <w:rStyle w:val="Hyperlink"/>
            <w:rFonts w:cs="Times New Roman"/>
            <w:noProof/>
          </w:rPr>
          <w:t>Logistic Regression and Sartori’s Two-Step Model</w:t>
        </w:r>
        <w:r w:rsidRPr="00524130">
          <w:rPr>
            <w:rFonts w:cs="Times New Roman"/>
            <w:noProof/>
            <w:webHidden/>
          </w:rPr>
          <w:tab/>
        </w:r>
        <w:r w:rsidRPr="00524130">
          <w:rPr>
            <w:rFonts w:cs="Times New Roman"/>
            <w:noProof/>
            <w:webHidden/>
          </w:rPr>
          <w:fldChar w:fldCharType="begin"/>
        </w:r>
        <w:r w:rsidRPr="00524130">
          <w:rPr>
            <w:rFonts w:cs="Times New Roman"/>
            <w:noProof/>
            <w:webHidden/>
          </w:rPr>
          <w:instrText xml:space="preserve"> PAGEREF _Toc169876834 \h </w:instrText>
        </w:r>
        <w:r w:rsidRPr="00524130">
          <w:rPr>
            <w:rFonts w:cs="Times New Roman"/>
            <w:noProof/>
            <w:webHidden/>
          </w:rPr>
        </w:r>
        <w:r w:rsidRPr="00524130">
          <w:rPr>
            <w:rFonts w:cs="Times New Roman"/>
            <w:noProof/>
            <w:webHidden/>
          </w:rPr>
          <w:fldChar w:fldCharType="separate"/>
        </w:r>
        <w:r w:rsidRPr="00524130">
          <w:rPr>
            <w:rFonts w:cs="Times New Roman"/>
            <w:noProof/>
            <w:webHidden/>
          </w:rPr>
          <w:t>5</w:t>
        </w:r>
        <w:r w:rsidRPr="00524130">
          <w:rPr>
            <w:rFonts w:cs="Times New Roman"/>
            <w:noProof/>
            <w:webHidden/>
          </w:rPr>
          <w:fldChar w:fldCharType="end"/>
        </w:r>
      </w:hyperlink>
    </w:p>
    <w:p w14:paraId="560D1281" w14:textId="7F690FBB" w:rsidR="00524130" w:rsidRPr="00524130" w:rsidRDefault="00524130">
      <w:pPr>
        <w:pStyle w:val="TOC1"/>
        <w:tabs>
          <w:tab w:val="right" w:leader="dot" w:pos="9010"/>
        </w:tabs>
        <w:rPr>
          <w:rFonts w:cs="Times New Roman"/>
          <w:noProof/>
          <w:lang w:val="en-GB"/>
        </w:rPr>
      </w:pPr>
      <w:hyperlink w:anchor="_Toc169876835" w:history="1">
        <w:r w:rsidRPr="00524130">
          <w:rPr>
            <w:rStyle w:val="Hyperlink"/>
            <w:rFonts w:cs="Times New Roman"/>
            <w:noProof/>
          </w:rPr>
          <w:t>Reference</w:t>
        </w:r>
        <w:r w:rsidRPr="00524130">
          <w:rPr>
            <w:rFonts w:cs="Times New Roman"/>
            <w:noProof/>
            <w:webHidden/>
          </w:rPr>
          <w:tab/>
        </w:r>
        <w:r w:rsidRPr="00524130">
          <w:rPr>
            <w:rFonts w:cs="Times New Roman"/>
            <w:noProof/>
            <w:webHidden/>
          </w:rPr>
          <w:fldChar w:fldCharType="begin"/>
        </w:r>
        <w:r w:rsidRPr="00524130">
          <w:rPr>
            <w:rFonts w:cs="Times New Roman"/>
            <w:noProof/>
            <w:webHidden/>
          </w:rPr>
          <w:instrText xml:space="preserve"> PAGEREF _Toc169876835 \h </w:instrText>
        </w:r>
        <w:r w:rsidRPr="00524130">
          <w:rPr>
            <w:rFonts w:cs="Times New Roman"/>
            <w:noProof/>
            <w:webHidden/>
          </w:rPr>
        </w:r>
        <w:r w:rsidRPr="00524130">
          <w:rPr>
            <w:rFonts w:cs="Times New Roman"/>
            <w:noProof/>
            <w:webHidden/>
          </w:rPr>
          <w:fldChar w:fldCharType="separate"/>
        </w:r>
        <w:r w:rsidRPr="00524130">
          <w:rPr>
            <w:rFonts w:cs="Times New Roman"/>
            <w:noProof/>
            <w:webHidden/>
          </w:rPr>
          <w:t>6</w:t>
        </w:r>
        <w:r w:rsidRPr="00524130">
          <w:rPr>
            <w:rFonts w:cs="Times New Roman"/>
            <w:noProof/>
            <w:webHidden/>
          </w:rPr>
          <w:fldChar w:fldCharType="end"/>
        </w:r>
      </w:hyperlink>
    </w:p>
    <w:p w14:paraId="5A77254F" w14:textId="4E8BCA89" w:rsidR="0009703E" w:rsidRPr="00524130" w:rsidRDefault="0009703E" w:rsidP="00495545">
      <w:pPr>
        <w:pStyle w:val="heading10"/>
        <w:sectPr w:rsidR="0009703E" w:rsidRPr="00524130" w:rsidSect="0009703E">
          <w:footerReference w:type="even" r:id="rId8"/>
          <w:footerReference w:type="default" r:id="rId9"/>
          <w:pgSz w:w="11900" w:h="16840"/>
          <w:pgMar w:top="1440" w:right="1440" w:bottom="1440" w:left="1440" w:header="708" w:footer="708" w:gutter="0"/>
          <w:cols w:space="708"/>
          <w:docGrid w:linePitch="360"/>
        </w:sectPr>
      </w:pPr>
      <w:r w:rsidRPr="00524130">
        <w:fldChar w:fldCharType="end"/>
      </w:r>
    </w:p>
    <w:p w14:paraId="0202E504" w14:textId="77777777" w:rsidR="0009703E" w:rsidRPr="00524130" w:rsidRDefault="0009703E" w:rsidP="00495545">
      <w:pPr>
        <w:pStyle w:val="heading10"/>
      </w:pPr>
      <w:bookmarkStart w:id="0" w:name="_Toc169876830"/>
      <w:r w:rsidRPr="00524130">
        <w:lastRenderedPageBreak/>
        <w:t>Data Cleaning and Variable Construction</w:t>
      </w:r>
      <w:bookmarkEnd w:id="0"/>
    </w:p>
    <w:p w14:paraId="44187B9B" w14:textId="77777777" w:rsidR="0009703E" w:rsidRPr="00524130" w:rsidRDefault="0009703E" w:rsidP="00060483">
      <w:pPr>
        <w:spacing w:line="480" w:lineRule="auto"/>
        <w:ind w:firstLine="720"/>
        <w:rPr>
          <w:rFonts w:ascii="Times New Roman" w:hAnsi="Times New Roman" w:cs="Times New Roman"/>
          <w:b/>
          <w:bCs/>
        </w:rPr>
      </w:pPr>
      <w:r w:rsidRPr="00524130">
        <w:rPr>
          <w:rFonts w:ascii="Times New Roman" w:hAnsi="Times New Roman" w:cs="Times New Roman"/>
        </w:rPr>
        <w:t xml:space="preserve">Household Integrated Economic Survey (HEIS) is matched to the nearest year of Demographic and Health Surveys (DHS) to construct the analytic sample for 2007, 2013, and 2018. Among the UHC index component indicators, antenatal care coverage, full immunization for children, medical assistance at delivery, diarrhea treatment, and acute respiratory infection treatment are from DHS. Inpatient admissions and catastrophic health expenditure are from HEIS. All indicators are expressed in percentage of application population using the medical service or incurring CHE. CHE is defined as total health expenditure taking up 10% or more of </w:t>
      </w:r>
      <w:bookmarkStart w:id="1" w:name="_Hlk146031825"/>
      <w:r w:rsidRPr="00524130">
        <w:rPr>
          <w:rFonts w:ascii="Times New Roman" w:hAnsi="Times New Roman" w:cs="Times New Roman"/>
        </w:rPr>
        <w:t xml:space="preserve">aggregated </w:t>
      </w:r>
      <w:bookmarkEnd w:id="1"/>
      <w:r w:rsidRPr="00524130">
        <w:rPr>
          <w:rFonts w:ascii="Times New Roman" w:hAnsi="Times New Roman" w:cs="Times New Roman"/>
        </w:rPr>
        <w:t xml:space="preserve">household consumption by monetary value. Aggregated household consumption is calculated by Pakistan Bureau of Statistics and available in the data. We compile total health expenditure by adding up all items of medical spending in the data and harmonize between different rounds of HEIS survey, as the included items and their definitions can change over time. For example, the 2007 HEIS questionnaire has a medical spending item for “purchase of medicines &amp; vitamins, medical apparatus, and other equipment / supplies etc.” This item is broken down into multiple separate items in 2018 questionnaires: “Medicines/ Tablets/ Syrups etc.” and “Neck Braces/ Cotton Bandage/ Thermometer/ Blood Pressure Machine/ Other Medicine/Apparatus/ </w:t>
      </w:r>
      <w:proofErr w:type="gramStart"/>
      <w:r w:rsidRPr="00524130">
        <w:rPr>
          <w:rFonts w:ascii="Times New Roman" w:hAnsi="Times New Roman" w:cs="Times New Roman"/>
        </w:rPr>
        <w:t>Eye Glasses</w:t>
      </w:r>
      <w:proofErr w:type="gramEnd"/>
      <w:r w:rsidRPr="00524130">
        <w:rPr>
          <w:rFonts w:ascii="Times New Roman" w:hAnsi="Times New Roman" w:cs="Times New Roman"/>
        </w:rPr>
        <w:t xml:space="preserve">.” These differences are not a problem for our analysis because we aggregate them into total health expenditure. </w:t>
      </w:r>
    </w:p>
    <w:p w14:paraId="7A4AC924" w14:textId="77777777" w:rsidR="0009703E" w:rsidRPr="00524130" w:rsidRDefault="0009703E" w:rsidP="00A7754F">
      <w:pPr>
        <w:spacing w:line="480" w:lineRule="auto"/>
        <w:ind w:firstLine="720"/>
        <w:rPr>
          <w:rFonts w:ascii="Times New Roman" w:hAnsi="Times New Roman" w:cs="Times New Roman"/>
        </w:rPr>
      </w:pPr>
      <w:r w:rsidRPr="00524130">
        <w:rPr>
          <w:rFonts w:ascii="Times New Roman" w:hAnsi="Times New Roman" w:cs="Times New Roman"/>
        </w:rPr>
        <w:t xml:space="preserve">For our CI decomposition analysis, we use DHS data, and all independent variables are readily available in the data except province variable. Province variable is harmonized between DHS and HEIS that Islamabad is included in Punjab province. We use HEIS data for Logistic regression and Sartori’s two-step model. The dependent variable is incurring CHE, and the CHE variable construction is the same as above. The independent variable is household wealth index which we construct from a series of household assets ownership </w:t>
      </w:r>
      <w:r w:rsidRPr="00524130">
        <w:rPr>
          <w:rFonts w:ascii="Times New Roman" w:hAnsi="Times New Roman" w:cs="Times New Roman"/>
        </w:rPr>
        <w:lastRenderedPageBreak/>
        <w:t xml:space="preserve">variables (such as livestock, TV, and fridge), housing characteristics variables (such as water supply and sewage management), and household finance variables (such as having a bank account and owning gold). We further convert the wealth index into quintiles 1-5, with 5 being the poorest. All regression covariates are readily available in the data except household head’s age and education attainment, </w:t>
      </w:r>
      <w:bookmarkStart w:id="2" w:name="_Hlk144609182"/>
      <w:r w:rsidRPr="00524130">
        <w:rPr>
          <w:rFonts w:ascii="Times New Roman" w:hAnsi="Times New Roman" w:cs="Times New Roman"/>
        </w:rPr>
        <w:t>share of household members</w:t>
      </w:r>
      <w:bookmarkEnd w:id="2"/>
      <w:r w:rsidRPr="00524130">
        <w:rPr>
          <w:rFonts w:ascii="Times New Roman" w:hAnsi="Times New Roman" w:cs="Times New Roman"/>
        </w:rPr>
        <w:t xml:space="preserve"> under 5, and share of household members above 65. Age is converted into under 30, 30-39, 40-49, 50-59, 60-69, 70-79, 80 and above age groups. The 80 and above age group is used as reference group. Education attainment is classified into (</w:t>
      </w:r>
      <w:proofErr w:type="spellStart"/>
      <w:r w:rsidRPr="00524130">
        <w:rPr>
          <w:rFonts w:ascii="Times New Roman" w:hAnsi="Times New Roman" w:cs="Times New Roman"/>
        </w:rPr>
        <w:t>i</w:t>
      </w:r>
      <w:proofErr w:type="spellEnd"/>
      <w:r w:rsidRPr="00524130">
        <w:rPr>
          <w:rFonts w:ascii="Times New Roman" w:hAnsi="Times New Roman" w:cs="Times New Roman"/>
        </w:rPr>
        <w:t xml:space="preserve">) </w:t>
      </w:r>
      <w:bookmarkStart w:id="3" w:name="_Hlk146032203"/>
      <w:r w:rsidRPr="00524130">
        <w:rPr>
          <w:rFonts w:ascii="Times New Roman" w:hAnsi="Times New Roman" w:cs="Times New Roman"/>
        </w:rPr>
        <w:t>incomplete primary education or no schooling</w:t>
      </w:r>
      <w:bookmarkEnd w:id="3"/>
      <w:r w:rsidRPr="00524130">
        <w:rPr>
          <w:rFonts w:ascii="Times New Roman" w:hAnsi="Times New Roman" w:cs="Times New Roman"/>
        </w:rPr>
        <w:t>, (ii) completed primary education, (iii) incomplete secondary education, (iv) completed secondary education, (v) all levels above secondary education, completed or not, (vi) other, including missing values. Group (</w:t>
      </w:r>
      <w:proofErr w:type="spellStart"/>
      <w:r w:rsidRPr="00524130">
        <w:rPr>
          <w:rFonts w:ascii="Times New Roman" w:hAnsi="Times New Roman" w:cs="Times New Roman"/>
        </w:rPr>
        <w:t>i</w:t>
      </w:r>
      <w:proofErr w:type="spellEnd"/>
      <w:r w:rsidRPr="00524130">
        <w:rPr>
          <w:rFonts w:ascii="Times New Roman" w:hAnsi="Times New Roman" w:cs="Times New Roman"/>
        </w:rPr>
        <w:t xml:space="preserve">) incomplete primary education or no schooling is used as reference group. Shares of household members under 5 and above 65 capture the health care need from medically vulnerable household members. Age 5 and 65 are included during calculation. </w:t>
      </w:r>
    </w:p>
    <w:p w14:paraId="22136723" w14:textId="77777777" w:rsidR="0009703E" w:rsidRPr="00524130" w:rsidRDefault="0009703E" w:rsidP="00020EA0">
      <w:pPr>
        <w:spacing w:line="480" w:lineRule="auto"/>
        <w:rPr>
          <w:rFonts w:ascii="Times New Roman" w:hAnsi="Times New Roman" w:cs="Times New Roman"/>
        </w:rPr>
      </w:pPr>
    </w:p>
    <w:p w14:paraId="5D686355" w14:textId="77777777" w:rsidR="0009703E" w:rsidRPr="00524130" w:rsidRDefault="0009703E" w:rsidP="00495545">
      <w:pPr>
        <w:pStyle w:val="heading10"/>
      </w:pPr>
      <w:bookmarkStart w:id="4" w:name="_Toc169876831"/>
      <w:r w:rsidRPr="00524130">
        <w:t>Technical Details for Statistical Analysis</w:t>
      </w:r>
      <w:bookmarkEnd w:id="4"/>
    </w:p>
    <w:p w14:paraId="5CBF976A" w14:textId="77777777" w:rsidR="00511120" w:rsidRPr="00524130" w:rsidRDefault="00511120" w:rsidP="00511120">
      <w:pPr>
        <w:pStyle w:val="heading10"/>
      </w:pPr>
      <w:bookmarkStart w:id="5" w:name="_Toc169876832"/>
      <w:r w:rsidRPr="00524130">
        <w:t>UHC Index Construction</w:t>
      </w:r>
      <w:bookmarkEnd w:id="5"/>
    </w:p>
    <w:p w14:paraId="3D20A210" w14:textId="147C0DA4" w:rsidR="00511120" w:rsidRPr="00524130" w:rsidRDefault="00511120" w:rsidP="00511120">
      <w:pPr>
        <w:spacing w:line="480" w:lineRule="auto"/>
        <w:ind w:firstLine="720"/>
        <w:rPr>
          <w:rFonts w:ascii="Times New Roman" w:hAnsi="Times New Roman" w:cs="Times New Roman"/>
        </w:rPr>
      </w:pPr>
      <w:r w:rsidRPr="00524130">
        <w:rPr>
          <w:rFonts w:ascii="Times New Roman" w:hAnsi="Times New Roman" w:cs="Times New Roman"/>
        </w:rPr>
        <w:t xml:space="preserve">UHC index formula uses geometric average and follows the form of a Cobb-Douglas function to allow tradeoff between different indicators at a diminishing rate </w:t>
      </w:r>
      <w:sdt>
        <w:sdtPr>
          <w:rPr>
            <w:rFonts w:ascii="Times New Roman" w:hAnsi="Times New Roman" w:cs="Times New Roman"/>
            <w:color w:val="000000"/>
          </w:rPr>
          <w:tag w:val="MENDELEY_CITATION_v3_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"/>
          <w:id w:val="145323662"/>
          <w:placeholder>
            <w:docPart w:val="3554C76169E5B34DAB2353C471148B22"/>
          </w:placeholder>
        </w:sdtPr>
        <w:sdtContent>
          <w:r w:rsidRPr="00524130">
            <w:rPr>
              <w:rFonts w:ascii="Times New Roman" w:hAnsi="Times New Roman" w:cs="Times New Roman"/>
              <w:color w:val="000000"/>
            </w:rPr>
            <w:t>[1]</w:t>
          </w:r>
        </w:sdtContent>
      </w:sdt>
      <w:r w:rsidRPr="00524130">
        <w:rPr>
          <w:rFonts w:ascii="Times New Roman" w:hAnsi="Times New Roman" w:cs="Times New Roman"/>
          <w:color w:val="000000"/>
        </w:rPr>
        <w:t>,</w:t>
      </w:r>
      <w:r w:rsidRPr="00524130">
        <w:rPr>
          <w:rFonts w:ascii="Times New Roman" w:hAnsi="Times New Roman" w:cs="Times New Roman"/>
        </w:rPr>
        <w:t xml:space="preserve"> as policymakers can prioritize certain medical service over others, or prioritize service coverage over financial protection, vice versa. The functional form is the following:</w:t>
      </w:r>
    </w:p>
    <w:p w14:paraId="27F61083" w14:textId="77777777" w:rsidR="00511120" w:rsidRPr="00524130" w:rsidRDefault="00511120" w:rsidP="00511120">
      <w:pPr>
        <w:spacing w:line="480" w:lineRule="auto"/>
        <w:rPr>
          <w:rFonts w:ascii="Times New Roman" w:hAnsi="Times New Roman" w:cs="Times New Roman"/>
        </w:rPr>
      </w:pPr>
      <w:bookmarkStart w:id="6" w:name="_Hlk145948852"/>
      <m:oMathPara>
        <m:oMath>
          <m:r>
            <w:rPr>
              <w:rFonts w:ascii="Cambria Math" w:hAnsi="Cambria Math" w:cs="Times New Roman"/>
            </w:rPr>
            <m:t>UHC≡</m:t>
          </m:r>
          <w:bookmarkEnd w:id="6"/>
          <m:sSup>
            <m:sSupPr>
              <m:ctrlPr>
                <w:rPr>
                  <w:rFonts w:ascii="Cambria Math" w:hAnsi="Cambria Math" w:cs="Times New Roman"/>
                  <w:i/>
                </w:rPr>
              </m:ctrlPr>
            </m:sSupPr>
            <m:e>
              <m:r>
                <w:rPr>
                  <w:rFonts w:ascii="Cambria Math" w:hAnsi="Cambria Math" w:cs="Times New Roman"/>
                </w:rPr>
                <m:t>Service Coverage</m:t>
              </m:r>
            </m:e>
            <m:sup>
              <m:r>
                <w:rPr>
                  <w:rFonts w:ascii="Cambria Math" w:hAnsi="Cambria Math" w:cs="Times New Roman"/>
                </w:rPr>
                <m:t>0.5</m:t>
              </m:r>
            </m:sup>
          </m:sSup>
          <m:sSup>
            <m:sSupPr>
              <m:ctrlPr>
                <w:rPr>
                  <w:rFonts w:ascii="Cambria Math" w:hAnsi="Cambria Math" w:cs="Times New Roman"/>
                  <w:i/>
                </w:rPr>
              </m:ctrlPr>
            </m:sSupPr>
            <m:e>
              <m:r>
                <w:rPr>
                  <w:rFonts w:ascii="Cambria Math" w:hAnsi="Cambria Math" w:cs="Times New Roman"/>
                </w:rPr>
                <m:t>Financial Protection</m:t>
              </m:r>
            </m:e>
            <m:sup>
              <m:r>
                <w:rPr>
                  <w:rFonts w:ascii="Cambria Math" w:hAnsi="Cambria Math" w:cs="Times New Roman"/>
                </w:rPr>
                <m:t>0.5</m:t>
              </m:r>
            </m:sup>
          </m:sSup>
        </m:oMath>
      </m:oMathPara>
    </w:p>
    <w:p w14:paraId="25E43D1F" w14:textId="77777777" w:rsidR="00511120" w:rsidRPr="00524130" w:rsidRDefault="00511120" w:rsidP="00511120">
      <w:pPr>
        <w:spacing w:line="480" w:lineRule="auto"/>
        <w:ind w:firstLine="720"/>
        <w:rPr>
          <w:rFonts w:ascii="Times New Roman" w:hAnsi="Times New Roman" w:cs="Times New Roman"/>
        </w:rPr>
      </w:pPr>
      <w:r w:rsidRPr="00524130">
        <w:rPr>
          <w:rFonts w:ascii="Times New Roman" w:hAnsi="Times New Roman" w:cs="Times New Roman"/>
        </w:rPr>
        <w:t xml:space="preserve">Financial protection is exhibited as 100 minus the percentage of individuals incurring catastrophic health expenditure (CHE), as explained in the paper. Therefore, lower percentage of individuals incurring CHE would translate into better financial protection, which in turn increases UHC index. </w:t>
      </w:r>
    </w:p>
    <w:p w14:paraId="40098556" w14:textId="6C598794" w:rsidR="00511120" w:rsidRPr="00524130" w:rsidRDefault="00511120" w:rsidP="00511120">
      <w:pPr>
        <w:spacing w:line="480" w:lineRule="auto"/>
        <w:ind w:firstLine="720"/>
        <w:rPr>
          <w:rFonts w:ascii="Times New Roman" w:hAnsi="Times New Roman" w:cs="Times New Roman"/>
        </w:rPr>
      </w:pPr>
      <w:r w:rsidRPr="00524130">
        <w:rPr>
          <w:rFonts w:ascii="Times New Roman" w:hAnsi="Times New Roman" w:cs="Times New Roman"/>
        </w:rPr>
        <w:lastRenderedPageBreak/>
        <w:t xml:space="preserve">We follow Wagstaff &amp; Neelsen (2020) to select the indicators for UHC index construction. The selected indicators are corroborated by the existing literature and another similar UHC index constructed by the World Health Organization </w:t>
      </w:r>
      <w:sdt>
        <w:sdtPr>
          <w:rPr>
            <w:rFonts w:ascii="Times New Roman" w:hAnsi="Times New Roman" w:cs="Times New Roman"/>
            <w:color w:val="000000"/>
          </w:rPr>
          <w:tag w:val="MENDELEY_CITATION_v3_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"/>
          <w:id w:val="317548410"/>
          <w:placeholder>
            <w:docPart w:val="3554C76169E5B34DAB2353C471148B22"/>
          </w:placeholder>
        </w:sdtPr>
        <w:sdtContent>
          <w:r w:rsidRPr="00524130">
            <w:rPr>
              <w:rFonts w:ascii="Times New Roman" w:hAnsi="Times New Roman" w:cs="Times New Roman"/>
              <w:color w:val="000000"/>
            </w:rPr>
            <w:t>[2,3]</w:t>
          </w:r>
        </w:sdtContent>
      </w:sdt>
      <w:r w:rsidRPr="00524130">
        <w:rPr>
          <w:rFonts w:ascii="Times New Roman" w:hAnsi="Times New Roman" w:cs="Times New Roman"/>
          <w:color w:val="000000"/>
        </w:rPr>
        <w:t>.</w:t>
      </w:r>
      <w:r w:rsidRPr="00524130">
        <w:rPr>
          <w:rFonts w:ascii="Times New Roman" w:hAnsi="Times New Roman" w:cs="Times New Roman"/>
        </w:rPr>
        <w:t xml:space="preserve"> The main constraint for indicator selection is data availability. For example, breast and cervical cancer screening indicators are not available in the data. Furthermore, inpatient admissions data are only available in the latest round of survey. Therefore, we construct a complete version of UHC index with inpatient admissions for 2018 to provide the latest reading of UHC index, while constructing a revised version of UHC index without inpatient admissions for all three years to reveal the trend in UHC index. </w:t>
      </w:r>
    </w:p>
    <w:p w14:paraId="12337FEE" w14:textId="77777777" w:rsidR="00511120" w:rsidRPr="00524130" w:rsidRDefault="00511120" w:rsidP="00495545">
      <w:pPr>
        <w:pStyle w:val="Heading1"/>
        <w:rPr>
          <w:rFonts w:cs="Times New Roman"/>
        </w:rPr>
      </w:pPr>
    </w:p>
    <w:p w14:paraId="08B7A7DF" w14:textId="2EB5DEDD" w:rsidR="0009703E" w:rsidRPr="00524130" w:rsidRDefault="0009703E" w:rsidP="00495545">
      <w:pPr>
        <w:pStyle w:val="Heading1"/>
        <w:rPr>
          <w:rFonts w:cs="Times New Roman"/>
        </w:rPr>
      </w:pPr>
      <w:bookmarkStart w:id="7" w:name="_Toc169876833"/>
      <w:r w:rsidRPr="00524130">
        <w:rPr>
          <w:rFonts w:cs="Times New Roman"/>
        </w:rPr>
        <w:t>Concentration Index and its Decomposition</w:t>
      </w:r>
      <w:bookmarkEnd w:id="7"/>
    </w:p>
    <w:p w14:paraId="08AFD062" w14:textId="7568DE8F" w:rsidR="0009703E" w:rsidRPr="00524130" w:rsidRDefault="0009703E" w:rsidP="00377C37">
      <w:pPr>
        <w:spacing w:line="480" w:lineRule="auto"/>
        <w:ind w:firstLine="720"/>
        <w:rPr>
          <w:rFonts w:ascii="Times New Roman" w:hAnsi="Times New Roman" w:cs="Times New Roman"/>
        </w:rPr>
      </w:pPr>
      <w:r w:rsidRPr="00524130">
        <w:rPr>
          <w:rFonts w:ascii="Times New Roman" w:hAnsi="Times New Roman" w:cs="Times New Roman"/>
        </w:rPr>
        <w:t xml:space="preserve">Concentration Index (CI) is commonly used to measure the degree of socioeconomic inequality. Methodologically, CI is derived from concentration curve and the absolute value of CI equals to twice the area between concentration curve and a 45-degree line. Therefore, CI can range from -1 to 1. A positive CI suggests </w:t>
      </w:r>
      <w:bookmarkStart w:id="8" w:name="_Hlk145554811"/>
      <w:r w:rsidRPr="00524130">
        <w:rPr>
          <w:rFonts w:ascii="Times New Roman" w:hAnsi="Times New Roman" w:cs="Times New Roman"/>
        </w:rPr>
        <w:t>pro-rich inequality</w:t>
      </w:r>
      <w:bookmarkEnd w:id="8"/>
      <w:r w:rsidRPr="00524130">
        <w:rPr>
          <w:rFonts w:ascii="Times New Roman" w:hAnsi="Times New Roman" w:cs="Times New Roman"/>
        </w:rPr>
        <w:t xml:space="preserve"> while a negative CI indicates pro-poor inequality. A larger absolute value of CI means higher degree of inequality. We use the “</w:t>
      </w:r>
      <w:proofErr w:type="spellStart"/>
      <w:r w:rsidRPr="00524130">
        <w:rPr>
          <w:rFonts w:ascii="Times New Roman" w:hAnsi="Times New Roman" w:cs="Times New Roman"/>
        </w:rPr>
        <w:t>conindex</w:t>
      </w:r>
      <w:proofErr w:type="spellEnd"/>
      <w:r w:rsidRPr="00524130">
        <w:rPr>
          <w:rFonts w:ascii="Times New Roman" w:hAnsi="Times New Roman" w:cs="Times New Roman"/>
        </w:rPr>
        <w:t xml:space="preserve">” command in Stata to calculate CI for each medical service coverage indicator. CI and its confidence interval are automatically calculated by the Stata command, and we plot them in Figure 2. CI decomposition shows the inequality contribution of a series of predictors, including province, urban or rural location, mother’s age, mother’s education, wealth index in quintile, and health insurance coverage if available in data. Each indicator’s contribution to CI is standardized to the percentage format. We follow the detailed Stata code from the World Bank to calculate and standardize contribution to CI </w:t>
      </w:r>
      <w:sdt>
        <w:sdtPr>
          <w:rPr>
            <w:rFonts w:ascii="Times New Roman" w:hAnsi="Times New Roman" w:cs="Times New Roman"/>
            <w:color w:val="000000"/>
          </w:rPr>
          <w:tag w:val="MENDELEY_CITATION_v3_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"/>
          <w:id w:val="1069458422"/>
          <w:placeholder>
            <w:docPart w:val="DefaultPlaceholder_-1854013440"/>
          </w:placeholder>
        </w:sdtPr>
        <w:sdtContent>
          <w:r w:rsidR="00511120" w:rsidRPr="00524130">
            <w:rPr>
              <w:rFonts w:ascii="Times New Roman" w:hAnsi="Times New Roman" w:cs="Times New Roman"/>
              <w:color w:val="000000"/>
            </w:rPr>
            <w:t>[4]</w:t>
          </w:r>
        </w:sdtContent>
      </w:sdt>
      <w:r w:rsidRPr="00524130">
        <w:rPr>
          <w:rFonts w:ascii="Times New Roman" w:hAnsi="Times New Roman" w:cs="Times New Roman"/>
          <w:color w:val="000000"/>
        </w:rPr>
        <w:t>.</w:t>
      </w:r>
      <w:r w:rsidRPr="00524130">
        <w:rPr>
          <w:rFonts w:ascii="Times New Roman" w:hAnsi="Times New Roman" w:cs="Times New Roman"/>
        </w:rPr>
        <w:t xml:space="preserve"> Both CI calculation and CI decomposition account for sample weight.</w:t>
      </w:r>
    </w:p>
    <w:p w14:paraId="5BDA062F" w14:textId="77777777" w:rsidR="0009703E" w:rsidRPr="00524130" w:rsidRDefault="0009703E" w:rsidP="00A023D1">
      <w:pPr>
        <w:spacing w:line="480" w:lineRule="auto"/>
        <w:rPr>
          <w:rFonts w:ascii="Times New Roman" w:hAnsi="Times New Roman" w:cs="Times New Roman"/>
        </w:rPr>
      </w:pPr>
    </w:p>
    <w:p w14:paraId="562C16F5" w14:textId="77777777" w:rsidR="0009703E" w:rsidRPr="00524130" w:rsidRDefault="0009703E" w:rsidP="00495545">
      <w:pPr>
        <w:pStyle w:val="Heading1"/>
        <w:rPr>
          <w:rFonts w:cs="Times New Roman"/>
        </w:rPr>
      </w:pPr>
      <w:bookmarkStart w:id="9" w:name="_Toc169876834"/>
      <w:r w:rsidRPr="00524130">
        <w:rPr>
          <w:rFonts w:cs="Times New Roman"/>
        </w:rPr>
        <w:lastRenderedPageBreak/>
        <w:t>Logistic Regression and Sartori’s Two-Step Model</w:t>
      </w:r>
      <w:bookmarkEnd w:id="9"/>
    </w:p>
    <w:p w14:paraId="7479A5B1" w14:textId="5D3AC3D3" w:rsidR="0009703E" w:rsidRPr="00524130" w:rsidRDefault="0009703E" w:rsidP="002E68D3">
      <w:pPr>
        <w:spacing w:line="480" w:lineRule="auto"/>
        <w:rPr>
          <w:rFonts w:ascii="Times New Roman" w:hAnsi="Times New Roman" w:cs="Times New Roman"/>
        </w:rPr>
      </w:pPr>
      <w:r w:rsidRPr="00524130">
        <w:rPr>
          <w:rFonts w:ascii="Times New Roman" w:hAnsi="Times New Roman" w:cs="Times New Roman"/>
        </w:rPr>
        <w:tab/>
        <w:t xml:space="preserve">We run a Logistic regression using “logistic” command in Stata with the </w:t>
      </w:r>
      <w:bookmarkStart w:id="10" w:name="_Hlk145557884"/>
      <w:r w:rsidRPr="00524130">
        <w:rPr>
          <w:rFonts w:ascii="Times New Roman" w:hAnsi="Times New Roman" w:cs="Times New Roman"/>
        </w:rPr>
        <w:t>robust standard error</w:t>
      </w:r>
      <w:bookmarkEnd w:id="10"/>
      <w:r w:rsidRPr="00524130">
        <w:rPr>
          <w:rFonts w:ascii="Times New Roman" w:hAnsi="Times New Roman" w:cs="Times New Roman"/>
        </w:rPr>
        <w:t xml:space="preserve"> option. Odds ratios and robust standard errors are reported in Table 3. Sartori’s two-step model is suitable for binary dependent variables that involves two-stage choices</w:t>
      </w:r>
      <w:r w:rsidR="007B7D1A" w:rsidRPr="0052413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"/>
          <w:id w:val="1512412646"/>
          <w:placeholder>
            <w:docPart w:val="DefaultPlaceholder_-1854013440"/>
          </w:placeholder>
        </w:sdtPr>
        <w:sdtContent>
          <w:r w:rsidR="00511120" w:rsidRPr="00524130">
            <w:rPr>
              <w:rFonts w:ascii="Times New Roman" w:hAnsi="Times New Roman" w:cs="Times New Roman"/>
              <w:color w:val="000000"/>
            </w:rPr>
            <w:t>[5]</w:t>
          </w:r>
        </w:sdtContent>
      </w:sdt>
      <w:r w:rsidR="007B7D1A" w:rsidRPr="00524130">
        <w:rPr>
          <w:rFonts w:ascii="Times New Roman" w:hAnsi="Times New Roman" w:cs="Times New Roman"/>
          <w:color w:val="000000"/>
        </w:rPr>
        <w:t>.</w:t>
      </w:r>
      <w:r w:rsidRPr="00524130">
        <w:rPr>
          <w:rFonts w:ascii="Times New Roman" w:hAnsi="Times New Roman" w:cs="Times New Roman"/>
        </w:rPr>
        <w:t xml:space="preserve"> In the example of catastrophic health expenditure, an individual would first choose whether to seek health care or not. If he/she chooses to get care, he/she needs to make a second choice on intensity of care (whether to incur CHE or not). For individuals not seeking care because of affordability issue, they would not incur CHE, but this is not a true zero and would bias the estimate. Therefore, Sartori’s two-step model is a better choice for CHE modeling. Both steps of Sartori model use Logistic regression. The first step models the choice of seeking care or not, </w:t>
      </w:r>
      <w:bookmarkStart w:id="11" w:name="_Hlk146033795"/>
      <w:r w:rsidRPr="00524130">
        <w:rPr>
          <w:rFonts w:ascii="Times New Roman" w:hAnsi="Times New Roman" w:cs="Times New Roman"/>
        </w:rPr>
        <w:t xml:space="preserve">so the dependent variable is a binary variable indicating </w:t>
      </w:r>
      <w:bookmarkEnd w:id="11"/>
      <w:r w:rsidRPr="00524130">
        <w:rPr>
          <w:rFonts w:ascii="Times New Roman" w:hAnsi="Times New Roman" w:cs="Times New Roman"/>
        </w:rPr>
        <w:t xml:space="preserve">whether medical expenditure is above zero (seeking care). The second step models the intensity of care if seeking care, so the dependent variable is a binary variable indicating whether incurring CHE and the regression sample excludes those who have zero medical expenditure. Compared to the Heckman selection model, Sartori’s two-step model use the same set of explanatory variables for both steps. </w:t>
      </w:r>
    </w:p>
    <w:p w14:paraId="79D67EB1" w14:textId="77777777" w:rsidR="0009703E" w:rsidRPr="00524130" w:rsidRDefault="0009703E" w:rsidP="00EB1185">
      <w:pPr>
        <w:spacing w:line="480" w:lineRule="auto"/>
        <w:ind w:firstLine="720"/>
        <w:rPr>
          <w:rFonts w:ascii="Times New Roman" w:hAnsi="Times New Roman" w:cs="Times New Roman"/>
          <w:b/>
          <w:bCs/>
        </w:rPr>
      </w:pPr>
      <w:r w:rsidRPr="00524130">
        <w:rPr>
          <w:rFonts w:ascii="Times New Roman" w:hAnsi="Times New Roman" w:cs="Times New Roman"/>
        </w:rPr>
        <w:t xml:space="preserve">Both Logistic regression and Sartori’s two-step model analysis use the same dependent and independent variables. CHE is defined as more than 10% (inclusive) of annual household consumption. We also use an alternative threshold of 25% for sensitivity analysis. We pool together three years of data for both Logistic regression and </w:t>
      </w:r>
      <w:bookmarkStart w:id="12" w:name="_Hlk145567028"/>
      <w:r w:rsidRPr="00524130">
        <w:rPr>
          <w:rFonts w:ascii="Times New Roman" w:hAnsi="Times New Roman" w:cs="Times New Roman"/>
        </w:rPr>
        <w:t>Sartori’s two-step model analysis</w:t>
      </w:r>
      <w:bookmarkEnd w:id="12"/>
      <w:r w:rsidRPr="00524130">
        <w:rPr>
          <w:rFonts w:ascii="Times New Roman" w:hAnsi="Times New Roman" w:cs="Times New Roman"/>
        </w:rPr>
        <w:t xml:space="preserve">, while including a series of dummies to control for the year of survey. All regressions account for sample weight. We use Sartori’s Stata package to run the model analysis. The package can be downloaded from the author’s website (https://asartori.mit.edu/research). </w:t>
      </w:r>
    </w:p>
    <w:p w14:paraId="34C75532" w14:textId="77777777" w:rsidR="0009703E" w:rsidRPr="00524130" w:rsidRDefault="0009703E" w:rsidP="00EB1185">
      <w:pPr>
        <w:spacing w:line="480" w:lineRule="auto"/>
        <w:rPr>
          <w:rFonts w:ascii="Times New Roman" w:hAnsi="Times New Roman" w:cs="Times New Roman"/>
          <w:b/>
          <w:bCs/>
        </w:rPr>
        <w:sectPr w:rsidR="0009703E" w:rsidRPr="00524130" w:rsidSect="0009703E">
          <w:pgSz w:w="11900" w:h="16840"/>
          <w:pgMar w:top="1440" w:right="1440" w:bottom="1440" w:left="1440" w:header="708" w:footer="708" w:gutter="0"/>
          <w:cols w:space="708"/>
          <w:docGrid w:linePitch="360"/>
        </w:sectPr>
      </w:pPr>
    </w:p>
    <w:p w14:paraId="5E1C339B" w14:textId="77777777" w:rsidR="0009703E" w:rsidRPr="00524130" w:rsidRDefault="0009703E" w:rsidP="00495545">
      <w:pPr>
        <w:pStyle w:val="heading10"/>
      </w:pPr>
      <w:bookmarkStart w:id="13" w:name="_Toc169876835"/>
      <w:r w:rsidRPr="00524130">
        <w:lastRenderedPageBreak/>
        <w:t>Reference</w:t>
      </w:r>
      <w:bookmarkEnd w:id="13"/>
      <w:r w:rsidRPr="00524130">
        <w:t xml:space="preserve"> </w:t>
      </w:r>
    </w:p>
    <w:sdt>
      <w:sdtPr>
        <w:rPr>
          <w:rFonts w:ascii="Times New Roman" w:hAnsi="Times New Roman" w:cs="Times New Roman"/>
        </w:rPr>
        <w:tag w:val="MENDELEY_BIBLIOGRAPHY"/>
        <w:id w:val="2143377744"/>
        <w:placeholder>
          <w:docPart w:val="DefaultPlaceholder_-1854013440"/>
        </w:placeholder>
      </w:sdtPr>
      <w:sdtContent>
        <w:p w14:paraId="7A02FD6D" w14:textId="77777777" w:rsidR="00511120" w:rsidRPr="00524130" w:rsidRDefault="00511120" w:rsidP="00524130">
          <w:pPr>
            <w:spacing w:line="480" w:lineRule="auto"/>
            <w:divId w:val="1633168720"/>
            <w:rPr>
              <w:rFonts w:ascii="Times New Roman" w:eastAsia="Times New Roman" w:hAnsi="Times New Roman" w:cs="Times New Roman"/>
              <w:kern w:val="0"/>
              <w14:ligatures w14:val="none"/>
            </w:rPr>
          </w:pPr>
          <w:r w:rsidRPr="00524130">
            <w:rPr>
              <w:rFonts w:ascii="Times New Roman" w:eastAsia="Times New Roman" w:hAnsi="Times New Roman" w:cs="Times New Roman"/>
            </w:rPr>
            <w:t>1. Wagstaff A, Neelsen S. A comprehensive assessment of universal health coverage in 111 countries: a retrospective observational study. Lancet Glob Health. 2020;</w:t>
          </w:r>
          <w:proofErr w:type="gramStart"/>
          <w:r w:rsidRPr="00524130">
            <w:rPr>
              <w:rFonts w:ascii="Times New Roman" w:eastAsia="Times New Roman" w:hAnsi="Times New Roman" w:cs="Times New Roman"/>
            </w:rPr>
            <w:t>8:e</w:t>
          </w:r>
          <w:proofErr w:type="gramEnd"/>
          <w:r w:rsidRPr="00524130">
            <w:rPr>
              <w:rFonts w:ascii="Times New Roman" w:eastAsia="Times New Roman" w:hAnsi="Times New Roman" w:cs="Times New Roman"/>
            </w:rPr>
            <w:t xml:space="preserve">39–49. </w:t>
          </w:r>
        </w:p>
        <w:p w14:paraId="5FC141CC" w14:textId="77777777" w:rsidR="00511120" w:rsidRPr="00524130" w:rsidRDefault="00511120" w:rsidP="00524130">
          <w:pPr>
            <w:spacing w:line="480" w:lineRule="auto"/>
            <w:divId w:val="949363629"/>
            <w:rPr>
              <w:rFonts w:ascii="Times New Roman" w:eastAsia="Times New Roman" w:hAnsi="Times New Roman" w:cs="Times New Roman"/>
            </w:rPr>
          </w:pPr>
          <w:r w:rsidRPr="00524130">
            <w:rPr>
              <w:rFonts w:ascii="Times New Roman" w:eastAsia="Times New Roman" w:hAnsi="Times New Roman" w:cs="Times New Roman"/>
            </w:rPr>
            <w:t>2. World Health Organization. UHC Service Coverage Index (SDG 3.8.1) [Internet]. 2023 [cited 2023 Aug 25]. Available from: https://www.who.int/data/gho/data/themes/topics/service-coverage</w:t>
          </w:r>
        </w:p>
        <w:p w14:paraId="14060B0D" w14:textId="77777777" w:rsidR="00511120" w:rsidRPr="00524130" w:rsidRDefault="00511120" w:rsidP="00524130">
          <w:pPr>
            <w:spacing w:line="480" w:lineRule="auto"/>
            <w:divId w:val="1997026226"/>
            <w:rPr>
              <w:rFonts w:ascii="Times New Roman" w:eastAsia="Times New Roman" w:hAnsi="Times New Roman" w:cs="Times New Roman"/>
            </w:rPr>
          </w:pPr>
          <w:r w:rsidRPr="00524130">
            <w:rPr>
              <w:rFonts w:ascii="Times New Roman" w:eastAsia="Times New Roman" w:hAnsi="Times New Roman" w:cs="Times New Roman"/>
            </w:rPr>
            <w:t xml:space="preserve">3. Hogan DR, Stevens GA, </w:t>
          </w:r>
          <w:proofErr w:type="spellStart"/>
          <w:r w:rsidRPr="00524130">
            <w:rPr>
              <w:rFonts w:ascii="Times New Roman" w:eastAsia="Times New Roman" w:hAnsi="Times New Roman" w:cs="Times New Roman"/>
            </w:rPr>
            <w:t>Hosseinpoor</w:t>
          </w:r>
          <w:proofErr w:type="spellEnd"/>
          <w:r w:rsidRPr="00524130">
            <w:rPr>
              <w:rFonts w:ascii="Times New Roman" w:eastAsia="Times New Roman" w:hAnsi="Times New Roman" w:cs="Times New Roman"/>
            </w:rPr>
            <w:t xml:space="preserve"> AR, </w:t>
          </w:r>
          <w:proofErr w:type="spellStart"/>
          <w:r w:rsidRPr="00524130">
            <w:rPr>
              <w:rFonts w:ascii="Times New Roman" w:eastAsia="Times New Roman" w:hAnsi="Times New Roman" w:cs="Times New Roman"/>
            </w:rPr>
            <w:t>Boerma</w:t>
          </w:r>
          <w:proofErr w:type="spellEnd"/>
          <w:r w:rsidRPr="00524130">
            <w:rPr>
              <w:rFonts w:ascii="Times New Roman" w:eastAsia="Times New Roman" w:hAnsi="Times New Roman" w:cs="Times New Roman"/>
            </w:rPr>
            <w:t xml:space="preserve"> T. Monitoring universal health coverage within the Sustainable Development Goals: development and baseline data for an index of essential health services. The Lancet Global Health. 2018;</w:t>
          </w:r>
          <w:proofErr w:type="gramStart"/>
          <w:r w:rsidRPr="00524130">
            <w:rPr>
              <w:rFonts w:ascii="Times New Roman" w:eastAsia="Times New Roman" w:hAnsi="Times New Roman" w:cs="Times New Roman"/>
            </w:rPr>
            <w:t>6:e</w:t>
          </w:r>
          <w:proofErr w:type="gramEnd"/>
          <w:r w:rsidRPr="00524130">
            <w:rPr>
              <w:rFonts w:ascii="Times New Roman" w:eastAsia="Times New Roman" w:hAnsi="Times New Roman" w:cs="Times New Roman"/>
            </w:rPr>
            <w:t xml:space="preserve">152–68. </w:t>
          </w:r>
        </w:p>
        <w:p w14:paraId="46E2A054" w14:textId="77777777" w:rsidR="00511120" w:rsidRPr="00524130" w:rsidRDefault="00511120" w:rsidP="00524130">
          <w:pPr>
            <w:spacing w:line="480" w:lineRule="auto"/>
            <w:divId w:val="788738509"/>
            <w:rPr>
              <w:rFonts w:ascii="Times New Roman" w:eastAsia="Times New Roman" w:hAnsi="Times New Roman" w:cs="Times New Roman"/>
            </w:rPr>
          </w:pPr>
          <w:r w:rsidRPr="00524130">
            <w:rPr>
              <w:rFonts w:ascii="Times New Roman" w:eastAsia="Times New Roman" w:hAnsi="Times New Roman" w:cs="Times New Roman"/>
            </w:rPr>
            <w:t xml:space="preserve">4. O’Donnell O, Van </w:t>
          </w:r>
          <w:proofErr w:type="spellStart"/>
          <w:r w:rsidRPr="00524130">
            <w:rPr>
              <w:rFonts w:ascii="Times New Roman" w:eastAsia="Times New Roman" w:hAnsi="Times New Roman" w:cs="Times New Roman"/>
            </w:rPr>
            <w:t>Doorslaer</w:t>
          </w:r>
          <w:proofErr w:type="spellEnd"/>
          <w:r w:rsidRPr="00524130">
            <w:rPr>
              <w:rFonts w:ascii="Times New Roman" w:eastAsia="Times New Roman" w:hAnsi="Times New Roman" w:cs="Times New Roman"/>
            </w:rPr>
            <w:t xml:space="preserve"> E, Wagstaff A, </w:t>
          </w:r>
          <w:proofErr w:type="spellStart"/>
          <w:r w:rsidRPr="00524130">
            <w:rPr>
              <w:rFonts w:ascii="Times New Roman" w:eastAsia="Times New Roman" w:hAnsi="Times New Roman" w:cs="Times New Roman"/>
            </w:rPr>
            <w:t>Lindelow</w:t>
          </w:r>
          <w:proofErr w:type="spellEnd"/>
          <w:r w:rsidRPr="00524130">
            <w:rPr>
              <w:rFonts w:ascii="Times New Roman" w:eastAsia="Times New Roman" w:hAnsi="Times New Roman" w:cs="Times New Roman"/>
            </w:rPr>
            <w:t xml:space="preserve"> M. Analyzing health equity using household survey data: A guide to techniques and their implementation. The World Bank; 2008. </w:t>
          </w:r>
        </w:p>
        <w:p w14:paraId="7F2D8F9A" w14:textId="77777777" w:rsidR="00511120" w:rsidRPr="00524130" w:rsidRDefault="00511120" w:rsidP="00524130">
          <w:pPr>
            <w:spacing w:line="480" w:lineRule="auto"/>
            <w:divId w:val="814683802"/>
            <w:rPr>
              <w:rFonts w:ascii="Times New Roman" w:eastAsia="Times New Roman" w:hAnsi="Times New Roman" w:cs="Times New Roman"/>
            </w:rPr>
          </w:pPr>
          <w:r w:rsidRPr="00524130">
            <w:rPr>
              <w:rFonts w:ascii="Times New Roman" w:eastAsia="Times New Roman" w:hAnsi="Times New Roman" w:cs="Times New Roman"/>
            </w:rPr>
            <w:t xml:space="preserve">5. Sartori AE. An Estimator for Some Binary-Outcome Selection Models Without Exclusion Restrictions. Political Analysis. 2017/01/04. </w:t>
          </w:r>
          <w:proofErr w:type="gramStart"/>
          <w:r w:rsidRPr="00524130">
            <w:rPr>
              <w:rFonts w:ascii="Times New Roman" w:eastAsia="Times New Roman" w:hAnsi="Times New Roman" w:cs="Times New Roman"/>
            </w:rPr>
            <w:t>2003;11:111</w:t>
          </w:r>
          <w:proofErr w:type="gramEnd"/>
          <w:r w:rsidRPr="00524130">
            <w:rPr>
              <w:rFonts w:ascii="Times New Roman" w:eastAsia="Times New Roman" w:hAnsi="Times New Roman" w:cs="Times New Roman"/>
            </w:rPr>
            <w:t xml:space="preserve">–38. </w:t>
          </w:r>
        </w:p>
        <w:p w14:paraId="7AF4B658" w14:textId="11EB0607" w:rsidR="0009703E" w:rsidRPr="00524130" w:rsidRDefault="00511120">
          <w:pPr>
            <w:rPr>
              <w:rFonts w:ascii="Times New Roman" w:hAnsi="Times New Roman" w:cs="Times New Roman"/>
            </w:rPr>
          </w:pPr>
          <w:r w:rsidRPr="00524130">
            <w:rPr>
              <w:rFonts w:ascii="Times New Roman" w:eastAsia="Times New Roman" w:hAnsi="Times New Roman" w:cs="Times New Roman"/>
            </w:rPr>
            <w:t> </w:t>
          </w:r>
        </w:p>
      </w:sdtContent>
    </w:sdt>
    <w:sectPr w:rsidR="0009703E" w:rsidRPr="00524130" w:rsidSect="00B42E4A">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8804" w14:textId="77777777" w:rsidR="00D0027B" w:rsidRDefault="00D0027B" w:rsidP="00AF4D48">
      <w:r>
        <w:separator/>
      </w:r>
    </w:p>
  </w:endnote>
  <w:endnote w:type="continuationSeparator" w:id="0">
    <w:p w14:paraId="56C55BC7" w14:textId="77777777" w:rsidR="00D0027B" w:rsidRDefault="00D0027B" w:rsidP="00AF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9427902"/>
      <w:docPartObj>
        <w:docPartGallery w:val="Page Numbers (Bottom of Page)"/>
        <w:docPartUnique/>
      </w:docPartObj>
    </w:sdtPr>
    <w:sdtContent>
      <w:p w14:paraId="19E0AE6D" w14:textId="77777777" w:rsidR="0009703E" w:rsidRDefault="0009703E" w:rsidP="00660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905E64" w14:textId="77777777" w:rsidR="0009703E" w:rsidRDefault="0009703E" w:rsidP="00AF4D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6470677"/>
      <w:docPartObj>
        <w:docPartGallery w:val="Page Numbers (Bottom of Page)"/>
        <w:docPartUnique/>
      </w:docPartObj>
    </w:sdtPr>
    <w:sdtContent>
      <w:p w14:paraId="35CD0017" w14:textId="77777777" w:rsidR="0009703E" w:rsidRDefault="0009703E" w:rsidP="00660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8943BB" w14:textId="77777777" w:rsidR="0009703E" w:rsidRDefault="0009703E" w:rsidP="00AF4D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4064607"/>
      <w:docPartObj>
        <w:docPartGallery w:val="Page Numbers (Bottom of Page)"/>
        <w:docPartUnique/>
      </w:docPartObj>
    </w:sdtPr>
    <w:sdtContent>
      <w:p w14:paraId="68D8E1CD" w14:textId="44349CBF" w:rsidR="00AF4D48" w:rsidRDefault="00AF4D48" w:rsidP="00660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FBD2B" w14:textId="77777777" w:rsidR="00AF4D48" w:rsidRDefault="00AF4D48" w:rsidP="00AF4D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3630867"/>
      <w:docPartObj>
        <w:docPartGallery w:val="Page Numbers (Bottom of Page)"/>
        <w:docPartUnique/>
      </w:docPartObj>
    </w:sdtPr>
    <w:sdtContent>
      <w:p w14:paraId="121C4F80" w14:textId="775D274D" w:rsidR="00AF4D48" w:rsidRDefault="00AF4D48" w:rsidP="00660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8C2961" w14:textId="77777777" w:rsidR="00AF4D48" w:rsidRDefault="00AF4D48" w:rsidP="00AF4D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AEF1" w14:textId="77777777" w:rsidR="00D0027B" w:rsidRDefault="00D0027B" w:rsidP="00AF4D48">
      <w:r>
        <w:separator/>
      </w:r>
    </w:p>
  </w:footnote>
  <w:footnote w:type="continuationSeparator" w:id="0">
    <w:p w14:paraId="369E7714" w14:textId="77777777" w:rsidR="00D0027B" w:rsidRDefault="00D0027B" w:rsidP="00AF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4577"/>
    <w:multiLevelType w:val="hybridMultilevel"/>
    <w:tmpl w:val="690C4A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345BA8"/>
    <w:multiLevelType w:val="multilevel"/>
    <w:tmpl w:val="8FE6D19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672415564">
    <w:abstractNumId w:val="1"/>
  </w:num>
  <w:num w:numId="2" w16cid:durableId="120987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B5"/>
    <w:rsid w:val="00020EA0"/>
    <w:rsid w:val="0004470B"/>
    <w:rsid w:val="00047082"/>
    <w:rsid w:val="00060483"/>
    <w:rsid w:val="000629B0"/>
    <w:rsid w:val="000676BC"/>
    <w:rsid w:val="00073DD0"/>
    <w:rsid w:val="00084F59"/>
    <w:rsid w:val="0009703E"/>
    <w:rsid w:val="000E469D"/>
    <w:rsid w:val="00107CE2"/>
    <w:rsid w:val="00114E7E"/>
    <w:rsid w:val="00126099"/>
    <w:rsid w:val="00133821"/>
    <w:rsid w:val="00162ADA"/>
    <w:rsid w:val="00163884"/>
    <w:rsid w:val="00177690"/>
    <w:rsid w:val="001C6127"/>
    <w:rsid w:val="001F1253"/>
    <w:rsid w:val="002215F6"/>
    <w:rsid w:val="002475C3"/>
    <w:rsid w:val="0028423B"/>
    <w:rsid w:val="002B467E"/>
    <w:rsid w:val="002E68D3"/>
    <w:rsid w:val="00354FDE"/>
    <w:rsid w:val="00360703"/>
    <w:rsid w:val="00373D1A"/>
    <w:rsid w:val="0037445A"/>
    <w:rsid w:val="00377C37"/>
    <w:rsid w:val="003C1745"/>
    <w:rsid w:val="003D65EF"/>
    <w:rsid w:val="004327FD"/>
    <w:rsid w:val="00466D91"/>
    <w:rsid w:val="00495545"/>
    <w:rsid w:val="004D3728"/>
    <w:rsid w:val="004E5D00"/>
    <w:rsid w:val="00511120"/>
    <w:rsid w:val="005172DC"/>
    <w:rsid w:val="00524130"/>
    <w:rsid w:val="00543A3E"/>
    <w:rsid w:val="00545CB5"/>
    <w:rsid w:val="00567F24"/>
    <w:rsid w:val="00573175"/>
    <w:rsid w:val="005B3674"/>
    <w:rsid w:val="005B7058"/>
    <w:rsid w:val="006029F4"/>
    <w:rsid w:val="00624D95"/>
    <w:rsid w:val="00664E43"/>
    <w:rsid w:val="006C2C21"/>
    <w:rsid w:val="00700934"/>
    <w:rsid w:val="00735020"/>
    <w:rsid w:val="00753D00"/>
    <w:rsid w:val="00757969"/>
    <w:rsid w:val="00786F9B"/>
    <w:rsid w:val="007B7D1A"/>
    <w:rsid w:val="007C664D"/>
    <w:rsid w:val="007E4E4F"/>
    <w:rsid w:val="008509C4"/>
    <w:rsid w:val="00857DB9"/>
    <w:rsid w:val="00862C9D"/>
    <w:rsid w:val="008844CC"/>
    <w:rsid w:val="008C3756"/>
    <w:rsid w:val="00930779"/>
    <w:rsid w:val="0094391B"/>
    <w:rsid w:val="00954C39"/>
    <w:rsid w:val="009910AB"/>
    <w:rsid w:val="009E2D64"/>
    <w:rsid w:val="009F5B4F"/>
    <w:rsid w:val="00A023D1"/>
    <w:rsid w:val="00A1296A"/>
    <w:rsid w:val="00A263E5"/>
    <w:rsid w:val="00A33459"/>
    <w:rsid w:val="00A347EE"/>
    <w:rsid w:val="00A73AF7"/>
    <w:rsid w:val="00A7754F"/>
    <w:rsid w:val="00A80134"/>
    <w:rsid w:val="00A85459"/>
    <w:rsid w:val="00AA1F63"/>
    <w:rsid w:val="00AA5F93"/>
    <w:rsid w:val="00AF4D48"/>
    <w:rsid w:val="00B42E4A"/>
    <w:rsid w:val="00B528F2"/>
    <w:rsid w:val="00B63CE5"/>
    <w:rsid w:val="00BB10F2"/>
    <w:rsid w:val="00BE280E"/>
    <w:rsid w:val="00BE366E"/>
    <w:rsid w:val="00C563C7"/>
    <w:rsid w:val="00C714BD"/>
    <w:rsid w:val="00C733E2"/>
    <w:rsid w:val="00CE2F71"/>
    <w:rsid w:val="00D0027B"/>
    <w:rsid w:val="00D00514"/>
    <w:rsid w:val="00D01FF9"/>
    <w:rsid w:val="00D106F0"/>
    <w:rsid w:val="00D17DB4"/>
    <w:rsid w:val="00DB6F99"/>
    <w:rsid w:val="00DC3C30"/>
    <w:rsid w:val="00DF4AF5"/>
    <w:rsid w:val="00E21FDA"/>
    <w:rsid w:val="00E24C83"/>
    <w:rsid w:val="00E45EAD"/>
    <w:rsid w:val="00E51A6A"/>
    <w:rsid w:val="00E6272D"/>
    <w:rsid w:val="00E706F4"/>
    <w:rsid w:val="00E769FD"/>
    <w:rsid w:val="00E8773B"/>
    <w:rsid w:val="00EA1A5B"/>
    <w:rsid w:val="00EB1185"/>
    <w:rsid w:val="00ED7FF9"/>
    <w:rsid w:val="00F67315"/>
    <w:rsid w:val="00F966EA"/>
    <w:rsid w:val="00F96FAF"/>
    <w:rsid w:val="00FC7DF6"/>
    <w:rsid w:val="00FD1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7B5D"/>
  <w15:chartTrackingRefBased/>
  <w15:docId w15:val="{518418C7-606F-5642-90A7-17137B5A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autoRedefine/>
    <w:uiPriority w:val="9"/>
    <w:qFormat/>
    <w:rsid w:val="00495545"/>
    <w:pPr>
      <w:spacing w:before="0" w:line="480" w:lineRule="auto"/>
      <w:outlineLvl w:val="0"/>
    </w:pPr>
    <w:rPr>
      <w:rFonts w:ascii="Times New Roman" w:hAnsi="Times New Roman"/>
      <w:b/>
      <w:color w:val="000000" w:themeColor="text1"/>
      <w:sz w:val="24"/>
      <w:szCs w:val="32"/>
    </w:rPr>
  </w:style>
  <w:style w:type="paragraph" w:styleId="Heading2">
    <w:name w:val="heading 2"/>
    <w:basedOn w:val="Normal"/>
    <w:next w:val="Normal"/>
    <w:link w:val="Heading2Char"/>
    <w:uiPriority w:val="9"/>
    <w:semiHidden/>
    <w:unhideWhenUsed/>
    <w:qFormat/>
    <w:rsid w:val="007E4E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8844CC"/>
    <w:pPr>
      <w:spacing w:after="100"/>
    </w:pPr>
    <w:rPr>
      <w:rFonts w:ascii="Times New Roman" w:hAnsi="Times New Roman"/>
    </w:rPr>
  </w:style>
  <w:style w:type="paragraph" w:styleId="TOC2">
    <w:name w:val="toc 2"/>
    <w:basedOn w:val="Normal"/>
    <w:next w:val="Normal"/>
    <w:autoRedefine/>
    <w:uiPriority w:val="39"/>
    <w:semiHidden/>
    <w:unhideWhenUsed/>
    <w:qFormat/>
    <w:rsid w:val="008844CC"/>
    <w:pPr>
      <w:spacing w:after="100"/>
      <w:ind w:left="240"/>
    </w:pPr>
    <w:rPr>
      <w:rFonts w:ascii="Times New Roman" w:hAnsi="Times New Roman"/>
    </w:rPr>
  </w:style>
  <w:style w:type="paragraph" w:styleId="TOC3">
    <w:name w:val="toc 3"/>
    <w:basedOn w:val="Normal"/>
    <w:next w:val="Normal"/>
    <w:autoRedefine/>
    <w:uiPriority w:val="39"/>
    <w:semiHidden/>
    <w:unhideWhenUsed/>
    <w:qFormat/>
    <w:rsid w:val="008844CC"/>
    <w:pPr>
      <w:spacing w:after="100"/>
      <w:ind w:left="480"/>
    </w:pPr>
    <w:rPr>
      <w:rFonts w:ascii="Times New Roman" w:hAnsi="Times New Roman"/>
    </w:rPr>
  </w:style>
  <w:style w:type="paragraph" w:customStyle="1" w:styleId="heading10">
    <w:name w:val="heading1"/>
    <w:basedOn w:val="Normal"/>
    <w:autoRedefine/>
    <w:qFormat/>
    <w:rsid w:val="00495545"/>
    <w:pPr>
      <w:keepNext/>
      <w:keepLines/>
      <w:spacing w:line="480" w:lineRule="auto"/>
      <w:outlineLvl w:val="0"/>
    </w:pPr>
    <w:rPr>
      <w:rFonts w:ascii="Times New Roman" w:eastAsiaTheme="majorEastAsia" w:hAnsi="Times New Roman" w:cs="Times New Roman"/>
      <w:b/>
      <w:bCs/>
      <w:color w:val="000000" w:themeColor="text1"/>
      <w:szCs w:val="32"/>
    </w:rPr>
  </w:style>
  <w:style w:type="character" w:customStyle="1" w:styleId="Heading2Char">
    <w:name w:val="Heading 2 Char"/>
    <w:basedOn w:val="DefaultParagraphFont"/>
    <w:link w:val="Heading2"/>
    <w:uiPriority w:val="9"/>
    <w:semiHidden/>
    <w:rsid w:val="007E4E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30779"/>
    <w:pPr>
      <w:ind w:left="720"/>
      <w:contextualSpacing/>
    </w:pPr>
  </w:style>
  <w:style w:type="character" w:styleId="PlaceholderText">
    <w:name w:val="Placeholder Text"/>
    <w:basedOn w:val="DefaultParagraphFont"/>
    <w:uiPriority w:val="99"/>
    <w:semiHidden/>
    <w:rsid w:val="004D3728"/>
    <w:rPr>
      <w:color w:val="808080"/>
    </w:rPr>
  </w:style>
  <w:style w:type="paragraph" w:styleId="Footer">
    <w:name w:val="footer"/>
    <w:basedOn w:val="Normal"/>
    <w:link w:val="FooterChar"/>
    <w:uiPriority w:val="99"/>
    <w:unhideWhenUsed/>
    <w:rsid w:val="00AF4D48"/>
    <w:pPr>
      <w:tabs>
        <w:tab w:val="center" w:pos="4680"/>
        <w:tab w:val="right" w:pos="9360"/>
      </w:tabs>
    </w:pPr>
  </w:style>
  <w:style w:type="character" w:customStyle="1" w:styleId="FooterChar">
    <w:name w:val="Footer Char"/>
    <w:basedOn w:val="DefaultParagraphFont"/>
    <w:link w:val="Footer"/>
    <w:uiPriority w:val="99"/>
    <w:rsid w:val="00AF4D48"/>
  </w:style>
  <w:style w:type="character" w:styleId="PageNumber">
    <w:name w:val="page number"/>
    <w:basedOn w:val="DefaultParagraphFont"/>
    <w:uiPriority w:val="99"/>
    <w:semiHidden/>
    <w:unhideWhenUsed/>
    <w:rsid w:val="00AF4D48"/>
  </w:style>
  <w:style w:type="character" w:customStyle="1" w:styleId="Heading1Char">
    <w:name w:val="Heading 1 Char"/>
    <w:basedOn w:val="DefaultParagraphFont"/>
    <w:link w:val="Heading1"/>
    <w:uiPriority w:val="9"/>
    <w:rsid w:val="00495545"/>
    <w:rPr>
      <w:rFonts w:ascii="Times New Roman" w:eastAsiaTheme="majorEastAsia" w:hAnsi="Times New Roman" w:cstheme="majorBidi"/>
      <w:b/>
      <w:color w:val="000000" w:themeColor="text1"/>
      <w:szCs w:val="32"/>
    </w:rPr>
  </w:style>
  <w:style w:type="character" w:styleId="Hyperlink">
    <w:name w:val="Hyperlink"/>
    <w:basedOn w:val="DefaultParagraphFont"/>
    <w:uiPriority w:val="99"/>
    <w:unhideWhenUsed/>
    <w:rsid w:val="004955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75397">
      <w:bodyDiv w:val="1"/>
      <w:marLeft w:val="0"/>
      <w:marRight w:val="0"/>
      <w:marTop w:val="0"/>
      <w:marBottom w:val="0"/>
      <w:divBdr>
        <w:top w:val="none" w:sz="0" w:space="0" w:color="auto"/>
        <w:left w:val="none" w:sz="0" w:space="0" w:color="auto"/>
        <w:bottom w:val="none" w:sz="0" w:space="0" w:color="auto"/>
        <w:right w:val="none" w:sz="0" w:space="0" w:color="auto"/>
      </w:divBdr>
      <w:divsChild>
        <w:div w:id="691536230">
          <w:marLeft w:val="0"/>
          <w:marRight w:val="0"/>
          <w:marTop w:val="0"/>
          <w:marBottom w:val="0"/>
          <w:divBdr>
            <w:top w:val="none" w:sz="0" w:space="0" w:color="auto"/>
            <w:left w:val="none" w:sz="0" w:space="0" w:color="auto"/>
            <w:bottom w:val="none" w:sz="0" w:space="0" w:color="auto"/>
            <w:right w:val="none" w:sz="0" w:space="0" w:color="auto"/>
          </w:divBdr>
        </w:div>
        <w:div w:id="1696735492">
          <w:marLeft w:val="0"/>
          <w:marRight w:val="0"/>
          <w:marTop w:val="0"/>
          <w:marBottom w:val="0"/>
          <w:divBdr>
            <w:top w:val="none" w:sz="0" w:space="0" w:color="auto"/>
            <w:left w:val="none" w:sz="0" w:space="0" w:color="auto"/>
            <w:bottom w:val="none" w:sz="0" w:space="0" w:color="auto"/>
            <w:right w:val="none" w:sz="0" w:space="0" w:color="auto"/>
          </w:divBdr>
        </w:div>
      </w:divsChild>
    </w:div>
    <w:div w:id="1518039011">
      <w:bodyDiv w:val="1"/>
      <w:marLeft w:val="0"/>
      <w:marRight w:val="0"/>
      <w:marTop w:val="0"/>
      <w:marBottom w:val="0"/>
      <w:divBdr>
        <w:top w:val="none" w:sz="0" w:space="0" w:color="auto"/>
        <w:left w:val="none" w:sz="0" w:space="0" w:color="auto"/>
        <w:bottom w:val="none" w:sz="0" w:space="0" w:color="auto"/>
        <w:right w:val="none" w:sz="0" w:space="0" w:color="auto"/>
      </w:divBdr>
      <w:divsChild>
        <w:div w:id="1882208381">
          <w:marLeft w:val="0"/>
          <w:marRight w:val="0"/>
          <w:marTop w:val="0"/>
          <w:marBottom w:val="0"/>
          <w:divBdr>
            <w:top w:val="none" w:sz="0" w:space="0" w:color="auto"/>
            <w:left w:val="none" w:sz="0" w:space="0" w:color="auto"/>
            <w:bottom w:val="none" w:sz="0" w:space="0" w:color="auto"/>
            <w:right w:val="none" w:sz="0" w:space="0" w:color="auto"/>
          </w:divBdr>
        </w:div>
        <w:div w:id="849219393">
          <w:marLeft w:val="0"/>
          <w:marRight w:val="0"/>
          <w:marTop w:val="0"/>
          <w:marBottom w:val="0"/>
          <w:divBdr>
            <w:top w:val="none" w:sz="0" w:space="0" w:color="auto"/>
            <w:left w:val="none" w:sz="0" w:space="0" w:color="auto"/>
            <w:bottom w:val="none" w:sz="0" w:space="0" w:color="auto"/>
            <w:right w:val="none" w:sz="0" w:space="0" w:color="auto"/>
          </w:divBdr>
        </w:div>
        <w:div w:id="176891453">
          <w:marLeft w:val="0"/>
          <w:marRight w:val="0"/>
          <w:marTop w:val="0"/>
          <w:marBottom w:val="0"/>
          <w:divBdr>
            <w:top w:val="none" w:sz="0" w:space="0" w:color="auto"/>
            <w:left w:val="none" w:sz="0" w:space="0" w:color="auto"/>
            <w:bottom w:val="none" w:sz="0" w:space="0" w:color="auto"/>
            <w:right w:val="none" w:sz="0" w:space="0" w:color="auto"/>
          </w:divBdr>
        </w:div>
        <w:div w:id="208884677">
          <w:marLeft w:val="0"/>
          <w:marRight w:val="0"/>
          <w:marTop w:val="0"/>
          <w:marBottom w:val="0"/>
          <w:divBdr>
            <w:top w:val="none" w:sz="0" w:space="0" w:color="auto"/>
            <w:left w:val="none" w:sz="0" w:space="0" w:color="auto"/>
            <w:bottom w:val="none" w:sz="0" w:space="0" w:color="auto"/>
            <w:right w:val="none" w:sz="0" w:space="0" w:color="auto"/>
          </w:divBdr>
        </w:div>
        <w:div w:id="424962898">
          <w:marLeft w:val="0"/>
          <w:marRight w:val="0"/>
          <w:marTop w:val="0"/>
          <w:marBottom w:val="0"/>
          <w:divBdr>
            <w:top w:val="none" w:sz="0" w:space="0" w:color="auto"/>
            <w:left w:val="none" w:sz="0" w:space="0" w:color="auto"/>
            <w:bottom w:val="none" w:sz="0" w:space="0" w:color="auto"/>
            <w:right w:val="none" w:sz="0" w:space="0" w:color="auto"/>
          </w:divBdr>
        </w:div>
      </w:divsChild>
    </w:div>
    <w:div w:id="1888640854">
      <w:bodyDiv w:val="1"/>
      <w:marLeft w:val="0"/>
      <w:marRight w:val="0"/>
      <w:marTop w:val="0"/>
      <w:marBottom w:val="0"/>
      <w:divBdr>
        <w:top w:val="none" w:sz="0" w:space="0" w:color="auto"/>
        <w:left w:val="none" w:sz="0" w:space="0" w:color="auto"/>
        <w:bottom w:val="none" w:sz="0" w:space="0" w:color="auto"/>
        <w:right w:val="none" w:sz="0" w:space="0" w:color="auto"/>
      </w:divBdr>
      <w:divsChild>
        <w:div w:id="1633168720">
          <w:marLeft w:val="0"/>
          <w:marRight w:val="0"/>
          <w:marTop w:val="0"/>
          <w:marBottom w:val="0"/>
          <w:divBdr>
            <w:top w:val="none" w:sz="0" w:space="0" w:color="auto"/>
            <w:left w:val="none" w:sz="0" w:space="0" w:color="auto"/>
            <w:bottom w:val="none" w:sz="0" w:space="0" w:color="auto"/>
            <w:right w:val="none" w:sz="0" w:space="0" w:color="auto"/>
          </w:divBdr>
        </w:div>
        <w:div w:id="949363629">
          <w:marLeft w:val="0"/>
          <w:marRight w:val="0"/>
          <w:marTop w:val="0"/>
          <w:marBottom w:val="0"/>
          <w:divBdr>
            <w:top w:val="none" w:sz="0" w:space="0" w:color="auto"/>
            <w:left w:val="none" w:sz="0" w:space="0" w:color="auto"/>
            <w:bottom w:val="none" w:sz="0" w:space="0" w:color="auto"/>
            <w:right w:val="none" w:sz="0" w:space="0" w:color="auto"/>
          </w:divBdr>
        </w:div>
        <w:div w:id="1997026226">
          <w:marLeft w:val="0"/>
          <w:marRight w:val="0"/>
          <w:marTop w:val="0"/>
          <w:marBottom w:val="0"/>
          <w:divBdr>
            <w:top w:val="none" w:sz="0" w:space="0" w:color="auto"/>
            <w:left w:val="none" w:sz="0" w:space="0" w:color="auto"/>
            <w:bottom w:val="none" w:sz="0" w:space="0" w:color="auto"/>
            <w:right w:val="none" w:sz="0" w:space="0" w:color="auto"/>
          </w:divBdr>
        </w:div>
        <w:div w:id="788738509">
          <w:marLeft w:val="0"/>
          <w:marRight w:val="0"/>
          <w:marTop w:val="0"/>
          <w:marBottom w:val="0"/>
          <w:divBdr>
            <w:top w:val="none" w:sz="0" w:space="0" w:color="auto"/>
            <w:left w:val="none" w:sz="0" w:space="0" w:color="auto"/>
            <w:bottom w:val="none" w:sz="0" w:space="0" w:color="auto"/>
            <w:right w:val="none" w:sz="0" w:space="0" w:color="auto"/>
          </w:divBdr>
        </w:div>
        <w:div w:id="814683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25694B1-C8E7-6040-A363-10CD3C89E384}"/>
      </w:docPartPr>
      <w:docPartBody>
        <w:p w:rsidR="00000000" w:rsidRDefault="001701AF">
          <w:r w:rsidRPr="00CA79FF">
            <w:rPr>
              <w:rStyle w:val="PlaceholderText"/>
            </w:rPr>
            <w:t>Click or tap here to enter text.</w:t>
          </w:r>
        </w:p>
      </w:docPartBody>
    </w:docPart>
    <w:docPart>
      <w:docPartPr>
        <w:name w:val="3554C76169E5B34DAB2353C471148B22"/>
        <w:category>
          <w:name w:val="General"/>
          <w:gallery w:val="placeholder"/>
        </w:category>
        <w:types>
          <w:type w:val="bbPlcHdr"/>
        </w:types>
        <w:behaviors>
          <w:behavior w:val="content"/>
        </w:behaviors>
        <w:guid w:val="{58A09E4B-F52B-9841-9492-40D553AD35BC}"/>
      </w:docPartPr>
      <w:docPartBody>
        <w:p w:rsidR="00000000" w:rsidRDefault="001701AF" w:rsidP="001701AF">
          <w:pPr>
            <w:pStyle w:val="3554C76169E5B34DAB2353C471148B22"/>
          </w:pPr>
          <w:r w:rsidRPr="00CA79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F"/>
    <w:rsid w:val="001701AF"/>
    <w:rsid w:val="00371EA9"/>
    <w:rsid w:val="00DB6F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1AF"/>
    <w:rPr>
      <w:color w:val="808080"/>
    </w:rPr>
  </w:style>
  <w:style w:type="paragraph" w:customStyle="1" w:styleId="3554C76169E5B34DAB2353C471148B22">
    <w:name w:val="3554C76169E5B34DAB2353C471148B22"/>
    <w:rsid w:val="00170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F2516-A92A-BF4D-9FDD-F1C7D570424E}">
  <we:reference id="wa104382081" version="1.55.1.0" store="en-US" storeType="OMEX"/>
  <we:alternateReferences>
    <we:reference id="wa104382081" version="1.55.1.0" store="" storeType="OMEX"/>
  </we:alternateReferences>
  <we:properties>
    <we:property name="MENDELEY_CITATIONS" value="[{&quot;citationID&quot;:&quot;MENDELEY_CITATION_ecc43843-1dd7-4b3e-831d-67ae5a35b362&quot;,&quot;citationItems&quot;:[{&quot;id&quot;:&quot;5ca40766-2d66-5f51-aeb1-db3073484f23&quot;,&quot;itemData&quot;:{&quot;DOI&quot;:&quot;10.1016/S2214-109X(19)30463-2&quot;,&quot;ISSN&quot;:&quot;2214-109X&quot;,&quot;abstract&quot;:&quot;Summary Background The goal of universal health coverage (UHC) requires that everyone receive needed health services, and that families who get needed services do not suffer undue financial hardship. Tracking progress towards UHC requires measurement of both these dimensions, and a way of trading them off against one another. Methods We measured service coverage by a weighted geometric average of four prevention indicators (antenatal care, full immunisation, and screening for breast and cervical cancers) and four treatment indicators (skilled birth attendance, inpatient admission, and treatment for acute respiratory infection and diarrhoea), financial protection by the incidence of catastrophic health expenditures (those exceeding 10% of household consumption or income), and a country's UHC performance as a geometric average of the service coverage index and the complement of the incidence of catastrophic expenditures. Where possible, we adjusted service coverage for inequality, penalising countries with a high level of inequality. The bulk of data used in this study were from the World Bank's Health Equity and Financial Protection Indicators database (2019 version), comprising data from household surveys. Gaps in the data were supplemented with other survey data and (where necessary) non-survey data from other sources (administrative, modelled, and imputed data). Findings A low incidence of catastrophic expenses sometimes reflects low service coverage (often in low-income countries) but sometimes occurs despite high service coverage (often in high-income countries). At a given level of service coverage, financial protection also varies. UHC index scores are generally higher in higher-income countries, but there are variations within income groups. Adjusting the UHC index for inequality in service coverage makes little difference in some countries, but reduces it by more than 10% in others. Seven of the 12 countries for which we were able to produce trend data have increased their UHC index over time (with the greatest average yearly increases seen in Ghana [1·43%], Indonesia [1·85%], and Vietnam [2·26%]), mostly by improving both financial protection and service coverage. Some increased their UHC index, despite reductions in financial protection, by substantially increasing their service coverage. The UHC index decreased in five of 12 countries with trend data, mostly because financial protection worsened with stagnant or declining service coverage. Ou…&quot;,&quot;author&quot;:[{&quot;dropping-particle&quot;:&quot;&quot;,&quot;family&quot;:&quot;Wagstaff&quot;,&quot;given&quot;:&quot;Adam&quot;,&quot;non-dropping-particle&quot;:&quot;&quot;,&quot;parse-names&quot;:false,&quot;suffix&quot;:&quot;&quot;},{&quot;dropping-particle&quot;:&quot;&quot;,&quot;family&quot;:&quot;Neelsen&quot;,&quot;given&quot;:&quot;Sven&quot;,&quot;non-dropping-particle&quot;:&quot;&quot;,&quot;parse-names&quot;:false,&quot;suffix&quot;:&quot;&quot;}],&quot;container-title&quot;:&quot;The Lancet Global Health&quot;,&quot;id&quot;:&quot;5ca40766-2d66-5f51-aeb1-db3073484f23&quot;,&quot;issue&quot;:&quot;1&quot;,&quot;issued&quot;:{&quot;date-parts&quot;:[[&quot;2020&quot;]]},&quot;page&quot;:&quot;e39-e49&quot;,&quot;title&quot;:&quot;A comprehensive assessment of universal health coverage in 111 countries: a retrospective observational study&quot;,&quot;type&quot;:&quot;article-journal&quot;,&quot;volume&quot;:&quot;8&quot;},&quot;uris&quot;:[&quot;http://www.mendeley.com/documents/?uuid=6b3d1046-af35-42c8-8c88-d54af364b468&quot;],&quot;isTemporary&quot;:false,&quot;legacyDesktopId&quot;:&quot;6b3d1046-af35-42c8-8c88-d54af364b468&quot;}],&quot;properties&quot;:{&quot;noteIndex&quot;:0},&quot;isEdited&quot;:false,&quot;manualOverride&quot;:{&quot;citeprocText&quot;:&quot;[1]&quot;,&quot;isManuallyOverridden&quot;:false,&quot;manualOverrideText&quot;:&quot;&quot;},&quot;citationTag&quot;:&quot;MENDELEY_CITATION_v3_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&quot;},{&quot;citationID&quot;:&quot;MENDELEY_CITATION_88fcf9b5-e05b-465a-b906-c6475ef28694&quot;,&quot;citationItems&quot;:[{&quot;id&quot;:&quot;31d10b7e-d26a-5dbb-a5d3-d11395df1bee&quot;,&quot;itemData&quot;:{&quot;URL&quot;:&quot;https://www.who.int/data/gho/data/themes/topics/service-coverage&quot;,&quot;accessed&quot;:{&quot;date-parts&quot;:[[&quot;2023&quot;,&quot;8&quot;,&quot;25&quot;]]},&quot;author&quot;:[{&quot;dropping-particle&quot;:&quot;&quot;,&quot;family&quot;:&quot;World Health Organization&quot;,&quot;given&quot;:&quot;&quot;,&quot;non-dropping-particle&quot;:&quot;&quot;,&quot;parse-names&quot;:false,&quot;suffix&quot;:&quot;&quot;}],&quot;id&quot;:&quot;31d10b7e-d26a-5dbb-a5d3-d11395df1bee&quot;,&quot;issued&quot;:{&quot;date-parts&quot;:[[&quot;2023&quot;]]},&quot;title&quot;:&quot;UHC Service Coverage Index (SDG 3.8.1)&quot;,&quot;type&quot;:&quot;webpage&quot;},&quot;uris&quot;:[&quot;http://www.mendeley.com/documents/?uuid=8d1abb4b-7a8f-459d-a7eb-6db99174c441&quot;],&quot;isTemporary&quot;:false,&quot;legacyDesktopId&quot;:&quot;8d1abb4b-7a8f-459d-a7eb-6db99174c441&quot;},{&quot;id&quot;:&quot;b5f93ff2-f1c7-58b1-a0de-5f0116910ae8&quot;,&quot;itemData&quot;:{&quot;DOI&quot;:&quot;10.1016/S2214-109X(17)30472-2&quot;,&quot;ISSN&quot;:&quot;2214109X&quot;,&quot;PMID&quot;:&quot;29248365&quot;,&quot;abstract&quot;:&quot;Background: Achieving universal health coverage, including quality essential service coverage and financial protection for all, is target 3.8 of the Sustainable Development Goals (SDG). As a result, an index of essential health service coverage indicators was selected by the UN as SDG indicator 3.8.1. We have developed an index for measuring SDG 3.8.1, describe methods for compiling the index, and report baseline results for 2015. Methods: 16 tracer indicators were selected for the index, which included four from within each of the categories of reproductive, maternal, newborn, and child health; infectious disease; non-communicable diseases; and service capacity and access. Indicator data for 183 countries were taken from UN agency estimates or databases, supplemented with submissions from national focal points during a WHO country consultation. The index was computed using geometric means, and a subset of tracer indicators were used to summarise inequalities. Findings: On average, countries had primary data since 2010 for 72% of the final set of indicators. The median national value for the service coverage index was 65 out of 100 (range 22–86). The index was highly correlated with other summary measures of health, and after controlling for gross national income and mean years of adult education, was associated with 21 additional years of life expectancy over the observed range of country values. Across 52 countries with sufficient data, coverage was 1% to 66% lower among the poorest quintile as compared with the national population. Sensitivity analyses suggested ranks implied by the index are fairly stable across alternative calculation methods. Interpretation: Service coverage within universal health coverage can be measured with an index of tracer indicators. Our universal health coverage service coverage index is simple to compute by use of available country data and can be refined to incorporate relevant indicators as they become available through SDG monitoring. Funding: Ministry of Health, Japan, and the Rockefeller Foundation.&quot;,&quot;author&quot;:[{&quot;dropping-particle&quot;:&quot;&quot;,&quot;family&quot;:&quot;Hogan&quot;,&quot;given&quot;:&quot;Daniel R&quot;,&quot;non-dropping-particle&quot;:&quot;&quot;,&quot;parse-names&quot;:false,&quot;suffix&quot;:&quot;&quot;},{&quot;dropping-particle&quot;:&quot;&quot;,&quot;family&quot;:&quot;Stevens&quot;,&quot;given&quot;:&quot;Gretchen A&quot;,&quot;non-dropping-particle&quot;:&quot;&quot;,&quot;parse-names&quot;:false,&quot;suffix&quot;:&quot;&quot;},{&quot;dropping-particle&quot;:&quot;&quot;,&quot;family&quot;:&quot;Hosseinpoor&quot;,&quot;given&quot;:&quot;Ahmad Reza&quot;,&quot;non-dropping-particle&quot;:&quot;&quot;,&quot;parse-names&quot;:false,&quot;suffix&quot;:&quot;&quot;},{&quot;dropping-particle&quot;:&quot;&quot;,&quot;family&quot;:&quot;Boerma&quot;,&quot;given&quot;:&quot;Ties&quot;,&quot;non-dropping-particle&quot;:&quot;&quot;,&quot;parse-names&quot;:false,&quot;suffix&quot;:&quot;&quot;}],&quot;container-title&quot;:&quot;The Lancet Global Health&quot;,&quot;id&quot;:&quot;b5f93ff2-f1c7-58b1-a0de-5f0116910ae8&quot;,&quot;issue&quot;:&quot;2&quot;,&quot;issued&quot;:{&quot;date-parts&quot;:[[&quot;2018&quot;,&quot;2&quot;,&quot;1&quot;]]},&quot;page&quot;:&quot;e152-e168&quot;,&quot;publisher&quot;:&quot;Elsevier&quot;,&quot;title&quot;:&quot;Monitoring universal health coverage within the Sustainable Development Goals: development and baseline data for an index of essential health services&quot;,&quot;type&quot;:&quot;article-journal&quot;,&quot;volume&quot;:&quot;6&quot;},&quot;uris&quot;:[&quot;http://www.mendeley.com/documents/?uuid=089ee97b-0b80-3d7a-8c71-cbd5749150d2&quot;],&quot;isTemporary&quot;:false,&quot;legacyDesktopId&quot;:&quot;089ee97b-0b80-3d7a-8c71-cbd5749150d2&quot;}],&quot;properties&quot;:{&quot;noteIndex&quot;:0},&quot;isEdited&quot;:false,&quot;manualOverride&quot;:{&quot;citeprocText&quot;:&quot;[2,3]&quot;,&quot;isManuallyOverridden&quot;:false,&quot;manualOverrideText&quot;:&quot;&quot;},&quot;citationTag&quot;:&quot;MENDELEY_CITATION_v3_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&quot;},{&quot;citationID&quot;:&quot;MENDELEY_CITATION_3f38076f-fa7e-4685-807c-7c49a3ca37c8&quot;,&quot;citationItems&quot;:[{&quot;id&quot;:&quot;fe158283-72db-58b5-8d24-857116d45553&quot;,&quot;itemData&quot;:{&quot;ISBN&quot;:&quot;0821369334&quot;,&quot;author&quot;:[{&quot;dropping-particle&quot;:&quot;&quot;,&quot;family&quot;:&quot;O'Donnell&quot;,&quot;given&quot;:&quot;Owen&quot;,&quot;non-dropping-particle&quot;:&quot;&quot;,&quot;parse-names&quot;:false,&quot;suffix&quot;:&quot;&quot;},{&quot;dropping-particle&quot;:&quot;&quot;,&quot;family&quot;:&quot;Doorslaer&quot;,&quot;given&quot;:&quot;Eddy&quot;,&quot;non-dropping-particle&quot;:&quot;Van&quot;,&quot;parse-names&quot;:false,&quot;suffix&quot;:&quot;&quot;},{&quot;dropping-particle&quot;:&quot;&quot;,&quot;family&quot;:&quot;Wagstaff&quot;,&quot;given&quot;:&quot;Adam&quot;,&quot;non-dropping-particle&quot;:&quot;&quot;,&quot;parse-names&quot;:false,&quot;suffix&quot;:&quot;&quot;},{&quot;dropping-particle&quot;:&quot;&quot;,&quot;family&quot;:&quot;Lindelow&quot;,&quot;given&quot;:&quot;Magnus&quot;,&quot;non-dropping-particle&quot;:&quot;&quot;,&quot;parse-names&quot;:false,&quot;suffix&quot;:&quot;&quot;}],&quot;id&quot;:&quot;fe158283-72db-58b5-8d24-857116d45553&quot;,&quot;issued&quot;:{&quot;date-parts&quot;:[[&quot;2008&quot;]]},&quot;publisher&quot;:&quot;The World Bank&quot;,&quot;title&quot;:&quot;Analyzing health equity using household survey data: A guide to techniques and their implementation&quot;,&quot;type&quot;:&quot;book&quot;},&quot;uris&quot;:[&quot;http://www.mendeley.com/documents/?uuid=117e6511-8e8e-4709-b0ac-5ef5ea5b529e&quot;],&quot;isTemporary&quot;:false,&quot;legacyDesktopId&quot;:&quot;117e6511-8e8e-4709-b0ac-5ef5ea5b529e&quot;}],&quot;properties&quot;:{&quot;noteIndex&quot;:0},&quot;isEdited&quot;:false,&quot;manualOverride&quot;:{&quot;citeprocText&quot;:&quot;[4]&quot;,&quot;isManuallyOverridden&quot;:false,&quot;manualOverrideText&quot;:&quot;&quot;},&quot;citationTag&quot;:&quot;MENDELEY_CITATION_v3_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&quot;},{&quot;citationID&quot;:&quot;MENDELEY_CITATION_e0ec7c90-b514-44c5-b5c9-85335556dd92&quot;,&quot;citationItems&quot;:[{&quot;id&quot;:&quot;09e899e0-7268-52bb-a4f4-1503f626148c&quot;,&quot;itemData&quot;:{&quot;DOI&quot;:&quot;10.1093/pan/mpg001&quot;,&quot;ISSN&quot;:&quot;1047-1987&quot;,&quot;abstract&quot;:&quot;This article provides a new maximum-likelihood estimator for selection models with dichotomous dependent variables when identical factors affect the selection equation and the equation of interest. Such situations arise naturally in game-theoretic models where selection is typically nonrandom and identical explanatory variables influence all decisions under investigation. When identical explanatory variables influence selection and a subsequent outcome of interest, the commonly used Heckman-type estimators identify from distributional assumptions about the residuals alone. When its own identifying assumption is reasonable, the new estimator allows the researcher to avoid the painful choice between identifying from distributional assumptions alone and adding a theoretically unjustified variable to the selection equation in a mistaken attempt to “boost” identification. The article uses Monte Carlo methods to compare the small-sample properties of the estimator with those of the Heckman-type estimator and ordinary probit.&quot;,&quot;author&quot;:[{&quot;dropping-particle&quot;:&quot;&quot;,&quot;family&quot;:&quot;Sartori&quot;,&quot;given&quot;:&quot;Anne E&quot;,&quot;non-dropping-particle&quot;:&quot;&quot;,&quot;parse-names&quot;:false,&quot;suffix&quot;:&quot;&quot;}],&quot;container-title&quot;:&quot;Political Analysis&quot;,&quot;edition&quot;:&quot;2017/01/04&quot;,&quot;id&quot;:&quot;09e899e0-7268-52bb-a4f4-1503f626148c&quot;,&quot;issue&quot;:&quot;2&quot;,&quot;issued&quot;:{&quot;date-parts&quot;:[[&quot;2003&quot;]]},&quot;page&quot;:&quot;111-138&quot;,&quot;publisher&quot;:&quot;Cambridge University Press&quot;,&quot;title&quot;:&quot;An Estimator for Some Binary-Outcome Selection Models Without Exclusion Restrictions&quot;,&quot;type&quot;:&quot;article-journal&quot;,&quot;volume&quot;:&quot;11&quot;},&quot;uris&quot;:[&quot;http://www.mendeley.com/documents/?uuid=f9d52478-73aa-4db8-ba2f-9d742f3e5aeb&quot;],&quot;isTemporary&quot;:false,&quot;legacyDesktopId&quot;:&quot;f9d52478-73aa-4db8-ba2f-9d742f3e5aeb&quot;}],&quot;properties&quot;:{&quot;noteIndex&quot;:0},&quot;isEdited&quot;:false,&quot;manualOverride&quot;:{&quot;citeprocText&quot;:&quot;[5]&quot;,&quot;isManuallyOverridden&quot;:false,&quot;manualOverrideText&quot;:&quot;&quot;},&quot;citationTag&quot;:&quot;MENDELEY_CITATION_v3_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&quot;}]"/>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5813F-42DA-4F4B-93E0-090904373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1421</Words>
  <Characters>8163</Characters>
  <Application>Microsoft Office Word</Application>
  <DocSecurity>0</DocSecurity>
  <Lines>131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迪 杨</dc:creator>
  <cp:keywords/>
  <dc:description/>
  <cp:lastModifiedBy>迪 杨</cp:lastModifiedBy>
  <cp:revision>6</cp:revision>
  <dcterms:created xsi:type="dcterms:W3CDTF">2024-04-08T14:20:00Z</dcterms:created>
  <dcterms:modified xsi:type="dcterms:W3CDTF">2024-06-21T14:41:00Z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5bb2c51f-56e6-3a7b-bcf7-a478f9b47717</vt:lpwstr>
  </property>
  <property fmtid="{D5CDD505-2E9C-101B-9397-08002B2CF9AE}" pid="24" name="Mendeley Citation Style_1">
    <vt:lpwstr>http://www.zotero.org/styles/the-lancet</vt:lpwstr>
  </property>
</Properties>
</file>