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B07BC" w14:textId="6CF5276A" w:rsidR="00BB195E" w:rsidRPr="00596B09" w:rsidRDefault="00BB195E" w:rsidP="00BB195E">
      <w:pPr>
        <w:spacing w:after="180"/>
        <w:rPr>
          <w:rFonts w:ascii="Arial Narrow" w:hAnsi="Arial Narrow"/>
          <w:color w:val="0A2F41" w:themeColor="accent1" w:themeShade="80"/>
          <w:sz w:val="16"/>
          <w:szCs w:val="16"/>
          <w:lang w:val="en-US"/>
        </w:rPr>
      </w:pPr>
      <w:r w:rsidRPr="00A06088">
        <w:rPr>
          <w:rFonts w:ascii="Arial Narrow" w:hAnsi="Arial Narrow"/>
          <w:color w:val="0A2F41" w:themeColor="accent1" w:themeShade="80"/>
          <w:lang w:val="en-US"/>
        </w:rPr>
        <w:t xml:space="preserve">Appendix </w:t>
      </w:r>
      <w:r w:rsidR="00A1641B">
        <w:rPr>
          <w:rFonts w:ascii="Arial Narrow" w:hAnsi="Arial Narrow"/>
          <w:color w:val="0A2F41" w:themeColor="accent1" w:themeShade="80"/>
          <w:lang w:val="en-US"/>
        </w:rPr>
        <w:t>4</w:t>
      </w:r>
      <w:r w:rsidRPr="00A06088">
        <w:rPr>
          <w:rFonts w:ascii="Arial Narrow" w:hAnsi="Arial Narrow"/>
          <w:color w:val="0A2F41" w:themeColor="accent1" w:themeShade="80"/>
          <w:lang w:val="en-US"/>
        </w:rPr>
        <w:t>.</w:t>
      </w:r>
      <w:r>
        <w:rPr>
          <w:rFonts w:ascii="Arial Narrow" w:hAnsi="Arial Narrow"/>
          <w:b/>
          <w:bCs/>
          <w:color w:val="0A2F41" w:themeColor="accent1" w:themeShade="80"/>
          <w:lang w:val="en-US"/>
        </w:rPr>
        <w:t xml:space="preserve"> </w:t>
      </w:r>
      <w:r w:rsidRPr="00596B09">
        <w:rPr>
          <w:rFonts w:ascii="Arial Narrow" w:hAnsi="Arial Narrow"/>
          <w:b/>
          <w:bCs/>
          <w:color w:val="0A2F41" w:themeColor="accent1" w:themeShade="80"/>
          <w:lang w:val="en-US"/>
        </w:rPr>
        <w:t>Total (percentage) direct and indirect maternal deaths by cause of death categories for the periods 2000-2006, 2007-2012, 2013-2018, 2019, and 2020-2022 in Mexico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209"/>
        <w:gridCol w:w="1091"/>
        <w:gridCol w:w="1091"/>
        <w:gridCol w:w="1091"/>
        <w:gridCol w:w="999"/>
        <w:gridCol w:w="1091"/>
      </w:tblGrid>
      <w:tr w:rsidR="00BB195E" w:rsidRPr="00DF08ED" w14:paraId="7B1FE209" w14:textId="77777777" w:rsidTr="00A8522E">
        <w:trPr>
          <w:cantSplit/>
          <w:trHeight w:hRule="exact" w:val="198"/>
        </w:trPr>
        <w:tc>
          <w:tcPr>
            <w:tcW w:w="302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248FDE" w14:textId="77777777" w:rsidR="00BB195E" w:rsidRDefault="00BB195E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Cause of direct and indirect maternal deaths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FDF97" w14:textId="77777777" w:rsidR="00BB195E" w:rsidRDefault="00BB195E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2000-2006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15036" w14:textId="77777777" w:rsidR="00BB195E" w:rsidRDefault="00BB195E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2007-2012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F15D6" w14:textId="77777777" w:rsidR="00BB195E" w:rsidRDefault="00BB195E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2013-2018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59400" w14:textId="77777777" w:rsidR="00BB195E" w:rsidRDefault="00BB195E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B94FF" w14:textId="77777777" w:rsidR="00BB195E" w:rsidRDefault="00BB195E" w:rsidP="00A8522E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2020-2022</w:t>
            </w:r>
          </w:p>
        </w:tc>
      </w:tr>
      <w:tr w:rsidR="00BB195E" w:rsidRPr="00DF08ED" w14:paraId="6799C766" w14:textId="77777777" w:rsidTr="00A8522E">
        <w:trPr>
          <w:cantSplit/>
          <w:trHeight w:hRule="exact" w:val="198"/>
        </w:trPr>
        <w:tc>
          <w:tcPr>
            <w:tcW w:w="3024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12F6696" w14:textId="77777777" w:rsidR="00BB195E" w:rsidRDefault="00BB195E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  <w:lang w:val="es-419"/>
              </w:rPr>
              <w:t xml:space="preserve">A. </w:t>
            </w:r>
            <w:r w:rsidRPr="00DF08ED">
              <w:rPr>
                <w:rFonts w:ascii="Arial Narrow" w:hAnsi="Arial Narrow"/>
                <w:color w:val="000000"/>
                <w:sz w:val="18"/>
                <w:szCs w:val="18"/>
                <w:u w:val="single"/>
                <w:lang w:val="es-419"/>
              </w:rPr>
              <w:t>Direct maternal deaths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27F50F2" w14:textId="77777777" w:rsidR="00BB195E" w:rsidRPr="00DF08ED" w:rsidRDefault="00BB195E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951468E" w14:textId="77777777" w:rsidR="00BB195E" w:rsidRPr="00DF08ED" w:rsidRDefault="00BB195E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E0C8BFA" w14:textId="77777777" w:rsidR="00BB195E" w:rsidRPr="00DF08ED" w:rsidRDefault="00BB195E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262E038" w14:textId="77777777" w:rsidR="00BB195E" w:rsidRPr="00DF08ED" w:rsidRDefault="00BB195E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6409B7C" w14:textId="77777777" w:rsidR="00BB195E" w:rsidRPr="00DF08ED" w:rsidRDefault="00BB195E" w:rsidP="00A8522E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B195E" w:rsidRPr="00DF08ED" w14:paraId="57B8E776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11838EB7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Ectopic pregnancy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F06C33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201 (2.3)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17C12C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174 (2.77)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FE981F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203 (3.43)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4C2B852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21 (2.41)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C9FC0E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93 (2.7)</w:t>
            </w:r>
          </w:p>
        </w:tc>
      </w:tr>
      <w:tr w:rsidR="00BB195E" w:rsidRPr="00DF08ED" w14:paraId="781A4DBB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6B948FE0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Fetal distress and other complications of pregnancy or birth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D6087CD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142 (1.62)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B468E0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130 (2.07)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CC3721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187 (3.16)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0FDBEF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29 (3.32)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194E4C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92 (2.67)</w:t>
            </w:r>
          </w:p>
        </w:tc>
      </w:tr>
      <w:tr w:rsidR="00BB195E" w:rsidRPr="00DF08ED" w14:paraId="6912B640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2425073B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Hydatidiform mole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B93257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31 (0.35)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712426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17 (0.27)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28ACF1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12 (0.20)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236DB5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D88EDA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 (0.08)</w:t>
            </w:r>
          </w:p>
        </w:tc>
      </w:tr>
      <w:tr w:rsidR="00BB195E" w:rsidRPr="00DF08ED" w14:paraId="2EAA2C3D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0DE69C21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Late and sequelae maternal death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3006086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180 (2.06)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083D9E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289 (4.6)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D4B825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742 (12.5)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54D3C3AE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143 (16.4)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B06CB1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414 (12)</w:t>
            </w:r>
          </w:p>
        </w:tc>
      </w:tr>
      <w:tr w:rsidR="00BB195E" w:rsidRPr="00DF08ED" w14:paraId="105869C0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516FF5CD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 death of unspecified cause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F35AAE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18 (0.20)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8EAACF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16 (0.25)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DFB923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23 (0.38)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77264C0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(0.115)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33FC43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12 (0.34)</w:t>
            </w:r>
          </w:p>
        </w:tc>
      </w:tr>
      <w:tr w:rsidR="00BB195E" w:rsidRPr="00DF08ED" w14:paraId="0E2E95F0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2ADD9B74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 embolism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2A18D8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238 (2.72)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ABF4C7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175 (2.78)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7E50B3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234 (3.95)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28ECB166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34 (3.89)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B5E5D5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99 (2.88)</w:t>
            </w:r>
          </w:p>
        </w:tc>
      </w:tr>
      <w:tr w:rsidR="00BB195E" w:rsidRPr="00DF08ED" w14:paraId="37039184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2C3AE3CB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Obstetrical tetanus, complications predominantly related to the peurperium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A41A0C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251 (2.87)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2C2282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126 (2)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D8AE73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74 (1.25)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74D4DF7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11 (1.26)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58D410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22 (0.63)</w:t>
            </w:r>
          </w:p>
        </w:tc>
      </w:tr>
      <w:tr w:rsidR="00BB195E" w:rsidRPr="00DF08ED" w14:paraId="2B31BEAB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1EF239BD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Oedema, proteinuria and hypertensive disorders in pregnancy, childbirth and the puerperium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D9DD7C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2624 (30)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B6B0DF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1411 (22.4)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504549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1017 (17.2)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622DE8BD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141 (16.2)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6468A3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391 (11.4)</w:t>
            </w:r>
          </w:p>
        </w:tc>
      </w:tr>
      <w:tr w:rsidR="00BB195E" w:rsidRPr="00DF08ED" w14:paraId="7C653A29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2E6C79AB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complications during the puerperium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2845CE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106 (1.21)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AECE43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59 (0.93)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CFB9A5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48 (0.81)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0B5E158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 (0.80)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36D1FA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19 (0.55)</w:t>
            </w:r>
          </w:p>
        </w:tc>
      </w:tr>
      <w:tr w:rsidR="00BB195E" w:rsidRPr="00DF08ED" w14:paraId="413B9513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527542EF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complications of pregnancy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795B76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287 (3.28)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5A97F1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246 (3.91)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27DC10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224 (3.79)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7D62959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26 (2.98)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A1275B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79 (2.29)</w:t>
            </w:r>
          </w:p>
        </w:tc>
      </w:tr>
      <w:tr w:rsidR="00BB195E" w:rsidRPr="00DF08ED" w14:paraId="4869B3F9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25D2C356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maternal diseases classifiable elsewhere but complicating pregnancy, childbirth and the puerperium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19C6E0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1164 (13.3)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9357D0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1459 (23.2)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40931E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1285 (21.7)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4FCC610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181 (20.7)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EB2476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1120 (32.5)</w:t>
            </w:r>
          </w:p>
        </w:tc>
      </w:tr>
      <w:tr w:rsidR="00BB195E" w:rsidRPr="00DF08ED" w14:paraId="6A5EB717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1A2A3FFC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maternal disorders predominantly related to pregnancy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1E568EE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70 (0.79)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8F7701E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54 (0.85)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794F9D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45 (0.76)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7941061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6 (0.68)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E92A20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17 (0.49)</w:t>
            </w:r>
          </w:p>
        </w:tc>
      </w:tr>
      <w:tr w:rsidR="00BB195E" w:rsidRPr="00DF08ED" w14:paraId="5AA45839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4EA2D14F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pregnancy with abortive outcome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744A96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323 (3.69)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022B46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239 (3.8)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E6E7AF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194 (3.28)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7F6F9F5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31 (3.55)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8406D0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79 (2.29)</w:t>
            </w:r>
          </w:p>
        </w:tc>
      </w:tr>
      <w:tr w:rsidR="00BB195E" w:rsidRPr="00DF08ED" w14:paraId="26F27610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6DD96E14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Postpartum haemorrhage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960DA4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1253 (14.3)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3A25D3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874 (13.9)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6DEB9C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484 (8.18)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498A0D5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59 (6.76)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02E9AB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198 (5.75)</w:t>
            </w:r>
          </w:p>
        </w:tc>
      </w:tr>
      <w:tr w:rsidR="00BB195E" w:rsidRPr="00DF08ED" w14:paraId="30A4B2D9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3EA808E6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Premature separation of placenta and other haemorrhage of pregnancy or birth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F6A252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485 (5.54)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6208C4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305 (4.85)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9B27FB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179 (3.02)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6FD9ABD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22 (2.52)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CA1A78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56 (1.63)</w:t>
            </w:r>
          </w:p>
        </w:tc>
      </w:tr>
      <w:tr w:rsidR="00BB195E" w:rsidRPr="00DF08ED" w14:paraId="4EBAEC8A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396DE947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Prolonged pregnancy, other complications of labor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89B165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833 (9.51)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0B507BD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356 (5.66)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BF6820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245 (4.14)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7AE6178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34 (3.89)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820D5E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88 (2.56)</w:t>
            </w:r>
          </w:p>
        </w:tc>
      </w:tr>
      <w:tr w:rsidR="00BB195E" w:rsidRPr="00797FC0" w14:paraId="59F2FE63" w14:textId="77777777" w:rsidTr="00A8522E">
        <w:trPr>
          <w:cantSplit/>
          <w:trHeight w:hRule="exact" w:val="198"/>
        </w:trPr>
        <w:tc>
          <w:tcPr>
            <w:tcW w:w="302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113A01" w14:textId="77777777" w:rsidR="00BB195E" w:rsidRDefault="00BB195E" w:rsidP="00A8522E">
            <w:pPr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es-419"/>
              </w:rPr>
              <w:t xml:space="preserve">        Percentage of direct deaths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EB2A54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94%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C3BCFE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94%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364C5F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88%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1C81CD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85%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AC4C2B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81%</w:t>
            </w:r>
          </w:p>
        </w:tc>
      </w:tr>
      <w:tr w:rsidR="00BB195E" w:rsidRPr="00DF08ED" w14:paraId="0A07468F" w14:textId="77777777" w:rsidTr="00A8522E">
        <w:trPr>
          <w:cantSplit/>
          <w:trHeight w:hRule="exact" w:val="28"/>
        </w:trPr>
        <w:tc>
          <w:tcPr>
            <w:tcW w:w="302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A1603F7" w14:textId="77777777" w:rsidR="00BB195E" w:rsidRPr="00DF08ED" w:rsidRDefault="00BB195E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9A2F911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C39CEF4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0C52EF2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A6DE9E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B73209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B195E" w:rsidRPr="00DF08ED" w14:paraId="1133D604" w14:textId="77777777" w:rsidTr="00A8522E">
        <w:trPr>
          <w:cantSplit/>
          <w:trHeight w:hRule="exact" w:val="198"/>
        </w:trPr>
        <w:tc>
          <w:tcPr>
            <w:tcW w:w="3024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42A93C5" w14:textId="77777777" w:rsidR="00BB195E" w:rsidRDefault="00BB195E" w:rsidP="00A8522E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</w:rPr>
            </w:pPr>
            <w:r w:rsidRPr="00DF08ED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u w:val="single"/>
                <w:lang w:val="es-419"/>
              </w:rPr>
              <w:t>B.</w:t>
            </w:r>
            <w:r w:rsidRPr="00DF08ED">
              <w:rPr>
                <w:rFonts w:ascii="Arial Narrow" w:hAnsi="Arial Narrow"/>
                <w:color w:val="000000"/>
                <w:sz w:val="18"/>
                <w:szCs w:val="18"/>
                <w:u w:val="single"/>
                <w:lang w:val="es-419"/>
              </w:rPr>
              <w:t xml:space="preserve"> Indirect maternal deaths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073D2C6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669A01C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D305C7D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535918A0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C129D93" w14:textId="77777777" w:rsidR="00BB195E" w:rsidRPr="00DF08ED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BB195E" w:rsidRPr="00DF08ED" w14:paraId="2AF32542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0CA6011E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Behavioural syndromes associated with physiological disturbances and physical factors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7858F1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9CEA81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81257B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02BAC7A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(0.11)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28A9E9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</w:tr>
      <w:tr w:rsidR="00BB195E" w:rsidRPr="00DF08ED" w14:paraId="7F6373F4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4CE91F01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COVID-19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65754E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F60550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DAB52E6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20981B8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665831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58 (1.68)</w:t>
            </w:r>
          </w:p>
        </w:tc>
      </w:tr>
      <w:tr w:rsidR="00BB195E" w:rsidRPr="00DF08ED" w14:paraId="7742CBD4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25644CFB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Congenital malformations, deformations and chromosomal abnormalities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3E9FE0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24 (0.27)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2C3C31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B1F193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 (0.06)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731691F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3E9B14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 (0.14)</w:t>
            </w:r>
          </w:p>
        </w:tc>
      </w:tr>
      <w:tr w:rsidR="00BB195E" w:rsidRPr="00DF08ED" w14:paraId="43BA1F47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58927874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blood and blood-forming organs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623DE7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 (0.05)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91A83C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93D34A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6 (0.10)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3C1953E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(0.11)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2B4234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6 (0.17)</w:t>
            </w:r>
          </w:p>
        </w:tc>
      </w:tr>
      <w:tr w:rsidR="00BB195E" w:rsidRPr="00DF08ED" w14:paraId="6D8DCD64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564EC161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circulatory system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65D973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64 (0.73)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F7F88F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AB6B0C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22 (0.37)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DA92AC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9 (1.03)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DDB9FC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46 (1.34)</w:t>
            </w:r>
          </w:p>
        </w:tc>
      </w:tr>
      <w:tr w:rsidR="00BB195E" w:rsidRPr="00DF08ED" w14:paraId="23F964E4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740D5A67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digestive system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F5222F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24 (0.27)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D14602E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1BAA79E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16 (0.27)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0BD294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8 (0.91)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3E42F5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37 (1.07)</w:t>
            </w:r>
          </w:p>
        </w:tc>
      </w:tr>
      <w:tr w:rsidR="00BB195E" w:rsidRPr="00DF08ED" w14:paraId="418A45B5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31A04676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genitourinary system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CBBE937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 (0.08)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FEEE6B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B156DD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 (0.05)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5022D07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 (0.45)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2A3D0B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26 (0.75)</w:t>
            </w:r>
          </w:p>
        </w:tc>
      </w:tr>
      <w:tr w:rsidR="00BB195E" w:rsidRPr="00DF08ED" w14:paraId="03368A1E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70A1130F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musculoskeletal system and connective tissue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E650C46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8 (0.09)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594D3F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993776E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(0.01)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959774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 (0.34)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840A63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 (0.14)</w:t>
            </w:r>
          </w:p>
        </w:tc>
      </w:tr>
      <w:tr w:rsidR="00BB195E" w:rsidRPr="00DF08ED" w14:paraId="637DA8F0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5E5D6276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nervous system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F97203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18 (0.20)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3BC86B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2883FE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 (0.08)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007F6E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(0.11)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C96E28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17 (0.49)</w:t>
            </w:r>
          </w:p>
        </w:tc>
      </w:tr>
      <w:tr w:rsidR="00BB195E" w:rsidRPr="00DF08ED" w14:paraId="6DB86FE1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66C6F319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Diseases of the respiratory system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969063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25 (0.28)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D20105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21EF75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12 (0.20)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5904F2B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6 (0.68)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DDF61D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26 (0.75)</w:t>
            </w:r>
          </w:p>
        </w:tc>
      </w:tr>
      <w:tr w:rsidR="00BB195E" w:rsidRPr="00DF08ED" w14:paraId="2B9CB016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57A90C97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Endocrine, nutritional and metabolic diseases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B54CE7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12 (0.13)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F810A9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47F08A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27 (0.45)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387C06C6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6 (0.68)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91CA96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46 (1.34)</w:t>
            </w:r>
          </w:p>
        </w:tc>
      </w:tr>
      <w:tr w:rsidR="00BB195E" w:rsidRPr="00DF08ED" w14:paraId="192F2B39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351C0EA4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External causes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06A6A7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207 (2.36)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D833C9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197 (3.13)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EB8FD4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498 (8.42)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69DA112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73 (8.36)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DD1802D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289 (8.39)</w:t>
            </w:r>
          </w:p>
        </w:tc>
      </w:tr>
      <w:tr w:rsidR="00BB195E" w:rsidRPr="00DF08ED" w14:paraId="3358C444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4199DA56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General symptoms and signs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659EAA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28C31E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7645DD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406FD30D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D00661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 (0.08)</w:t>
            </w:r>
          </w:p>
        </w:tc>
      </w:tr>
      <w:tr w:rsidR="00BB195E" w:rsidRPr="00DF08ED" w14:paraId="0BDFAE95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6F6E249D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Ill-defined and unknown causes of mortality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F7F98E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15 (0.17)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D1A28D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F9DA63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(0.01)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DFF1561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DE3EBF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 (0.08)</w:t>
            </w:r>
          </w:p>
        </w:tc>
      </w:tr>
      <w:tr w:rsidR="00BB195E" w:rsidRPr="00DF08ED" w14:paraId="13497A4F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1F3953C9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In situ neoplasms (carcinoma)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5500EB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B50CA36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56A43B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(0.01)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58B4DC5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D7597B3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(0.02)</w:t>
            </w:r>
          </w:p>
        </w:tc>
      </w:tr>
      <w:tr w:rsidR="00BB195E" w:rsidRPr="00DF08ED" w14:paraId="72E5E871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04E5D8BB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Infections of the skin and subcutaneous tissue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0B841F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7C79E3C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000E472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3ECC82ED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46C79D2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(0.02)</w:t>
            </w:r>
          </w:p>
        </w:tc>
      </w:tr>
      <w:tr w:rsidR="00BB195E" w:rsidRPr="00DF08ED" w14:paraId="151302B3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7913251E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Infectious and parasitic diseases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E83E9A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57 (0.65)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55A7B250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57 (0.90)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1D7090A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37 (0.62)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0269946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(0.11)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27702A49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19 (0.55)</w:t>
            </w:r>
          </w:p>
        </w:tc>
      </w:tr>
      <w:tr w:rsidR="00BB195E" w:rsidRPr="00DF08ED" w14:paraId="264CE14B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155B3EC8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Malignant neoplasms of lip, oral cavity and pharynx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68844982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604EBAD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5D2117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16F48588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DB36595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 (0.02)</w:t>
            </w:r>
          </w:p>
        </w:tc>
      </w:tr>
      <w:tr w:rsidR="00BB195E" w:rsidRPr="00DF08ED" w14:paraId="5E7FC425" w14:textId="77777777" w:rsidTr="00A8522E">
        <w:trPr>
          <w:cantSplit/>
          <w:trHeight w:hRule="exact" w:val="198"/>
        </w:trPr>
        <w:tc>
          <w:tcPr>
            <w:tcW w:w="3024" w:type="pct"/>
            <w:shd w:val="clear" w:color="000000" w:fill="FFFFFF"/>
            <w:vAlign w:val="center"/>
            <w:hideMark/>
          </w:tcPr>
          <w:p w14:paraId="6E6BBDC1" w14:textId="77777777" w:rsidR="00BB195E" w:rsidRDefault="00BB195E" w:rsidP="00A8522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Other malignant, benign and uncertain or unknown behavior neoplasms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65B8834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84 (0.95)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70850CB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105 (1.67)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B46339B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89 (1.5)</w:t>
            </w:r>
          </w:p>
        </w:tc>
        <w:tc>
          <w:tcPr>
            <w:tcW w:w="368" w:type="pct"/>
            <w:shd w:val="clear" w:color="000000" w:fill="FFFFFF"/>
            <w:noWrap/>
            <w:vAlign w:val="center"/>
            <w:hideMark/>
          </w:tcPr>
          <w:p w14:paraId="0F369ADA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14 (1.6)</w:t>
            </w:r>
          </w:p>
        </w:tc>
        <w:tc>
          <w:tcPr>
            <w:tcW w:w="402" w:type="pct"/>
            <w:shd w:val="clear" w:color="000000" w:fill="FFFFFF"/>
            <w:noWrap/>
            <w:vAlign w:val="center"/>
            <w:hideMark/>
          </w:tcPr>
          <w:p w14:paraId="3CDF52FF" w14:textId="77777777" w:rsidR="00BB195E" w:rsidRDefault="00BB195E" w:rsidP="00A8522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F08ED">
              <w:rPr>
                <w:rFonts w:ascii="Arial Narrow" w:hAnsi="Arial Narrow"/>
                <w:color w:val="000000"/>
                <w:sz w:val="18"/>
                <w:szCs w:val="18"/>
              </w:rPr>
              <w:t>72 (2.09)</w:t>
            </w:r>
          </w:p>
        </w:tc>
      </w:tr>
      <w:tr w:rsidR="00BB195E" w:rsidRPr="00797FC0" w14:paraId="7C37D48C" w14:textId="77777777" w:rsidTr="00A8522E">
        <w:trPr>
          <w:cantSplit/>
          <w:trHeight w:hRule="exact" w:val="198"/>
        </w:trPr>
        <w:tc>
          <w:tcPr>
            <w:tcW w:w="3024" w:type="pct"/>
            <w:shd w:val="clear" w:color="auto" w:fill="D9D9D9" w:themeFill="background1" w:themeFillShade="D9"/>
            <w:vAlign w:val="center"/>
            <w:hideMark/>
          </w:tcPr>
          <w:p w14:paraId="6694B287" w14:textId="77777777" w:rsidR="00BB195E" w:rsidRDefault="00BB195E" w:rsidP="00A8522E">
            <w:pPr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i/>
                <w:iCs/>
                <w:color w:val="000000"/>
                <w:sz w:val="18"/>
                <w:szCs w:val="18"/>
                <w:lang w:val="es-419"/>
              </w:rPr>
              <w:t xml:space="preserve">        Percentage of indirect deaths</w:t>
            </w:r>
          </w:p>
        </w:tc>
        <w:tc>
          <w:tcPr>
            <w:tcW w:w="402" w:type="pct"/>
            <w:shd w:val="clear" w:color="auto" w:fill="D9D9D9" w:themeFill="background1" w:themeFillShade="D9"/>
            <w:noWrap/>
            <w:vAlign w:val="center"/>
            <w:hideMark/>
          </w:tcPr>
          <w:p w14:paraId="7191E53E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402" w:type="pct"/>
            <w:shd w:val="clear" w:color="auto" w:fill="D9D9D9" w:themeFill="background1" w:themeFillShade="D9"/>
            <w:noWrap/>
            <w:vAlign w:val="center"/>
            <w:hideMark/>
          </w:tcPr>
          <w:p w14:paraId="05147390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402" w:type="pct"/>
            <w:shd w:val="clear" w:color="auto" w:fill="D9D9D9" w:themeFill="background1" w:themeFillShade="D9"/>
            <w:noWrap/>
            <w:vAlign w:val="center"/>
            <w:hideMark/>
          </w:tcPr>
          <w:p w14:paraId="7CA20E7C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12%</w:t>
            </w:r>
          </w:p>
        </w:tc>
        <w:tc>
          <w:tcPr>
            <w:tcW w:w="368" w:type="pct"/>
            <w:shd w:val="clear" w:color="auto" w:fill="D9D9D9" w:themeFill="background1" w:themeFillShade="D9"/>
            <w:noWrap/>
            <w:vAlign w:val="center"/>
            <w:hideMark/>
          </w:tcPr>
          <w:p w14:paraId="7012AD92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15%</w:t>
            </w:r>
          </w:p>
        </w:tc>
        <w:tc>
          <w:tcPr>
            <w:tcW w:w="402" w:type="pct"/>
            <w:shd w:val="clear" w:color="auto" w:fill="D9D9D9" w:themeFill="background1" w:themeFillShade="D9"/>
            <w:noWrap/>
            <w:vAlign w:val="center"/>
            <w:hideMark/>
          </w:tcPr>
          <w:p w14:paraId="1799A411" w14:textId="77777777" w:rsidR="00BB195E" w:rsidRDefault="00BB195E" w:rsidP="00A8522E">
            <w:pPr>
              <w:jc w:val="right"/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7FC0">
              <w:rPr>
                <w:rFonts w:ascii="Arial Narrow" w:hAnsi="Arial Narrow"/>
                <w:b/>
                <w:bCs/>
                <w:i/>
                <w:iCs/>
                <w:color w:val="000000"/>
                <w:sz w:val="18"/>
                <w:szCs w:val="18"/>
              </w:rPr>
              <w:t>19%</w:t>
            </w:r>
          </w:p>
        </w:tc>
      </w:tr>
    </w:tbl>
    <w:p w14:paraId="5DE7C7AB" w14:textId="04E1FDCB" w:rsidR="005D409A" w:rsidRDefault="00BB195E">
      <w:r w:rsidRPr="00D06B9A">
        <w:rPr>
          <w:rFonts w:ascii="Arial Narrow" w:hAnsi="Arial Narrow"/>
          <w:b/>
          <w:bCs/>
          <w:sz w:val="16"/>
          <w:szCs w:val="16"/>
          <w:lang w:val="en-US"/>
        </w:rPr>
        <w:t>Note:</w:t>
      </w:r>
      <w:r w:rsidRPr="00D06B9A">
        <w:rPr>
          <w:rFonts w:ascii="Arial Narrow" w:hAnsi="Arial Narrow"/>
          <w:sz w:val="16"/>
          <w:szCs w:val="16"/>
          <w:lang w:val="en-US"/>
        </w:rPr>
        <w:t xml:space="preserve"> </w:t>
      </w:r>
      <w:r w:rsidRPr="007B55F9">
        <w:rPr>
          <w:rFonts w:ascii="Arial Narrow" w:hAnsi="Arial Narrow"/>
          <w:sz w:val="18"/>
          <w:szCs w:val="18"/>
          <w:lang w:val="en-US"/>
        </w:rPr>
        <w:t xml:space="preserve">*External </w:t>
      </w:r>
      <w:r>
        <w:rPr>
          <w:rFonts w:ascii="Arial Narrow" w:hAnsi="Arial Narrow"/>
          <w:sz w:val="18"/>
          <w:szCs w:val="18"/>
          <w:lang w:val="en-US"/>
        </w:rPr>
        <w:t xml:space="preserve">causes </w:t>
      </w:r>
      <w:r w:rsidRPr="007B55F9">
        <w:rPr>
          <w:rFonts w:ascii="Arial Narrow" w:hAnsi="Arial Narrow"/>
          <w:sz w:val="18"/>
          <w:szCs w:val="18"/>
          <w:lang w:val="en-US"/>
        </w:rPr>
        <w:t>are classified under codes V01-Y98, which correspond to transport accidents ( V01 - V99), other external causes of accidental injury (W00 - X59), intentional self-harm (X60 - X84), assault (X85 - Y09), event of undetermined intent (Y10 - Y34), legal intervention and operations of war (Y35 - Y36), complications of medical and surgical care (Y40 - Y84), sequelae of external causes of morbidity and mortality (Y85 - Y89), supplementary factors related to causes of morbidity and mortality classified elsewhere (Y90 - Y98)</w:t>
      </w:r>
      <w:bookmarkStart w:id="0" w:name="S20W00_4"/>
      <w:bookmarkEnd w:id="0"/>
      <w:r>
        <w:rPr>
          <w:rFonts w:ascii="Arial Narrow" w:hAnsi="Arial Narrow"/>
          <w:sz w:val="18"/>
          <w:szCs w:val="18"/>
          <w:lang w:val="en-US"/>
        </w:rPr>
        <w:t>.</w:t>
      </w:r>
    </w:p>
    <w:sectPr w:rsidR="005D409A" w:rsidSect="00BB195E">
      <w:type w:val="continuous"/>
      <w:pgSz w:w="15840" w:h="12240" w:orient="landscape"/>
      <w:pgMar w:top="1134" w:right="1134" w:bottom="1134" w:left="1134" w:header="70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5E"/>
    <w:rsid w:val="001D13B1"/>
    <w:rsid w:val="003A7C7E"/>
    <w:rsid w:val="003B1936"/>
    <w:rsid w:val="00402D60"/>
    <w:rsid w:val="005D409A"/>
    <w:rsid w:val="006F3547"/>
    <w:rsid w:val="007E18E5"/>
    <w:rsid w:val="007E6599"/>
    <w:rsid w:val="00967156"/>
    <w:rsid w:val="00A1641B"/>
    <w:rsid w:val="00BB195E"/>
    <w:rsid w:val="00CB11C9"/>
    <w:rsid w:val="00D1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C23C8"/>
  <w15:chartTrackingRefBased/>
  <w15:docId w15:val="{6036496D-679C-492E-97A9-5DAD33AC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9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1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9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9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9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9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9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9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9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3648</Characters>
  <Application>Microsoft Office Word</Application>
  <DocSecurity>0</DocSecurity>
  <Lines>280</Lines>
  <Paragraphs>292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Serván-Mori</dc:creator>
  <cp:keywords/>
  <dc:description/>
  <cp:lastModifiedBy>Edson Serván-Mori PhD</cp:lastModifiedBy>
  <cp:revision>4</cp:revision>
  <dcterms:created xsi:type="dcterms:W3CDTF">2024-10-21T14:46:00Z</dcterms:created>
  <dcterms:modified xsi:type="dcterms:W3CDTF">2024-11-28T15:41:00Z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87be6799916c126ef0eab5fbd9aee343bf4959e816ed63a0cf4555da80cee37d</vt:lpwstr>
  </property>
</Properties>
</file>