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BCE" w:rsidRPr="008F7649" w:rsidRDefault="005E0BCE" w:rsidP="005E0BCE">
      <w:pPr>
        <w:pStyle w:val="Heading1"/>
        <w:rPr>
          <w:lang w:val="en-GB"/>
        </w:rPr>
      </w:pPr>
      <w:r w:rsidRPr="008F7649">
        <w:rPr>
          <w:lang w:val="en-GB"/>
        </w:rPr>
        <w:t>An</w:t>
      </w:r>
      <w:bookmarkStart w:id="0" w:name="_Tablas_y_figuras"/>
      <w:bookmarkEnd w:id="0"/>
      <w:r w:rsidRPr="008F7649">
        <w:rPr>
          <w:lang w:val="en-GB"/>
        </w:rPr>
        <w:t>nex</w:t>
      </w:r>
    </w:p>
    <w:p w:rsidR="005E0BCE" w:rsidRPr="008F7649" w:rsidRDefault="005E0BCE" w:rsidP="005E0BCE">
      <w:pPr>
        <w:pStyle w:val="Heading2"/>
        <w:rPr>
          <w:lang w:val="en-GB"/>
        </w:rPr>
      </w:pPr>
      <w:bookmarkStart w:id="1" w:name="_Toc167825684"/>
      <w:r w:rsidRPr="008F7649">
        <w:rPr>
          <w:lang w:val="en-GB"/>
        </w:rPr>
        <w:t>Tab</w:t>
      </w:r>
      <w:bookmarkEnd w:id="1"/>
      <w:r w:rsidRPr="008F7649">
        <w:rPr>
          <w:lang w:val="en-GB"/>
        </w:rPr>
        <w:t>les AX</w:t>
      </w:r>
    </w:p>
    <w:p w:rsidR="005E0BCE" w:rsidRPr="008F7649" w:rsidRDefault="005E0BCE" w:rsidP="005E0BCE">
      <w:pPr>
        <w:rPr>
          <w:lang w:val="en-GB"/>
        </w:rPr>
      </w:pPr>
      <w:r w:rsidRPr="008F7649">
        <w:rPr>
          <w:lang w:val="en-GB"/>
        </w:rPr>
        <w:t xml:space="preserve">Table </w:t>
      </w:r>
      <w:bookmarkStart w:id="2" w:name="_GoBack"/>
      <w:bookmarkEnd w:id="2"/>
      <w:r w:rsidRPr="008F7649">
        <w:rPr>
          <w:lang w:val="en-GB"/>
        </w:rPr>
        <w:t>A1. Excluded article and reason</w:t>
      </w: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59"/>
        <w:gridCol w:w="981"/>
      </w:tblGrid>
      <w:tr w:rsidR="005E0BCE" w:rsidRPr="008F7649" w:rsidTr="006541FD">
        <w:trPr>
          <w:trHeight w:val="303"/>
          <w:tblHeader/>
        </w:trPr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b/>
                <w:bCs/>
                <w:color w:val="000000"/>
                <w:szCs w:val="20"/>
                <w:lang w:val="en-GB" w:eastAsia="es-ES"/>
              </w:rPr>
              <w:t>Article title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b/>
                <w:bCs/>
                <w:color w:val="000000"/>
                <w:szCs w:val="20"/>
                <w:lang w:val="en-GB" w:eastAsia="es-ES"/>
              </w:rPr>
              <w:t>Reasons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A review of aging and disability policies for economic and social factors that create inequality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Barriers Faced by Older Adults in Seeking and Accessing Mental Health Care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3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An integrative review of potential enablers and barriers to accessing mental health services in Ghana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Are Services Inclusive? A Review of the Experiences of Older GSD Women in Accessing Health, Social and Aged Care Services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5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Barriers to older adults seeking sexual health advice and treatment: A scoping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3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Barriers to palliative and hospice care utilization in older adults with cancer: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Care Toward the End of Life in Older Populations and Its Implementation Facilitators and Barriers: A Scoping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Contextual Factors That Impact the Implementation of Patient Portals With a Focus on Older People in Acute Care Hospitals: Scoping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Delivery of telehealth nutrition and physical activity interventions to adults living in rural areas: a scoping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Determinants of emergency department visits by older adults: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Developing effective workforce training to support the long-term care of older adults: A review of reviews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Do the elderly have a voice? Advance care planning discussions with frail and older individuals: a systematic literature review and narrative synthesis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eHealth in Care Coordination for Older Adults Living at Home: Scoping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Enablers and Barriers of Accessing Health Care Services among Older Adults in South-East Asia: A Scoping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4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Equitable access to cancer services -: A review of barriers to quality care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2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Facilitators and barriers to autonomy: a systematic literature review for older adults with physical impairments, living in residential care facilities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Factors affecting oral and dental services` utilization among Elderly: a scoping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Factors associated with potentially inappropriate prescriptions and barriers to medicines optimisation among older adults in primary care settings: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lastRenderedPageBreak/>
              <w:t>Factors influencing older adults' participation in telehealth interventions for primary prevention and health promotion: A rapid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 xml:space="preserve">Factors influencing patient participation in medication </w:t>
            </w:r>
            <w:proofErr w:type="spellStart"/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counseling</w:t>
            </w:r>
            <w:proofErr w:type="spellEnd"/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 xml:space="preserve"> at the community pharmacy: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Factors influencing seasonal influenza vaccination behaviour among elderly people: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Factors that affect health information technology adoption by seniors: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Family participation in the care of older adult patients admitted to the intensive care unit: A scoping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Gaps in the Utilization of Community Health Services for the Elderly Population in Rural Areas of Mainland China: A Systematic Review Based on Cross-Sectional Investigations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4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Group-based nutrition interventions to promote healthy eating and mobility in community-dwelling older adults: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Growing old in China in socioeconomic and epidemiological context: systematic review of social care policy for older people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4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Health and Social Services Integration: A Review of Concepts and Models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2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Health needs of older populations affected by humanitarian crises in low- and middle-income countries: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Healthcare needs of older Arab migrants: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Homelike Models in Long Term Care: A Review of Clinical Effectiveness, Cost-Effectiveness, and Guidelines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Identifying and Managing Malnutrition, Frailty and Sarcopenia in the Community: A Narrative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3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Identifying and understanding the factors that influence the functioning of integrated healthcare systems in the NHS: a systematic literature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2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Implementation factors and their effect on e-Health service adoption in rural communities: a systematic literature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2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Integrated care for older populations and its implementation facilitators and barriers: A rapid scoping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Oral Health and Its Associated Factors Among Older Institutionalized Residents-A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73759A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es-ES"/>
              </w:rPr>
            </w:pPr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Oral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health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of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Brazilian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elderly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: a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systematic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review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of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epidemiologic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status and dental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care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access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; [A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saúde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bucal do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idoso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brasileiro: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revisão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sistemática sobre o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quadro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epidemiológico e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acesso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aos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serviços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de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saúde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bucal.]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2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Perspectives of older adults, caregivers, healthcare providers on frailty screening in primary care: a systematic review and qualitative meta-synthesis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lastRenderedPageBreak/>
              <w:t>Post-discharge consequences of protein-energy malnutrition, sarcopenia, and frailty in older adults admitted to rehabilitation: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Predictors of Discharge Destination from Acute Care in Patients with Traumatic Brain Injury: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2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Promoting food intake in older adults living in the community: a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Psychometric properties of home accessibility assessment tools: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3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Risk factors and protective factors associated with incident or increase of frailty among community-dwelling older adults: A systematic review of longitudinal studies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911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73759A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es-ES"/>
              </w:rPr>
            </w:pP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Sociodemographic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determinants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of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access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to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breast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cancer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screening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in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Mexico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: A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review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of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national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 xml:space="preserve"> </w:t>
            </w:r>
            <w:proofErr w:type="spellStart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surveys</w:t>
            </w:r>
            <w:proofErr w:type="spellEnd"/>
            <w:r w:rsidRPr="0073759A">
              <w:rPr>
                <w:rFonts w:eastAsia="Times New Roman" w:cs="Arial"/>
                <w:color w:val="000000"/>
                <w:szCs w:val="20"/>
                <w:lang w:eastAsia="es-ES"/>
              </w:rPr>
              <w:t>; [Determinantes sociodemográficos del acceso a la detección del cáncer de mama en México: Una revisión de las encuestas nacionales]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3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Systematic Review and Meta-study Synthesis of Qualitative Studies Evaluating Facilitators and Barriers to Participation in Colorectal Cancer Screening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2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The Quality Indicators of Long-Term Care Models that Promote Empowerment for Self-care: A Systematic Review Protocol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2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Therapy-based allied health delivery in residential aged care, trends, factors, and outcomes: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607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Translating policy principles into practice to improve health care access for adults with intellectual disabilities: A research review of the past decade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2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Use of Services by People Living Alone With Cognitive Impairment: A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1</w:t>
            </w:r>
          </w:p>
        </w:tc>
      </w:tr>
      <w:tr w:rsidR="005E0BCE" w:rsidRPr="008F7649" w:rsidTr="006541FD">
        <w:trPr>
          <w:trHeight w:val="303"/>
        </w:trPr>
        <w:tc>
          <w:tcPr>
            <w:tcW w:w="8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 xml:space="preserve">What moves patients to participate in </w:t>
            </w:r>
            <w:proofErr w:type="spellStart"/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prehabilitation</w:t>
            </w:r>
            <w:proofErr w:type="spellEnd"/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 xml:space="preserve"> before major surgery? A mixed methods systematic review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BCE" w:rsidRPr="008F7649" w:rsidRDefault="005E0BCE" w:rsidP="006541F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es-ES"/>
              </w:rPr>
            </w:pPr>
            <w:r w:rsidRPr="008F7649">
              <w:rPr>
                <w:rFonts w:eastAsia="Times New Roman" w:cs="Arial"/>
                <w:color w:val="000000"/>
                <w:szCs w:val="20"/>
                <w:lang w:val="en-GB" w:eastAsia="es-ES"/>
              </w:rPr>
              <w:t>2</w:t>
            </w:r>
          </w:p>
        </w:tc>
      </w:tr>
    </w:tbl>
    <w:p w:rsidR="005E0BCE" w:rsidRPr="008F7649" w:rsidRDefault="005E0BCE" w:rsidP="005E0BCE">
      <w:pPr>
        <w:rPr>
          <w:lang w:val="en-GB"/>
        </w:rPr>
      </w:pPr>
    </w:p>
    <w:p w:rsidR="00882233" w:rsidRDefault="00882233"/>
    <w:sectPr w:rsidR="00882233" w:rsidSect="009345AD">
      <w:footerReference w:type="default" r:id="rId5"/>
      <w:footerReference w:type="firs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148259"/>
      <w:docPartObj>
        <w:docPartGallery w:val="Page Numbers (Bottom of Page)"/>
        <w:docPartUnique/>
      </w:docPartObj>
    </w:sdtPr>
    <w:sdtEndPr/>
    <w:sdtContent>
      <w:p w:rsidR="001720E1" w:rsidRDefault="005E0BC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720E1" w:rsidRDefault="005E0B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6496528"/>
      <w:docPartObj>
        <w:docPartGallery w:val="Page Numbers (Bottom of Page)"/>
        <w:docPartUnique/>
      </w:docPartObj>
    </w:sdtPr>
    <w:sdtEndPr/>
    <w:sdtContent>
      <w:p w:rsidR="001720E1" w:rsidRDefault="005E0BC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720E1" w:rsidRDefault="005E0BC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BCE"/>
    <w:rsid w:val="0000420F"/>
    <w:rsid w:val="000111F6"/>
    <w:rsid w:val="00032AEB"/>
    <w:rsid w:val="000536A6"/>
    <w:rsid w:val="000571B3"/>
    <w:rsid w:val="00060C64"/>
    <w:rsid w:val="0008040C"/>
    <w:rsid w:val="000A1D5D"/>
    <w:rsid w:val="000A29FF"/>
    <w:rsid w:val="0011467F"/>
    <w:rsid w:val="00124200"/>
    <w:rsid w:val="00137ACC"/>
    <w:rsid w:val="0015730B"/>
    <w:rsid w:val="0017741A"/>
    <w:rsid w:val="001A6D66"/>
    <w:rsid w:val="001B38CC"/>
    <w:rsid w:val="001B46AD"/>
    <w:rsid w:val="001C6436"/>
    <w:rsid w:val="001D3EF3"/>
    <w:rsid w:val="001F5132"/>
    <w:rsid w:val="00225F02"/>
    <w:rsid w:val="00254ED6"/>
    <w:rsid w:val="002561FD"/>
    <w:rsid w:val="00260F8D"/>
    <w:rsid w:val="0026634B"/>
    <w:rsid w:val="00291C53"/>
    <w:rsid w:val="002B26E8"/>
    <w:rsid w:val="002F7586"/>
    <w:rsid w:val="00330C24"/>
    <w:rsid w:val="0039059A"/>
    <w:rsid w:val="0039146E"/>
    <w:rsid w:val="003C7540"/>
    <w:rsid w:val="00402392"/>
    <w:rsid w:val="00416F08"/>
    <w:rsid w:val="004178A6"/>
    <w:rsid w:val="00435E24"/>
    <w:rsid w:val="00437857"/>
    <w:rsid w:val="004466BC"/>
    <w:rsid w:val="00474165"/>
    <w:rsid w:val="004845FD"/>
    <w:rsid w:val="00492919"/>
    <w:rsid w:val="00495E1F"/>
    <w:rsid w:val="004968D0"/>
    <w:rsid w:val="004A06B9"/>
    <w:rsid w:val="004A18F6"/>
    <w:rsid w:val="004D2F59"/>
    <w:rsid w:val="004E5740"/>
    <w:rsid w:val="00502637"/>
    <w:rsid w:val="00541BB6"/>
    <w:rsid w:val="005804CB"/>
    <w:rsid w:val="00583DDF"/>
    <w:rsid w:val="00587C2F"/>
    <w:rsid w:val="005919CC"/>
    <w:rsid w:val="005A2CAA"/>
    <w:rsid w:val="005B7306"/>
    <w:rsid w:val="005D2183"/>
    <w:rsid w:val="005E0BCE"/>
    <w:rsid w:val="005E33AC"/>
    <w:rsid w:val="005E72ED"/>
    <w:rsid w:val="00623F9F"/>
    <w:rsid w:val="00630292"/>
    <w:rsid w:val="00635748"/>
    <w:rsid w:val="00683D13"/>
    <w:rsid w:val="00690815"/>
    <w:rsid w:val="00694112"/>
    <w:rsid w:val="0069786D"/>
    <w:rsid w:val="006B2E16"/>
    <w:rsid w:val="006C02D5"/>
    <w:rsid w:val="006D5E7C"/>
    <w:rsid w:val="006E27D3"/>
    <w:rsid w:val="00724AE5"/>
    <w:rsid w:val="0072680F"/>
    <w:rsid w:val="00760BFC"/>
    <w:rsid w:val="00770BBE"/>
    <w:rsid w:val="00781728"/>
    <w:rsid w:val="007B60F8"/>
    <w:rsid w:val="007E4EFF"/>
    <w:rsid w:val="00822F31"/>
    <w:rsid w:val="00833BCA"/>
    <w:rsid w:val="008365CD"/>
    <w:rsid w:val="00854C39"/>
    <w:rsid w:val="00880A74"/>
    <w:rsid w:val="00882233"/>
    <w:rsid w:val="00897D7B"/>
    <w:rsid w:val="008A225E"/>
    <w:rsid w:val="008A3984"/>
    <w:rsid w:val="008A414D"/>
    <w:rsid w:val="008B227D"/>
    <w:rsid w:val="008C1D0C"/>
    <w:rsid w:val="008C76F3"/>
    <w:rsid w:val="008D28E7"/>
    <w:rsid w:val="008E727C"/>
    <w:rsid w:val="009063B9"/>
    <w:rsid w:val="0090659F"/>
    <w:rsid w:val="00915E79"/>
    <w:rsid w:val="0094641F"/>
    <w:rsid w:val="00953C87"/>
    <w:rsid w:val="009620F9"/>
    <w:rsid w:val="009701C9"/>
    <w:rsid w:val="0098679C"/>
    <w:rsid w:val="009A5028"/>
    <w:rsid w:val="009D3086"/>
    <w:rsid w:val="009D4548"/>
    <w:rsid w:val="009E24FB"/>
    <w:rsid w:val="00A01238"/>
    <w:rsid w:val="00A1685F"/>
    <w:rsid w:val="00A35C38"/>
    <w:rsid w:val="00A87B79"/>
    <w:rsid w:val="00AA14B0"/>
    <w:rsid w:val="00AF0DC3"/>
    <w:rsid w:val="00B54D9C"/>
    <w:rsid w:val="00B56660"/>
    <w:rsid w:val="00B56918"/>
    <w:rsid w:val="00B75ACC"/>
    <w:rsid w:val="00B91723"/>
    <w:rsid w:val="00BA2B7C"/>
    <w:rsid w:val="00BB3F0C"/>
    <w:rsid w:val="00BC065A"/>
    <w:rsid w:val="00BE5AEC"/>
    <w:rsid w:val="00C05615"/>
    <w:rsid w:val="00C057B7"/>
    <w:rsid w:val="00C2106B"/>
    <w:rsid w:val="00C34134"/>
    <w:rsid w:val="00C4217D"/>
    <w:rsid w:val="00C45684"/>
    <w:rsid w:val="00C47721"/>
    <w:rsid w:val="00C74B3D"/>
    <w:rsid w:val="00CA207E"/>
    <w:rsid w:val="00D274CC"/>
    <w:rsid w:val="00D3596F"/>
    <w:rsid w:val="00D60C51"/>
    <w:rsid w:val="00D746C9"/>
    <w:rsid w:val="00D934AA"/>
    <w:rsid w:val="00DA1091"/>
    <w:rsid w:val="00DA7034"/>
    <w:rsid w:val="00DF1453"/>
    <w:rsid w:val="00E02F64"/>
    <w:rsid w:val="00E17776"/>
    <w:rsid w:val="00E868E0"/>
    <w:rsid w:val="00E90207"/>
    <w:rsid w:val="00EB36D2"/>
    <w:rsid w:val="00EC1092"/>
    <w:rsid w:val="00EC1267"/>
    <w:rsid w:val="00ED2BC5"/>
    <w:rsid w:val="00F049DB"/>
    <w:rsid w:val="00F23039"/>
    <w:rsid w:val="00F71A7A"/>
    <w:rsid w:val="00F743DB"/>
    <w:rsid w:val="00F76EE4"/>
    <w:rsid w:val="00F83C30"/>
    <w:rsid w:val="00FA440E"/>
    <w:rsid w:val="00FB74A0"/>
    <w:rsid w:val="00FD00CB"/>
    <w:rsid w:val="00FD5592"/>
    <w:rsid w:val="00FE0AD1"/>
    <w:rsid w:val="00FE7C45"/>
    <w:rsid w:val="00FE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BCE"/>
    <w:pPr>
      <w:spacing w:before="120" w:after="160" w:line="360" w:lineRule="auto"/>
      <w:jc w:val="both"/>
    </w:pPr>
    <w:rPr>
      <w:rFonts w:ascii="Times New Roman" w:hAnsi="Times New Roman"/>
      <w:sz w:val="24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0BCE"/>
    <w:pPr>
      <w:keepNext/>
      <w:keepLines/>
      <w:spacing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0BCE"/>
    <w:pPr>
      <w:keepNext/>
      <w:keepLines/>
      <w:spacing w:before="40" w:after="0"/>
      <w:outlineLvl w:val="1"/>
    </w:pPr>
    <w:rPr>
      <w:rFonts w:eastAsiaTheme="majorEastAsia" w:cstheme="majorBidi"/>
      <w:b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BCE"/>
    <w:rPr>
      <w:rFonts w:ascii="Times New Roman" w:eastAsiaTheme="majorEastAsia" w:hAnsi="Times New Roman" w:cstheme="majorBidi"/>
      <w:b/>
      <w:color w:val="000000" w:themeColor="text1"/>
      <w:sz w:val="24"/>
      <w:szCs w:val="32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5E0BCE"/>
    <w:rPr>
      <w:rFonts w:ascii="Times New Roman" w:eastAsiaTheme="majorEastAsia" w:hAnsi="Times New Roman" w:cstheme="majorBidi"/>
      <w:b/>
      <w:i/>
      <w:sz w:val="24"/>
      <w:szCs w:val="26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5E0B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BCE"/>
    <w:rPr>
      <w:rFonts w:ascii="Times New Roman" w:hAnsi="Times New Roman"/>
      <w:sz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BCE"/>
    <w:pPr>
      <w:spacing w:before="120" w:after="160" w:line="360" w:lineRule="auto"/>
      <w:jc w:val="both"/>
    </w:pPr>
    <w:rPr>
      <w:rFonts w:ascii="Times New Roman" w:hAnsi="Times New Roman"/>
      <w:sz w:val="24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0BCE"/>
    <w:pPr>
      <w:keepNext/>
      <w:keepLines/>
      <w:spacing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0BCE"/>
    <w:pPr>
      <w:keepNext/>
      <w:keepLines/>
      <w:spacing w:before="40" w:after="0"/>
      <w:outlineLvl w:val="1"/>
    </w:pPr>
    <w:rPr>
      <w:rFonts w:eastAsiaTheme="majorEastAsia" w:cstheme="majorBidi"/>
      <w:b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BCE"/>
    <w:rPr>
      <w:rFonts w:ascii="Times New Roman" w:eastAsiaTheme="majorEastAsia" w:hAnsi="Times New Roman" w:cstheme="majorBidi"/>
      <w:b/>
      <w:color w:val="000000" w:themeColor="text1"/>
      <w:sz w:val="24"/>
      <w:szCs w:val="32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5E0BCE"/>
    <w:rPr>
      <w:rFonts w:ascii="Times New Roman" w:eastAsiaTheme="majorEastAsia" w:hAnsi="Times New Roman" w:cstheme="majorBidi"/>
      <w:b/>
      <w:i/>
      <w:sz w:val="24"/>
      <w:szCs w:val="26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5E0B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BCE"/>
    <w:rPr>
      <w:rFonts w:ascii="Times New Roman" w:hAnsi="Times New Roman"/>
      <w:sz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Ann Sumagang Soledad</dc:creator>
  <cp:lastModifiedBy>Mary Ann Sumagang Soledad</cp:lastModifiedBy>
  <cp:revision>1</cp:revision>
  <dcterms:created xsi:type="dcterms:W3CDTF">2025-02-28T13:46:00Z</dcterms:created>
  <dcterms:modified xsi:type="dcterms:W3CDTF">2025-02-28T13:47:00Z</dcterms:modified>
</cp:coreProperties>
</file>