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61324" w14:textId="77777777" w:rsidR="0091044E" w:rsidRDefault="0091044E" w:rsidP="0091044E">
      <w:pPr>
        <w:rPr>
          <w:rFonts w:ascii="Times New Roman" w:hAnsi="Times New Roman" w:cs="Times New Roman"/>
        </w:rPr>
      </w:pPr>
    </w:p>
    <w:p w14:paraId="6D19459C" w14:textId="77777777" w:rsidR="0091044E" w:rsidRPr="00B440F9" w:rsidRDefault="0091044E" w:rsidP="0091044E">
      <w:pPr>
        <w:spacing w:line="480" w:lineRule="auto"/>
        <w:jc w:val="both"/>
        <w:rPr>
          <w:rFonts w:ascii="Times New Roman" w:hAnsi="Times New Roman" w:cs="Times New Roman"/>
          <w:b/>
          <w:bCs/>
          <w:color w:val="0070C0"/>
        </w:rPr>
      </w:pPr>
      <w:r w:rsidRPr="00B440F9">
        <w:rPr>
          <w:rFonts w:ascii="Times New Roman" w:hAnsi="Times New Roman" w:cs="Times New Roman"/>
          <w:b/>
          <w:bCs/>
          <w:color w:val="0070C0"/>
        </w:rPr>
        <w:t>Supplementary data</w:t>
      </w:r>
    </w:p>
    <w:p w14:paraId="7D90637C" w14:textId="77777777" w:rsidR="0091044E" w:rsidRPr="004B11BC" w:rsidRDefault="0091044E" w:rsidP="0091044E">
      <w:pPr>
        <w:spacing w:line="480" w:lineRule="auto"/>
        <w:jc w:val="both"/>
        <w:rPr>
          <w:rFonts w:ascii="Times New Roman" w:hAnsi="Times New Roman" w:cs="Times New Roman"/>
          <w:b/>
          <w:bCs/>
        </w:rPr>
      </w:pPr>
      <w:r w:rsidRPr="004B11BC">
        <w:rPr>
          <w:rFonts w:ascii="Times New Roman" w:hAnsi="Times New Roman" w:cs="Times New Roman"/>
          <w:b/>
          <w:bCs/>
        </w:rPr>
        <w:t>Table S.1 Description and operationalization of main outcomes</w:t>
      </w:r>
    </w:p>
    <w:tbl>
      <w:tblPr>
        <w:tblStyle w:val="TableGrid"/>
        <w:tblW w:w="0" w:type="auto"/>
        <w:tblLook w:val="04A0" w:firstRow="1" w:lastRow="0" w:firstColumn="1" w:lastColumn="0" w:noHBand="0" w:noVBand="1"/>
      </w:tblPr>
      <w:tblGrid>
        <w:gridCol w:w="2245"/>
        <w:gridCol w:w="3420"/>
        <w:gridCol w:w="3685"/>
      </w:tblGrid>
      <w:tr w:rsidR="0091044E" w:rsidRPr="004D4656" w14:paraId="660399D1" w14:textId="77777777" w:rsidTr="008405EC">
        <w:tc>
          <w:tcPr>
            <w:tcW w:w="2245" w:type="dxa"/>
          </w:tcPr>
          <w:p w14:paraId="274588F4" w14:textId="77777777" w:rsidR="0091044E" w:rsidRPr="004D4656" w:rsidRDefault="0091044E" w:rsidP="008405EC">
            <w:pPr>
              <w:jc w:val="both"/>
              <w:rPr>
                <w:rFonts w:ascii="Times New Roman" w:hAnsi="Times New Roman" w:cs="Times New Roman"/>
                <w:b/>
                <w:bCs/>
                <w:sz w:val="20"/>
                <w:szCs w:val="20"/>
              </w:rPr>
            </w:pPr>
            <w:r w:rsidRPr="004D4656">
              <w:rPr>
                <w:rFonts w:ascii="Times New Roman" w:hAnsi="Times New Roman" w:cs="Times New Roman"/>
                <w:b/>
                <w:bCs/>
                <w:sz w:val="20"/>
                <w:szCs w:val="20"/>
              </w:rPr>
              <w:t>Outcome</w:t>
            </w:r>
          </w:p>
        </w:tc>
        <w:tc>
          <w:tcPr>
            <w:tcW w:w="3420" w:type="dxa"/>
          </w:tcPr>
          <w:p w14:paraId="31A3CAB0" w14:textId="77777777" w:rsidR="0091044E" w:rsidRPr="004D4656" w:rsidRDefault="0091044E" w:rsidP="008405EC">
            <w:pPr>
              <w:jc w:val="both"/>
              <w:rPr>
                <w:rFonts w:ascii="Times New Roman" w:hAnsi="Times New Roman" w:cs="Times New Roman"/>
                <w:b/>
                <w:bCs/>
                <w:sz w:val="20"/>
                <w:szCs w:val="20"/>
              </w:rPr>
            </w:pPr>
            <w:r w:rsidRPr="004D4656">
              <w:rPr>
                <w:rFonts w:ascii="Times New Roman" w:hAnsi="Times New Roman" w:cs="Times New Roman"/>
                <w:b/>
                <w:bCs/>
                <w:sz w:val="20"/>
                <w:szCs w:val="20"/>
              </w:rPr>
              <w:t>Definition</w:t>
            </w:r>
          </w:p>
        </w:tc>
        <w:tc>
          <w:tcPr>
            <w:tcW w:w="3685" w:type="dxa"/>
          </w:tcPr>
          <w:p w14:paraId="73A397CD" w14:textId="77777777" w:rsidR="0091044E" w:rsidRPr="004D4656" w:rsidRDefault="0091044E" w:rsidP="008405EC">
            <w:pPr>
              <w:jc w:val="both"/>
              <w:rPr>
                <w:rFonts w:ascii="Times New Roman" w:hAnsi="Times New Roman" w:cs="Times New Roman"/>
                <w:b/>
                <w:bCs/>
                <w:sz w:val="20"/>
                <w:szCs w:val="20"/>
              </w:rPr>
            </w:pPr>
            <w:r w:rsidRPr="004D4656">
              <w:rPr>
                <w:rFonts w:ascii="Times New Roman" w:hAnsi="Times New Roman" w:cs="Times New Roman"/>
                <w:b/>
                <w:bCs/>
                <w:sz w:val="20"/>
                <w:szCs w:val="20"/>
              </w:rPr>
              <w:t>Operationalization</w:t>
            </w:r>
          </w:p>
        </w:tc>
      </w:tr>
      <w:tr w:rsidR="0091044E" w:rsidRPr="004D4656" w14:paraId="009BC67A" w14:textId="77777777" w:rsidTr="008405EC">
        <w:tc>
          <w:tcPr>
            <w:tcW w:w="2245" w:type="dxa"/>
          </w:tcPr>
          <w:p w14:paraId="3330DAFE" w14:textId="77777777" w:rsidR="0091044E" w:rsidRPr="004D4656" w:rsidRDefault="0091044E" w:rsidP="008405EC">
            <w:pPr>
              <w:rPr>
                <w:rFonts w:ascii="Times New Roman" w:hAnsi="Times New Roman" w:cs="Times New Roman"/>
                <w:sz w:val="20"/>
                <w:szCs w:val="20"/>
              </w:rPr>
            </w:pPr>
            <w:r w:rsidRPr="004D4656">
              <w:rPr>
                <w:rFonts w:ascii="Times New Roman" w:eastAsia="Calibri" w:hAnsi="Times New Roman" w:cs="Times New Roman"/>
                <w:sz w:val="20"/>
                <w:szCs w:val="20"/>
              </w:rPr>
              <w:t>Stunting</w:t>
            </w:r>
          </w:p>
        </w:tc>
        <w:tc>
          <w:tcPr>
            <w:tcW w:w="3420" w:type="dxa"/>
          </w:tcPr>
          <w:p w14:paraId="744E039C" w14:textId="77777777" w:rsidR="0091044E" w:rsidRPr="004D4656" w:rsidRDefault="0091044E" w:rsidP="008405EC">
            <w:pPr>
              <w:rPr>
                <w:rFonts w:ascii="Times New Roman" w:hAnsi="Times New Roman" w:cs="Times New Roman"/>
                <w:sz w:val="20"/>
                <w:szCs w:val="20"/>
              </w:rPr>
            </w:pPr>
            <w:r w:rsidRPr="004D4656">
              <w:rPr>
                <w:rFonts w:ascii="Times New Roman" w:eastAsia="Calibri" w:hAnsi="Times New Roman" w:cs="Times New Roman"/>
                <w:sz w:val="20"/>
                <w:szCs w:val="20"/>
              </w:rPr>
              <w:t xml:space="preserve">A child who is too short for his or her age and is the result of chronic or recurrent malnutrition. </w:t>
            </w:r>
          </w:p>
        </w:tc>
        <w:tc>
          <w:tcPr>
            <w:tcW w:w="3685" w:type="dxa"/>
          </w:tcPr>
          <w:p w14:paraId="6FED607E" w14:textId="77777777" w:rsidR="0091044E" w:rsidRPr="004D4656" w:rsidRDefault="0091044E" w:rsidP="008405EC">
            <w:pPr>
              <w:rPr>
                <w:rFonts w:ascii="Times New Roman" w:hAnsi="Times New Roman" w:cs="Times New Roman"/>
                <w:sz w:val="20"/>
                <w:szCs w:val="20"/>
              </w:rPr>
            </w:pPr>
            <w:r w:rsidRPr="004D4656">
              <w:rPr>
                <w:rFonts w:ascii="Times New Roman" w:eastAsia="Calibri" w:hAnsi="Times New Roman" w:cs="Times New Roman"/>
                <w:sz w:val="20"/>
                <w:szCs w:val="20"/>
              </w:rPr>
              <w:t>Percentage of children aged 0–59 months who are below minus two standard deviations from median height-for-age of the WHO Child Growth Standards.</w:t>
            </w:r>
          </w:p>
        </w:tc>
      </w:tr>
      <w:tr w:rsidR="0091044E" w:rsidRPr="004D4656" w14:paraId="76E25A5D" w14:textId="77777777" w:rsidTr="008405EC">
        <w:tc>
          <w:tcPr>
            <w:tcW w:w="2245" w:type="dxa"/>
          </w:tcPr>
          <w:p w14:paraId="7319DDCE" w14:textId="77777777" w:rsidR="0091044E" w:rsidRPr="004D4656" w:rsidRDefault="0091044E" w:rsidP="008405EC">
            <w:pPr>
              <w:contextualSpacing/>
              <w:rPr>
                <w:rFonts w:ascii="Times New Roman" w:eastAsia="Calibri" w:hAnsi="Times New Roman" w:cs="Times New Roman"/>
                <w:sz w:val="20"/>
                <w:szCs w:val="20"/>
              </w:rPr>
            </w:pPr>
            <w:r w:rsidRPr="004D4656">
              <w:rPr>
                <w:rFonts w:ascii="Times New Roman" w:eastAsia="Calibri" w:hAnsi="Times New Roman" w:cs="Times New Roman"/>
                <w:sz w:val="20"/>
                <w:szCs w:val="20"/>
              </w:rPr>
              <w:t>Wasting</w:t>
            </w:r>
          </w:p>
          <w:p w14:paraId="425F1D7A" w14:textId="77777777" w:rsidR="0091044E" w:rsidRPr="004D4656" w:rsidRDefault="0091044E" w:rsidP="008405EC">
            <w:pPr>
              <w:rPr>
                <w:rFonts w:ascii="Times New Roman" w:hAnsi="Times New Roman" w:cs="Times New Roman"/>
                <w:sz w:val="20"/>
                <w:szCs w:val="20"/>
              </w:rPr>
            </w:pPr>
          </w:p>
        </w:tc>
        <w:tc>
          <w:tcPr>
            <w:tcW w:w="3420" w:type="dxa"/>
          </w:tcPr>
          <w:p w14:paraId="55FA9714" w14:textId="77777777" w:rsidR="0091044E" w:rsidRPr="004D4656" w:rsidRDefault="0091044E" w:rsidP="008405EC">
            <w:pPr>
              <w:rPr>
                <w:rFonts w:ascii="Times New Roman" w:hAnsi="Times New Roman" w:cs="Times New Roman"/>
                <w:sz w:val="20"/>
                <w:szCs w:val="20"/>
              </w:rPr>
            </w:pPr>
            <w:r w:rsidRPr="004D4656">
              <w:rPr>
                <w:rFonts w:ascii="Times New Roman" w:eastAsia="Calibri" w:hAnsi="Times New Roman" w:cs="Times New Roman"/>
                <w:sz w:val="20"/>
                <w:szCs w:val="20"/>
              </w:rPr>
              <w:t>A child who is too thin for his or her height. Wasting is the result of recent rapid weight loss or the failure to gain weight.</w:t>
            </w:r>
          </w:p>
        </w:tc>
        <w:tc>
          <w:tcPr>
            <w:tcW w:w="3685" w:type="dxa"/>
          </w:tcPr>
          <w:p w14:paraId="0982B83B" w14:textId="77777777" w:rsidR="0091044E" w:rsidRPr="004D4656" w:rsidRDefault="0091044E" w:rsidP="008405EC">
            <w:pPr>
              <w:rPr>
                <w:rFonts w:ascii="Times New Roman" w:hAnsi="Times New Roman" w:cs="Times New Roman"/>
                <w:sz w:val="20"/>
                <w:szCs w:val="20"/>
              </w:rPr>
            </w:pPr>
            <w:r w:rsidRPr="004D4656">
              <w:rPr>
                <w:rFonts w:ascii="Times New Roman" w:eastAsia="Calibri" w:hAnsi="Times New Roman" w:cs="Times New Roman"/>
                <w:sz w:val="20"/>
                <w:szCs w:val="20"/>
              </w:rPr>
              <w:t>Percentage of children aged 0–59 months who are below minus two standard deviations from median weight-for-height of the WHO Child Growth Standards.</w:t>
            </w:r>
          </w:p>
        </w:tc>
      </w:tr>
      <w:tr w:rsidR="0091044E" w:rsidRPr="004D4656" w14:paraId="7AF2E5DA" w14:textId="77777777" w:rsidTr="008405EC">
        <w:tc>
          <w:tcPr>
            <w:tcW w:w="2245" w:type="dxa"/>
          </w:tcPr>
          <w:p w14:paraId="64B1A50F" w14:textId="77777777" w:rsidR="0091044E" w:rsidRPr="004D4656" w:rsidRDefault="0091044E" w:rsidP="008405EC">
            <w:pPr>
              <w:contextualSpacing/>
              <w:rPr>
                <w:rFonts w:ascii="Times New Roman" w:hAnsi="Times New Roman" w:cs="Times New Roman"/>
                <w:sz w:val="20"/>
                <w:szCs w:val="20"/>
              </w:rPr>
            </w:pPr>
            <w:r w:rsidRPr="004D4656">
              <w:rPr>
                <w:rFonts w:ascii="Times New Roman" w:eastAsia="Calibri" w:hAnsi="Times New Roman" w:cs="Times New Roman"/>
                <w:sz w:val="20"/>
                <w:szCs w:val="20"/>
              </w:rPr>
              <w:t>Exclusive breastfeeding</w:t>
            </w:r>
          </w:p>
        </w:tc>
        <w:tc>
          <w:tcPr>
            <w:tcW w:w="3420" w:type="dxa"/>
          </w:tcPr>
          <w:p w14:paraId="0E161348" w14:textId="77777777" w:rsidR="0091044E" w:rsidRPr="004D4656" w:rsidRDefault="0091044E" w:rsidP="008405EC">
            <w:pPr>
              <w:rPr>
                <w:rFonts w:ascii="Times New Roman" w:hAnsi="Times New Roman" w:cs="Times New Roman"/>
                <w:sz w:val="20"/>
                <w:szCs w:val="20"/>
              </w:rPr>
            </w:pPr>
            <w:r w:rsidRPr="004D4656">
              <w:rPr>
                <w:rFonts w:ascii="Times New Roman" w:hAnsi="Times New Roman" w:cs="Times New Roman"/>
                <w:sz w:val="20"/>
                <w:szCs w:val="20"/>
              </w:rPr>
              <w:t xml:space="preserve">Optimal feeding method based uniquely on breastmilk and </w:t>
            </w:r>
            <w:r w:rsidRPr="004D4656">
              <w:rPr>
                <w:rFonts w:ascii="Times New Roman" w:eastAsia="Calibri" w:hAnsi="Times New Roman" w:cs="Times New Roman"/>
                <w:sz w:val="20"/>
                <w:szCs w:val="20"/>
              </w:rPr>
              <w:t>no other foods or liquids including water or commercial milk formulas.</w:t>
            </w:r>
          </w:p>
        </w:tc>
        <w:tc>
          <w:tcPr>
            <w:tcW w:w="3685" w:type="dxa"/>
          </w:tcPr>
          <w:p w14:paraId="7FEE7B08" w14:textId="77777777" w:rsidR="0091044E" w:rsidRPr="004D4656" w:rsidRDefault="0091044E" w:rsidP="008405EC">
            <w:pPr>
              <w:rPr>
                <w:rFonts w:ascii="Times New Roman" w:hAnsi="Times New Roman" w:cs="Times New Roman"/>
                <w:sz w:val="20"/>
                <w:szCs w:val="20"/>
              </w:rPr>
            </w:pPr>
            <w:r w:rsidRPr="004D4656">
              <w:rPr>
                <w:rFonts w:ascii="Times New Roman" w:eastAsia="Calibri" w:hAnsi="Times New Roman" w:cs="Times New Roman"/>
                <w:sz w:val="20"/>
                <w:szCs w:val="20"/>
              </w:rPr>
              <w:t xml:space="preserve">Percentage of infants 0-6 months infant receives only breast milk, </w:t>
            </w:r>
          </w:p>
        </w:tc>
      </w:tr>
      <w:tr w:rsidR="0091044E" w:rsidRPr="004D4656" w14:paraId="073211D3" w14:textId="77777777" w:rsidTr="008405EC">
        <w:tc>
          <w:tcPr>
            <w:tcW w:w="2245" w:type="dxa"/>
          </w:tcPr>
          <w:p w14:paraId="5368D774" w14:textId="77777777" w:rsidR="0091044E" w:rsidRPr="004D4656" w:rsidRDefault="0091044E" w:rsidP="008405EC">
            <w:pPr>
              <w:contextualSpacing/>
              <w:rPr>
                <w:rFonts w:ascii="Times New Roman" w:eastAsia="Calibri" w:hAnsi="Times New Roman" w:cs="Times New Roman"/>
                <w:sz w:val="20"/>
                <w:szCs w:val="20"/>
              </w:rPr>
            </w:pPr>
            <w:r w:rsidRPr="004D4656">
              <w:rPr>
                <w:rFonts w:ascii="Times New Roman" w:eastAsia="Calibri" w:hAnsi="Times New Roman" w:cs="Times New Roman"/>
                <w:sz w:val="20"/>
                <w:szCs w:val="20"/>
              </w:rPr>
              <w:t>Anemia</w:t>
            </w:r>
          </w:p>
          <w:p w14:paraId="781E4F55" w14:textId="77777777" w:rsidR="0091044E" w:rsidRPr="004D4656" w:rsidRDefault="0091044E" w:rsidP="008405EC">
            <w:pPr>
              <w:rPr>
                <w:rFonts w:ascii="Times New Roman" w:hAnsi="Times New Roman" w:cs="Times New Roman"/>
                <w:sz w:val="20"/>
                <w:szCs w:val="20"/>
              </w:rPr>
            </w:pPr>
          </w:p>
        </w:tc>
        <w:tc>
          <w:tcPr>
            <w:tcW w:w="3420" w:type="dxa"/>
          </w:tcPr>
          <w:p w14:paraId="3DD67A0C" w14:textId="77777777" w:rsidR="0091044E" w:rsidRPr="004D4656" w:rsidRDefault="0091044E" w:rsidP="008405EC">
            <w:pPr>
              <w:rPr>
                <w:rFonts w:ascii="Times New Roman" w:hAnsi="Times New Roman" w:cs="Times New Roman"/>
                <w:sz w:val="20"/>
                <w:szCs w:val="20"/>
              </w:rPr>
            </w:pPr>
            <w:r w:rsidRPr="004D4656">
              <w:rPr>
                <w:rFonts w:ascii="Times New Roman" w:hAnsi="Times New Roman" w:cs="Times New Roman"/>
                <w:sz w:val="20"/>
                <w:szCs w:val="20"/>
              </w:rPr>
              <w:t>Producing a lower-than-normal amount of healthy red blood cells, usually resulting from iron deficiency.</w:t>
            </w:r>
          </w:p>
        </w:tc>
        <w:tc>
          <w:tcPr>
            <w:tcW w:w="3685" w:type="dxa"/>
          </w:tcPr>
          <w:p w14:paraId="6814F619" w14:textId="77777777" w:rsidR="0091044E" w:rsidRPr="004D4656" w:rsidRDefault="0091044E" w:rsidP="008405EC">
            <w:pPr>
              <w:rPr>
                <w:rFonts w:ascii="Times New Roman" w:hAnsi="Times New Roman" w:cs="Times New Roman"/>
                <w:sz w:val="20"/>
                <w:szCs w:val="20"/>
              </w:rPr>
            </w:pPr>
            <w:r w:rsidRPr="004D4656">
              <w:rPr>
                <w:rFonts w:ascii="Times New Roman" w:eastAsia="Calibri" w:hAnsi="Times New Roman" w:cs="Times New Roman"/>
                <w:sz w:val="20"/>
                <w:szCs w:val="20"/>
              </w:rPr>
              <w:t>In pregnant women and children aged under 5 years are defined as a hemoglobin concentration &lt;110 g/L at sea level, and anemia in non-pregnant women as a hemoglobin concentration &lt;120 g/L</w:t>
            </w:r>
          </w:p>
        </w:tc>
      </w:tr>
      <w:tr w:rsidR="0091044E" w:rsidRPr="004D4656" w14:paraId="5985DED7" w14:textId="77777777" w:rsidTr="008405EC">
        <w:tc>
          <w:tcPr>
            <w:tcW w:w="2245" w:type="dxa"/>
          </w:tcPr>
          <w:p w14:paraId="26E27EFB" w14:textId="77777777" w:rsidR="0091044E" w:rsidRPr="004D4656" w:rsidRDefault="0091044E" w:rsidP="008405EC">
            <w:pPr>
              <w:jc w:val="both"/>
              <w:rPr>
                <w:rFonts w:ascii="Times New Roman" w:hAnsi="Times New Roman" w:cs="Times New Roman"/>
                <w:sz w:val="20"/>
                <w:szCs w:val="20"/>
              </w:rPr>
            </w:pPr>
            <w:r w:rsidRPr="004D4656">
              <w:rPr>
                <w:rFonts w:ascii="Times New Roman" w:eastAsia="Calibri" w:hAnsi="Times New Roman" w:cs="Times New Roman"/>
                <w:sz w:val="20"/>
                <w:szCs w:val="20"/>
              </w:rPr>
              <w:t>Low birthweight</w:t>
            </w:r>
          </w:p>
        </w:tc>
        <w:tc>
          <w:tcPr>
            <w:tcW w:w="3420" w:type="dxa"/>
          </w:tcPr>
          <w:p w14:paraId="5A2E26EB" w14:textId="77777777" w:rsidR="0091044E" w:rsidRPr="004D4656" w:rsidRDefault="0091044E" w:rsidP="008405EC">
            <w:pPr>
              <w:jc w:val="both"/>
              <w:rPr>
                <w:rFonts w:ascii="Times New Roman" w:hAnsi="Times New Roman" w:cs="Times New Roman"/>
                <w:sz w:val="20"/>
                <w:szCs w:val="20"/>
              </w:rPr>
            </w:pPr>
            <w:r w:rsidRPr="004D4656">
              <w:rPr>
                <w:rFonts w:ascii="Times New Roman" w:hAnsi="Times New Roman" w:cs="Times New Roman"/>
                <w:sz w:val="20"/>
                <w:szCs w:val="20"/>
              </w:rPr>
              <w:t>When the first weight of a newborn, taken just after birth, is below threshold</w:t>
            </w:r>
          </w:p>
        </w:tc>
        <w:tc>
          <w:tcPr>
            <w:tcW w:w="3685" w:type="dxa"/>
          </w:tcPr>
          <w:p w14:paraId="3797E701" w14:textId="77777777" w:rsidR="0091044E" w:rsidRPr="004D4656" w:rsidRDefault="0091044E" w:rsidP="008405EC">
            <w:pPr>
              <w:rPr>
                <w:rFonts w:ascii="Times New Roman" w:hAnsi="Times New Roman" w:cs="Times New Roman"/>
                <w:sz w:val="20"/>
                <w:szCs w:val="20"/>
              </w:rPr>
            </w:pPr>
            <w:r w:rsidRPr="004D4656">
              <w:rPr>
                <w:rFonts w:ascii="Times New Roman" w:eastAsia="Calibri" w:hAnsi="Times New Roman" w:cs="Times New Roman"/>
                <w:sz w:val="20"/>
                <w:szCs w:val="20"/>
              </w:rPr>
              <w:t>A weight at birth of (&lt; 5.5 pounds) regardless of gestational age</w:t>
            </w:r>
          </w:p>
        </w:tc>
      </w:tr>
    </w:tbl>
    <w:p w14:paraId="7FC2B0E6" w14:textId="77777777" w:rsidR="0091044E" w:rsidRDefault="0091044E" w:rsidP="0091044E">
      <w:pPr>
        <w:spacing w:line="480" w:lineRule="auto"/>
        <w:jc w:val="both"/>
        <w:rPr>
          <w:rFonts w:ascii="Times New Roman" w:hAnsi="Times New Roman" w:cs="Times New Roman"/>
        </w:rPr>
      </w:pPr>
    </w:p>
    <w:p w14:paraId="6B095CBD" w14:textId="77777777" w:rsidR="0091044E" w:rsidRDefault="0091044E" w:rsidP="0091044E">
      <w:pPr>
        <w:rPr>
          <w:rFonts w:ascii="Times New Roman" w:hAnsi="Times New Roman" w:cs="Times New Roman"/>
        </w:rPr>
      </w:pPr>
      <w:r>
        <w:rPr>
          <w:rFonts w:ascii="Times New Roman" w:hAnsi="Times New Roman" w:cs="Times New Roman"/>
        </w:rPr>
        <w:br w:type="page"/>
      </w:r>
    </w:p>
    <w:p w14:paraId="6137C228" w14:textId="77777777" w:rsidR="0091044E" w:rsidRPr="00933C56" w:rsidRDefault="0091044E" w:rsidP="0091044E">
      <w:pPr>
        <w:rPr>
          <w:rFonts w:ascii="Times New Roman" w:hAnsi="Times New Roman" w:cs="Times New Roman"/>
          <w:b/>
          <w:bCs/>
        </w:rPr>
      </w:pPr>
      <w:r w:rsidRPr="00933C56">
        <w:rPr>
          <w:rFonts w:ascii="Times New Roman" w:hAnsi="Times New Roman" w:cs="Times New Roman"/>
          <w:b/>
          <w:bCs/>
        </w:rPr>
        <w:lastRenderedPageBreak/>
        <w:t>Table S.2. Strength of evidence assessment tool</w:t>
      </w:r>
    </w:p>
    <w:tbl>
      <w:tblPr>
        <w:tblW w:w="9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650"/>
        <w:gridCol w:w="2430"/>
        <w:gridCol w:w="5850"/>
      </w:tblGrid>
      <w:tr w:rsidR="0091044E" w:rsidRPr="00F45D61" w14:paraId="15B360A4" w14:textId="77777777" w:rsidTr="008405EC">
        <w:trPr>
          <w:trHeight w:val="187"/>
        </w:trPr>
        <w:tc>
          <w:tcPr>
            <w:tcW w:w="1610" w:type="dxa"/>
            <w:gridSpan w:val="2"/>
            <w:shd w:val="clear" w:color="auto" w:fill="auto"/>
            <w:hideMark/>
          </w:tcPr>
          <w:p w14:paraId="33207058" w14:textId="77777777" w:rsidR="0091044E" w:rsidRPr="00F45D61" w:rsidRDefault="0091044E" w:rsidP="008405EC">
            <w:pPr>
              <w:spacing w:after="0" w:line="240" w:lineRule="auto"/>
              <w:jc w:val="center"/>
              <w:rPr>
                <w:rFonts w:ascii="Times New Roman" w:eastAsia="Times New Roman" w:hAnsi="Times New Roman" w:cs="Times New Roman"/>
                <w:b/>
                <w:bCs/>
                <w:color w:val="000000"/>
                <w:kern w:val="0"/>
                <w:sz w:val="20"/>
                <w:szCs w:val="20"/>
                <w:lang w:eastAsia="ko-KR"/>
                <w14:ligatures w14:val="none"/>
              </w:rPr>
            </w:pPr>
            <w:r w:rsidRPr="00F45D61">
              <w:rPr>
                <w:rFonts w:ascii="Times New Roman" w:eastAsia="Times New Roman" w:hAnsi="Times New Roman" w:cs="Times New Roman"/>
                <w:b/>
                <w:bCs/>
                <w:color w:val="000000"/>
                <w:kern w:val="0"/>
                <w:sz w:val="20"/>
                <w:szCs w:val="20"/>
                <w:lang w:eastAsia="ko-KR"/>
                <w14:ligatures w14:val="none"/>
              </w:rPr>
              <w:t>Color</w:t>
            </w:r>
          </w:p>
        </w:tc>
        <w:tc>
          <w:tcPr>
            <w:tcW w:w="2430" w:type="dxa"/>
            <w:shd w:val="clear" w:color="auto" w:fill="auto"/>
            <w:hideMark/>
          </w:tcPr>
          <w:p w14:paraId="7E82A473" w14:textId="77777777" w:rsidR="0091044E" w:rsidRPr="00F45D61" w:rsidRDefault="0091044E" w:rsidP="008405EC">
            <w:pPr>
              <w:spacing w:after="0" w:line="240" w:lineRule="auto"/>
              <w:jc w:val="center"/>
              <w:rPr>
                <w:rFonts w:ascii="Times New Roman" w:eastAsia="Times New Roman" w:hAnsi="Times New Roman" w:cs="Times New Roman"/>
                <w:b/>
                <w:bCs/>
                <w:color w:val="000000"/>
                <w:kern w:val="0"/>
                <w:sz w:val="20"/>
                <w:szCs w:val="20"/>
                <w:lang w:eastAsia="ko-KR"/>
                <w14:ligatures w14:val="none"/>
              </w:rPr>
            </w:pPr>
            <w:r w:rsidRPr="00F45D61">
              <w:rPr>
                <w:rFonts w:ascii="Times New Roman" w:eastAsia="Times New Roman" w:hAnsi="Times New Roman" w:cs="Times New Roman"/>
                <w:b/>
                <w:bCs/>
                <w:color w:val="000000"/>
                <w:kern w:val="0"/>
                <w:sz w:val="20"/>
                <w:szCs w:val="20"/>
                <w:lang w:eastAsia="ko-KR"/>
                <w14:ligatures w14:val="none"/>
              </w:rPr>
              <w:t>Interpretation</w:t>
            </w:r>
          </w:p>
        </w:tc>
        <w:tc>
          <w:tcPr>
            <w:tcW w:w="5850" w:type="dxa"/>
            <w:shd w:val="clear" w:color="auto" w:fill="auto"/>
            <w:hideMark/>
          </w:tcPr>
          <w:p w14:paraId="74EBD0BA" w14:textId="77777777" w:rsidR="0091044E" w:rsidRPr="00F45D61" w:rsidRDefault="0091044E" w:rsidP="008405EC">
            <w:pPr>
              <w:spacing w:after="0" w:line="240" w:lineRule="auto"/>
              <w:jc w:val="center"/>
              <w:rPr>
                <w:rFonts w:ascii="Times New Roman" w:eastAsia="Times New Roman" w:hAnsi="Times New Roman" w:cs="Times New Roman"/>
                <w:b/>
                <w:bCs/>
                <w:color w:val="000000"/>
                <w:kern w:val="0"/>
                <w:sz w:val="20"/>
                <w:szCs w:val="20"/>
                <w:lang w:eastAsia="ko-KR"/>
                <w14:ligatures w14:val="none"/>
              </w:rPr>
            </w:pPr>
            <w:r w:rsidRPr="00F45D61">
              <w:rPr>
                <w:rFonts w:ascii="Times New Roman" w:eastAsia="Times New Roman" w:hAnsi="Times New Roman" w:cs="Times New Roman"/>
                <w:b/>
                <w:bCs/>
                <w:color w:val="000000"/>
                <w:kern w:val="0"/>
                <w:sz w:val="20"/>
                <w:szCs w:val="20"/>
                <w:lang w:eastAsia="ko-KR"/>
                <w14:ligatures w14:val="none"/>
              </w:rPr>
              <w:t xml:space="preserve">Criteria </w:t>
            </w:r>
          </w:p>
        </w:tc>
      </w:tr>
      <w:tr w:rsidR="0091044E" w:rsidRPr="00F45D61" w14:paraId="5F13E393" w14:textId="77777777" w:rsidTr="008405EC">
        <w:trPr>
          <w:trHeight w:val="763"/>
        </w:trPr>
        <w:tc>
          <w:tcPr>
            <w:tcW w:w="960" w:type="dxa"/>
            <w:shd w:val="clear" w:color="auto" w:fill="auto"/>
            <w:hideMark/>
          </w:tcPr>
          <w:p w14:paraId="1D8F2ACD" w14:textId="77777777" w:rsidR="0091044E" w:rsidRPr="00F45D61" w:rsidRDefault="0091044E" w:rsidP="008405EC">
            <w:pPr>
              <w:spacing w:after="0" w:line="240" w:lineRule="auto"/>
              <w:rPr>
                <w:rFonts w:ascii="Times New Roman" w:eastAsia="Times New Roman" w:hAnsi="Times New Roman" w:cs="Times New Roman"/>
                <w:color w:val="000000"/>
                <w:kern w:val="0"/>
                <w:sz w:val="20"/>
                <w:szCs w:val="20"/>
                <w:lang w:eastAsia="ko-KR"/>
                <w14:ligatures w14:val="none"/>
              </w:rPr>
            </w:pPr>
            <w:r w:rsidRPr="00F45D61">
              <w:rPr>
                <w:rFonts w:ascii="Times New Roman" w:eastAsia="Times New Roman" w:hAnsi="Times New Roman" w:cs="Times New Roman"/>
                <w:color w:val="000000"/>
                <w:kern w:val="0"/>
                <w:sz w:val="20"/>
                <w:szCs w:val="20"/>
                <w:lang w:eastAsia="ko-KR"/>
                <w14:ligatures w14:val="none"/>
              </w:rPr>
              <w:t>Green</w:t>
            </w:r>
          </w:p>
        </w:tc>
        <w:tc>
          <w:tcPr>
            <w:tcW w:w="650" w:type="dxa"/>
            <w:shd w:val="clear" w:color="000000" w:fill="70AD47"/>
            <w:hideMark/>
          </w:tcPr>
          <w:p w14:paraId="1869CF4B" w14:textId="77777777" w:rsidR="0091044E" w:rsidRPr="00F45D61" w:rsidRDefault="0091044E" w:rsidP="008405EC">
            <w:pPr>
              <w:spacing w:after="0" w:line="240" w:lineRule="auto"/>
              <w:rPr>
                <w:rFonts w:ascii="Times New Roman" w:eastAsia="Times New Roman" w:hAnsi="Times New Roman" w:cs="Times New Roman"/>
                <w:color w:val="000000"/>
                <w:kern w:val="0"/>
                <w:sz w:val="20"/>
                <w:szCs w:val="20"/>
                <w:lang w:eastAsia="ko-KR"/>
                <w14:ligatures w14:val="none"/>
              </w:rPr>
            </w:pPr>
            <w:r w:rsidRPr="00F45D61">
              <w:rPr>
                <w:rFonts w:ascii="Times New Roman" w:eastAsia="Times New Roman" w:hAnsi="Times New Roman" w:cs="Times New Roman"/>
                <w:color w:val="000000"/>
                <w:kern w:val="0"/>
                <w:sz w:val="20"/>
                <w:szCs w:val="20"/>
                <w:lang w:eastAsia="ko-KR"/>
                <w14:ligatures w14:val="none"/>
              </w:rPr>
              <w:t> </w:t>
            </w:r>
          </w:p>
        </w:tc>
        <w:tc>
          <w:tcPr>
            <w:tcW w:w="2430" w:type="dxa"/>
            <w:shd w:val="clear" w:color="auto" w:fill="auto"/>
            <w:hideMark/>
          </w:tcPr>
          <w:p w14:paraId="2E423B67" w14:textId="77777777" w:rsidR="0091044E" w:rsidRPr="00F45D61" w:rsidRDefault="0091044E" w:rsidP="008405EC">
            <w:pPr>
              <w:spacing w:after="0" w:line="240" w:lineRule="auto"/>
              <w:rPr>
                <w:rFonts w:ascii="Times New Roman" w:eastAsia="Times New Roman" w:hAnsi="Times New Roman" w:cs="Times New Roman"/>
                <w:color w:val="000000"/>
                <w:kern w:val="0"/>
                <w:sz w:val="20"/>
                <w:szCs w:val="20"/>
                <w:lang w:eastAsia="ko-KR"/>
                <w14:ligatures w14:val="none"/>
              </w:rPr>
            </w:pPr>
            <w:r w:rsidRPr="00F45D61">
              <w:rPr>
                <w:rFonts w:ascii="Times New Roman" w:eastAsia="Times New Roman" w:hAnsi="Times New Roman" w:cs="Times New Roman"/>
                <w:color w:val="000000"/>
                <w:kern w:val="0"/>
                <w:sz w:val="20"/>
                <w:szCs w:val="20"/>
                <w:lang w:eastAsia="ko-KR"/>
                <w14:ligatures w14:val="none"/>
              </w:rPr>
              <w:t>The intervention likely reduces the risk of malnutrition or improves dietary diversity.</w:t>
            </w:r>
          </w:p>
        </w:tc>
        <w:tc>
          <w:tcPr>
            <w:tcW w:w="5850" w:type="dxa"/>
            <w:shd w:val="clear" w:color="auto" w:fill="auto"/>
            <w:hideMark/>
          </w:tcPr>
          <w:p w14:paraId="3DED9903" w14:textId="77777777" w:rsidR="0091044E" w:rsidRPr="00F45D61" w:rsidRDefault="0091044E" w:rsidP="008405EC">
            <w:pPr>
              <w:spacing w:after="0" w:line="240" w:lineRule="auto"/>
              <w:rPr>
                <w:rFonts w:ascii="Times New Roman" w:eastAsia="Times New Roman" w:hAnsi="Times New Roman" w:cs="Times New Roman"/>
                <w:color w:val="000000"/>
                <w:kern w:val="0"/>
                <w:sz w:val="20"/>
                <w:szCs w:val="20"/>
                <w:lang w:eastAsia="ko-KR"/>
                <w14:ligatures w14:val="none"/>
              </w:rPr>
            </w:pPr>
            <w:r w:rsidRPr="00F45D61">
              <w:rPr>
                <w:rFonts w:ascii="Times New Roman" w:eastAsia="Times New Roman" w:hAnsi="Times New Roman" w:cs="Times New Roman"/>
                <w:color w:val="000000"/>
                <w:kern w:val="0"/>
                <w:sz w:val="20"/>
                <w:szCs w:val="20"/>
                <w:lang w:eastAsia="ko-KR"/>
                <w14:ligatures w14:val="none"/>
              </w:rPr>
              <w:t>At least</w:t>
            </w:r>
            <w:r w:rsidRPr="00F45D61">
              <w:rPr>
                <w:rFonts w:ascii="Times New Roman" w:eastAsia="Times New Roman" w:hAnsi="Times New Roman" w:cs="Times New Roman"/>
                <w:b/>
                <w:bCs/>
                <w:color w:val="000000"/>
                <w:kern w:val="0"/>
                <w:sz w:val="20"/>
                <w:szCs w:val="20"/>
                <w:lang w:eastAsia="ko-KR"/>
                <w14:ligatures w14:val="none"/>
              </w:rPr>
              <w:t xml:space="preserve"> five studies* </w:t>
            </w:r>
            <w:r w:rsidRPr="00F45D61">
              <w:rPr>
                <w:rFonts w:ascii="Times New Roman" w:eastAsia="Times New Roman" w:hAnsi="Times New Roman" w:cs="Times New Roman"/>
                <w:color w:val="000000"/>
                <w:kern w:val="0"/>
                <w:sz w:val="20"/>
                <w:szCs w:val="20"/>
                <w:lang w:eastAsia="ko-KR"/>
                <w14:ligatures w14:val="none"/>
              </w:rPr>
              <w:t>with a</w:t>
            </w:r>
            <w:r w:rsidRPr="00F45D61">
              <w:rPr>
                <w:rFonts w:ascii="Times New Roman" w:eastAsia="Times New Roman" w:hAnsi="Times New Roman" w:cs="Times New Roman"/>
                <w:b/>
                <w:bCs/>
                <w:color w:val="000000"/>
                <w:kern w:val="0"/>
                <w:sz w:val="20"/>
                <w:szCs w:val="20"/>
                <w:lang w:eastAsia="ko-KR"/>
                <w14:ligatures w14:val="none"/>
              </w:rPr>
              <w:t xml:space="preserve"> low risk of selection-bias</w:t>
            </w:r>
            <w:r w:rsidRPr="00F45D61">
              <w:rPr>
                <w:rFonts w:ascii="Times New Roman" w:eastAsia="Times New Roman" w:hAnsi="Times New Roman" w:cs="Times New Roman"/>
                <w:color w:val="000000"/>
                <w:kern w:val="0"/>
                <w:sz w:val="20"/>
                <w:szCs w:val="20"/>
                <w:lang w:eastAsia="ko-KR"/>
                <w14:ligatures w14:val="none"/>
              </w:rPr>
              <w:t xml:space="preserve"> in at least </w:t>
            </w:r>
            <w:r w:rsidRPr="00F45D61">
              <w:rPr>
                <w:rFonts w:ascii="Times New Roman" w:eastAsia="Times New Roman" w:hAnsi="Times New Roman" w:cs="Times New Roman"/>
                <w:b/>
                <w:bCs/>
                <w:color w:val="000000"/>
                <w:kern w:val="0"/>
                <w:sz w:val="20"/>
                <w:szCs w:val="20"/>
                <w:lang w:eastAsia="ko-KR"/>
                <w14:ligatures w14:val="none"/>
              </w:rPr>
              <w:t>one meta-analysis</w:t>
            </w:r>
            <w:r w:rsidRPr="00F45D61">
              <w:rPr>
                <w:rFonts w:ascii="Times New Roman" w:eastAsia="Times New Roman" w:hAnsi="Times New Roman" w:cs="Times New Roman"/>
                <w:color w:val="000000"/>
                <w:kern w:val="0"/>
                <w:sz w:val="20"/>
                <w:szCs w:val="20"/>
                <w:lang w:eastAsia="ko-KR"/>
                <w14:ligatures w14:val="none"/>
              </w:rPr>
              <w:t xml:space="preserve">, with a pooled effect size of </w:t>
            </w:r>
            <w:r w:rsidRPr="00F45D61">
              <w:rPr>
                <w:rFonts w:ascii="Times New Roman" w:eastAsia="Times New Roman" w:hAnsi="Times New Roman" w:cs="Times New Roman"/>
                <w:b/>
                <w:bCs/>
                <w:color w:val="000000"/>
                <w:kern w:val="0"/>
                <w:sz w:val="20"/>
                <w:szCs w:val="20"/>
                <w:lang w:eastAsia="ko-KR"/>
                <w14:ligatures w14:val="none"/>
              </w:rPr>
              <w:t>absolute</w:t>
            </w:r>
            <w:r w:rsidRPr="00F45D61">
              <w:rPr>
                <w:rFonts w:ascii="Times New Roman" w:eastAsia="Times New Roman" w:hAnsi="Times New Roman" w:cs="Times New Roman"/>
                <w:color w:val="000000"/>
                <w:kern w:val="0"/>
                <w:sz w:val="20"/>
                <w:szCs w:val="20"/>
                <w:lang w:eastAsia="ko-KR"/>
                <w14:ligatures w14:val="none"/>
              </w:rPr>
              <w:t xml:space="preserve"> </w:t>
            </w:r>
            <w:r w:rsidRPr="00F45D61">
              <w:rPr>
                <w:rFonts w:ascii="Times New Roman" w:eastAsia="Times New Roman" w:hAnsi="Times New Roman" w:cs="Times New Roman"/>
                <w:b/>
                <w:bCs/>
                <w:color w:val="000000"/>
                <w:kern w:val="0"/>
                <w:sz w:val="20"/>
                <w:szCs w:val="20"/>
                <w:lang w:eastAsia="ko-KR"/>
                <w14:ligatures w14:val="none"/>
              </w:rPr>
              <w:t>SMD</w:t>
            </w:r>
            <w:r w:rsidRPr="00F45D61">
              <w:rPr>
                <w:rFonts w:ascii="Times New Roman" w:eastAsia="Times New Roman" w:hAnsi="Times New Roman" w:cs="Times New Roman"/>
                <w:color w:val="000000"/>
                <w:kern w:val="0"/>
                <w:sz w:val="20"/>
                <w:szCs w:val="20"/>
                <w:lang w:eastAsia="ko-KR"/>
                <w14:ligatures w14:val="none"/>
              </w:rPr>
              <w:t xml:space="preserve"> </w:t>
            </w:r>
            <w:r w:rsidRPr="00F45D61">
              <w:rPr>
                <w:rFonts w:ascii="Times New Roman" w:eastAsia="Times New Roman" w:hAnsi="Times New Roman" w:cs="Times New Roman"/>
                <w:b/>
                <w:bCs/>
                <w:color w:val="000000"/>
                <w:kern w:val="0"/>
                <w:sz w:val="20"/>
                <w:szCs w:val="20"/>
                <w:lang w:eastAsia="ko-KR"/>
                <w14:ligatures w14:val="none"/>
              </w:rPr>
              <w:t xml:space="preserve">&gt;0.2 </w:t>
            </w:r>
            <w:r w:rsidRPr="00F45D61">
              <w:rPr>
                <w:rFonts w:ascii="Times New Roman" w:eastAsia="Times New Roman" w:hAnsi="Times New Roman" w:cs="Times New Roman"/>
                <w:color w:val="000000"/>
                <w:kern w:val="0"/>
                <w:sz w:val="20"/>
                <w:szCs w:val="20"/>
                <w:lang w:eastAsia="ko-KR"/>
                <w14:ligatures w14:val="none"/>
              </w:rPr>
              <w:t xml:space="preserve">(for continuous variables) </w:t>
            </w:r>
            <w:r w:rsidRPr="00F45D61">
              <w:rPr>
                <w:rFonts w:ascii="Times New Roman" w:eastAsia="Times New Roman" w:hAnsi="Times New Roman" w:cs="Times New Roman"/>
                <w:b/>
                <w:bCs/>
                <w:color w:val="000000"/>
                <w:kern w:val="0"/>
                <w:sz w:val="20"/>
                <w:szCs w:val="20"/>
                <w:lang w:eastAsia="ko-KR"/>
                <w14:ligatures w14:val="none"/>
              </w:rPr>
              <w:t xml:space="preserve">or RR difference &gt;5% points </w:t>
            </w:r>
            <w:r w:rsidRPr="00F45D61">
              <w:rPr>
                <w:rFonts w:ascii="Times New Roman" w:eastAsia="Times New Roman" w:hAnsi="Times New Roman" w:cs="Times New Roman"/>
                <w:color w:val="000000"/>
                <w:kern w:val="0"/>
                <w:sz w:val="20"/>
                <w:szCs w:val="20"/>
                <w:lang w:eastAsia="ko-KR"/>
                <w14:ligatures w14:val="none"/>
              </w:rPr>
              <w:t xml:space="preserve">(for binary variables) or </w:t>
            </w:r>
            <w:proofErr w:type="spellStart"/>
            <w:r w:rsidRPr="00F45D61">
              <w:rPr>
                <w:rFonts w:ascii="Times New Roman" w:eastAsia="Times New Roman" w:hAnsi="Times New Roman" w:cs="Times New Roman"/>
                <w:b/>
                <w:bCs/>
                <w:color w:val="000000"/>
                <w:kern w:val="0"/>
                <w:sz w:val="20"/>
                <w:szCs w:val="20"/>
                <w:lang w:eastAsia="ko-KR"/>
                <w14:ligatures w14:val="none"/>
              </w:rPr>
              <w:t>OR</w:t>
            </w:r>
            <w:proofErr w:type="spellEnd"/>
            <w:r w:rsidRPr="00F45D61">
              <w:rPr>
                <w:rFonts w:ascii="Times New Roman" w:eastAsia="Times New Roman" w:hAnsi="Times New Roman" w:cs="Times New Roman"/>
                <w:b/>
                <w:bCs/>
                <w:color w:val="000000"/>
                <w:kern w:val="0"/>
                <w:sz w:val="20"/>
                <w:szCs w:val="20"/>
                <w:lang w:eastAsia="ko-KR"/>
                <w14:ligatures w14:val="none"/>
              </w:rPr>
              <w:t xml:space="preserve"> &gt;1.437</w:t>
            </w:r>
            <w:r w:rsidRPr="00F45D61">
              <w:rPr>
                <w:rFonts w:ascii="Times New Roman" w:eastAsia="Times New Roman" w:hAnsi="Times New Roman" w:cs="Times New Roman"/>
                <w:color w:val="000000"/>
                <w:kern w:val="0"/>
                <w:sz w:val="20"/>
                <w:szCs w:val="20"/>
                <w:lang w:eastAsia="ko-KR"/>
                <w14:ligatures w14:val="none"/>
              </w:rPr>
              <w:t xml:space="preserve"> </w:t>
            </w:r>
            <w:r w:rsidRPr="00F45D61">
              <w:rPr>
                <w:rFonts w:ascii="Times New Roman" w:eastAsia="Times New Roman" w:hAnsi="Times New Roman" w:cs="Times New Roman"/>
                <w:b/>
                <w:bCs/>
                <w:color w:val="000000"/>
                <w:kern w:val="0"/>
                <w:sz w:val="20"/>
                <w:szCs w:val="20"/>
                <w:lang w:eastAsia="ko-KR"/>
                <w14:ligatures w14:val="none"/>
              </w:rPr>
              <w:t>or &lt;0.696</w:t>
            </w:r>
            <w:r w:rsidRPr="00F45D61">
              <w:rPr>
                <w:rFonts w:ascii="Times New Roman" w:eastAsia="Times New Roman" w:hAnsi="Times New Roman" w:cs="Times New Roman"/>
                <w:color w:val="000000"/>
                <w:kern w:val="0"/>
                <w:sz w:val="20"/>
                <w:szCs w:val="20"/>
                <w:lang w:eastAsia="ko-KR"/>
                <w14:ligatures w14:val="none"/>
              </w:rPr>
              <w:t xml:space="preserve"> (for binary variables). </w:t>
            </w:r>
          </w:p>
        </w:tc>
      </w:tr>
      <w:tr w:rsidR="0091044E" w:rsidRPr="00F45D61" w14:paraId="333CA649" w14:textId="77777777" w:rsidTr="008405EC">
        <w:trPr>
          <w:trHeight w:val="988"/>
        </w:trPr>
        <w:tc>
          <w:tcPr>
            <w:tcW w:w="960" w:type="dxa"/>
            <w:vMerge w:val="restart"/>
            <w:shd w:val="clear" w:color="auto" w:fill="auto"/>
            <w:hideMark/>
          </w:tcPr>
          <w:p w14:paraId="190E764A" w14:textId="77777777" w:rsidR="0091044E" w:rsidRPr="00F45D61" w:rsidRDefault="0091044E" w:rsidP="008405EC">
            <w:pPr>
              <w:spacing w:after="0" w:line="240" w:lineRule="auto"/>
              <w:jc w:val="center"/>
              <w:rPr>
                <w:rFonts w:ascii="Times New Roman" w:eastAsia="Times New Roman" w:hAnsi="Times New Roman" w:cs="Times New Roman"/>
                <w:color w:val="000000"/>
                <w:kern w:val="0"/>
                <w:sz w:val="20"/>
                <w:szCs w:val="20"/>
                <w:lang w:eastAsia="ko-KR"/>
                <w14:ligatures w14:val="none"/>
              </w:rPr>
            </w:pPr>
            <w:r w:rsidRPr="00F45D61">
              <w:rPr>
                <w:rFonts w:ascii="Times New Roman" w:eastAsia="Times New Roman" w:hAnsi="Times New Roman" w:cs="Times New Roman"/>
                <w:color w:val="000000"/>
                <w:kern w:val="0"/>
                <w:sz w:val="20"/>
                <w:szCs w:val="20"/>
                <w:lang w:eastAsia="ko-KR"/>
                <w14:ligatures w14:val="none"/>
              </w:rPr>
              <w:t>Yellow</w:t>
            </w:r>
          </w:p>
        </w:tc>
        <w:tc>
          <w:tcPr>
            <w:tcW w:w="650" w:type="dxa"/>
            <w:vMerge w:val="restart"/>
            <w:shd w:val="clear" w:color="000000" w:fill="FFC000"/>
            <w:hideMark/>
          </w:tcPr>
          <w:p w14:paraId="5ADCC056" w14:textId="77777777" w:rsidR="0091044E" w:rsidRPr="00F45D61" w:rsidRDefault="0091044E" w:rsidP="008405EC">
            <w:pPr>
              <w:spacing w:after="0" w:line="240" w:lineRule="auto"/>
              <w:jc w:val="center"/>
              <w:rPr>
                <w:rFonts w:ascii="Times New Roman" w:eastAsia="Times New Roman" w:hAnsi="Times New Roman" w:cs="Times New Roman"/>
                <w:color w:val="000000"/>
                <w:kern w:val="0"/>
                <w:sz w:val="20"/>
                <w:szCs w:val="20"/>
                <w:lang w:eastAsia="ko-KR"/>
                <w14:ligatures w14:val="none"/>
              </w:rPr>
            </w:pPr>
            <w:r w:rsidRPr="00F45D61">
              <w:rPr>
                <w:rFonts w:ascii="Times New Roman" w:eastAsia="Times New Roman" w:hAnsi="Times New Roman" w:cs="Times New Roman"/>
                <w:color w:val="000000"/>
                <w:kern w:val="0"/>
                <w:sz w:val="20"/>
                <w:szCs w:val="20"/>
                <w:lang w:eastAsia="ko-KR"/>
                <w14:ligatures w14:val="none"/>
              </w:rPr>
              <w:t> </w:t>
            </w:r>
          </w:p>
        </w:tc>
        <w:tc>
          <w:tcPr>
            <w:tcW w:w="2430" w:type="dxa"/>
            <w:vMerge w:val="restart"/>
            <w:shd w:val="clear" w:color="auto" w:fill="auto"/>
            <w:hideMark/>
          </w:tcPr>
          <w:p w14:paraId="61CB79B5" w14:textId="77777777" w:rsidR="0091044E" w:rsidRPr="00F45D61" w:rsidRDefault="0091044E" w:rsidP="008405EC">
            <w:pPr>
              <w:spacing w:after="0" w:line="240" w:lineRule="auto"/>
              <w:rPr>
                <w:rFonts w:ascii="Times New Roman" w:eastAsia="Times New Roman" w:hAnsi="Times New Roman" w:cs="Times New Roman"/>
                <w:color w:val="000000"/>
                <w:kern w:val="0"/>
                <w:sz w:val="20"/>
                <w:szCs w:val="20"/>
                <w:lang w:eastAsia="ko-KR"/>
                <w14:ligatures w14:val="none"/>
              </w:rPr>
            </w:pPr>
            <w:r w:rsidRPr="00F45D61">
              <w:rPr>
                <w:rFonts w:ascii="Times New Roman" w:eastAsia="Times New Roman" w:hAnsi="Times New Roman" w:cs="Times New Roman"/>
                <w:color w:val="000000"/>
                <w:kern w:val="0"/>
                <w:sz w:val="20"/>
                <w:szCs w:val="20"/>
                <w:lang w:eastAsia="ko-KR"/>
                <w14:ligatures w14:val="none"/>
              </w:rPr>
              <w:t>The intervention may reduce the risk of malnutrition or improve dietary diversity</w:t>
            </w:r>
          </w:p>
        </w:tc>
        <w:tc>
          <w:tcPr>
            <w:tcW w:w="5850" w:type="dxa"/>
            <w:shd w:val="clear" w:color="auto" w:fill="auto"/>
            <w:hideMark/>
          </w:tcPr>
          <w:p w14:paraId="5609061F" w14:textId="77777777" w:rsidR="0091044E" w:rsidRPr="00F45D61" w:rsidRDefault="0091044E" w:rsidP="008405EC">
            <w:pPr>
              <w:spacing w:after="0" w:line="240" w:lineRule="auto"/>
              <w:rPr>
                <w:rFonts w:ascii="Times New Roman" w:eastAsia="Times New Roman" w:hAnsi="Times New Roman" w:cs="Times New Roman"/>
                <w:color w:val="000000"/>
                <w:kern w:val="0"/>
                <w:sz w:val="20"/>
                <w:szCs w:val="20"/>
                <w:lang w:eastAsia="ko-KR"/>
                <w14:ligatures w14:val="none"/>
              </w:rPr>
            </w:pPr>
            <w:r w:rsidRPr="00F45D61">
              <w:rPr>
                <w:rFonts w:ascii="Times New Roman" w:eastAsia="Times New Roman" w:hAnsi="Times New Roman" w:cs="Times New Roman"/>
                <w:color w:val="000000"/>
                <w:kern w:val="0"/>
                <w:sz w:val="20"/>
                <w:szCs w:val="20"/>
                <w:lang w:eastAsia="ko-KR"/>
                <w14:ligatures w14:val="none"/>
              </w:rPr>
              <w:t xml:space="preserve">At least </w:t>
            </w:r>
            <w:r w:rsidRPr="00F45D61">
              <w:rPr>
                <w:rFonts w:ascii="Times New Roman" w:eastAsia="Times New Roman" w:hAnsi="Times New Roman" w:cs="Times New Roman"/>
                <w:b/>
                <w:bCs/>
                <w:color w:val="000000"/>
                <w:kern w:val="0"/>
                <w:sz w:val="20"/>
                <w:szCs w:val="20"/>
                <w:lang w:eastAsia="ko-KR"/>
                <w14:ligatures w14:val="none"/>
              </w:rPr>
              <w:t xml:space="preserve">five studies* </w:t>
            </w:r>
            <w:r w:rsidRPr="00F45D61">
              <w:rPr>
                <w:rFonts w:ascii="Times New Roman" w:eastAsia="Times New Roman" w:hAnsi="Times New Roman" w:cs="Times New Roman"/>
                <w:color w:val="000000"/>
                <w:kern w:val="0"/>
                <w:sz w:val="20"/>
                <w:szCs w:val="20"/>
                <w:lang w:eastAsia="ko-KR"/>
                <w14:ligatures w14:val="none"/>
              </w:rPr>
              <w:t xml:space="preserve">with a </w:t>
            </w:r>
            <w:r w:rsidRPr="00F45D61">
              <w:rPr>
                <w:rFonts w:ascii="Times New Roman" w:eastAsia="Times New Roman" w:hAnsi="Times New Roman" w:cs="Times New Roman"/>
                <w:b/>
                <w:bCs/>
                <w:color w:val="000000"/>
                <w:kern w:val="0"/>
                <w:sz w:val="20"/>
                <w:szCs w:val="20"/>
                <w:lang w:eastAsia="ko-KR"/>
                <w14:ligatures w14:val="none"/>
              </w:rPr>
              <w:t>low risk of selection-bias</w:t>
            </w:r>
            <w:r w:rsidRPr="00F45D61">
              <w:rPr>
                <w:rFonts w:ascii="Times New Roman" w:eastAsia="Times New Roman" w:hAnsi="Times New Roman" w:cs="Times New Roman"/>
                <w:color w:val="000000"/>
                <w:kern w:val="0"/>
                <w:sz w:val="20"/>
                <w:szCs w:val="20"/>
                <w:lang w:eastAsia="ko-KR"/>
                <w14:ligatures w14:val="none"/>
              </w:rPr>
              <w:t xml:space="preserve"> in at least </w:t>
            </w:r>
            <w:r w:rsidRPr="00F45D61">
              <w:rPr>
                <w:rFonts w:ascii="Times New Roman" w:eastAsia="Times New Roman" w:hAnsi="Times New Roman" w:cs="Times New Roman"/>
                <w:b/>
                <w:bCs/>
                <w:color w:val="000000"/>
                <w:kern w:val="0"/>
                <w:sz w:val="20"/>
                <w:szCs w:val="20"/>
                <w:lang w:eastAsia="ko-KR"/>
                <w14:ligatures w14:val="none"/>
              </w:rPr>
              <w:t>one meta-analysis</w:t>
            </w:r>
            <w:r w:rsidRPr="00F45D61">
              <w:rPr>
                <w:rFonts w:ascii="Times New Roman" w:eastAsia="Times New Roman" w:hAnsi="Times New Roman" w:cs="Times New Roman"/>
                <w:color w:val="000000"/>
                <w:kern w:val="0"/>
                <w:sz w:val="20"/>
                <w:szCs w:val="20"/>
                <w:lang w:eastAsia="ko-KR"/>
                <w14:ligatures w14:val="none"/>
              </w:rPr>
              <w:t xml:space="preserve">, with a pooled effect size of </w:t>
            </w:r>
            <w:r w:rsidRPr="00F45D61">
              <w:rPr>
                <w:rFonts w:ascii="Times New Roman" w:eastAsia="Times New Roman" w:hAnsi="Times New Roman" w:cs="Times New Roman"/>
                <w:b/>
                <w:bCs/>
                <w:color w:val="000000"/>
                <w:kern w:val="0"/>
                <w:sz w:val="20"/>
                <w:szCs w:val="20"/>
                <w:lang w:eastAsia="ko-KR"/>
                <w14:ligatures w14:val="none"/>
              </w:rPr>
              <w:t>absolute SMD 0.15-0.2</w:t>
            </w:r>
            <w:r w:rsidRPr="00F45D61">
              <w:rPr>
                <w:rFonts w:ascii="Times New Roman" w:eastAsia="Times New Roman" w:hAnsi="Times New Roman" w:cs="Times New Roman"/>
                <w:color w:val="000000"/>
                <w:kern w:val="0"/>
                <w:sz w:val="20"/>
                <w:szCs w:val="20"/>
                <w:lang w:eastAsia="ko-KR"/>
                <w14:ligatures w14:val="none"/>
              </w:rPr>
              <w:t xml:space="preserve"> (for continuous variables) or </w:t>
            </w:r>
            <w:r w:rsidRPr="00F45D61">
              <w:rPr>
                <w:rFonts w:ascii="Times New Roman" w:eastAsia="Times New Roman" w:hAnsi="Times New Roman" w:cs="Times New Roman"/>
                <w:b/>
                <w:bCs/>
                <w:color w:val="000000"/>
                <w:kern w:val="0"/>
                <w:sz w:val="20"/>
                <w:szCs w:val="20"/>
                <w:lang w:eastAsia="ko-KR"/>
                <w14:ligatures w14:val="none"/>
              </w:rPr>
              <w:t xml:space="preserve">RR difference 3-5% points </w:t>
            </w:r>
            <w:r w:rsidRPr="00F45D61">
              <w:rPr>
                <w:rFonts w:ascii="Times New Roman" w:eastAsia="Times New Roman" w:hAnsi="Times New Roman" w:cs="Times New Roman"/>
                <w:color w:val="000000"/>
                <w:kern w:val="0"/>
                <w:sz w:val="20"/>
                <w:szCs w:val="20"/>
                <w:lang w:eastAsia="ko-KR"/>
                <w14:ligatures w14:val="none"/>
              </w:rPr>
              <w:t xml:space="preserve">(for binary variables) or </w:t>
            </w:r>
            <w:proofErr w:type="spellStart"/>
            <w:r w:rsidRPr="00F45D61">
              <w:rPr>
                <w:rFonts w:ascii="Times New Roman" w:eastAsia="Times New Roman" w:hAnsi="Times New Roman" w:cs="Times New Roman"/>
                <w:b/>
                <w:bCs/>
                <w:color w:val="000000"/>
                <w:kern w:val="0"/>
                <w:sz w:val="20"/>
                <w:szCs w:val="20"/>
                <w:lang w:eastAsia="ko-KR"/>
                <w14:ligatures w14:val="none"/>
              </w:rPr>
              <w:t>OR</w:t>
            </w:r>
            <w:proofErr w:type="spellEnd"/>
            <w:r w:rsidRPr="00F45D61">
              <w:rPr>
                <w:rFonts w:ascii="Times New Roman" w:eastAsia="Times New Roman" w:hAnsi="Times New Roman" w:cs="Times New Roman"/>
                <w:b/>
                <w:bCs/>
                <w:color w:val="000000"/>
                <w:kern w:val="0"/>
                <w:sz w:val="20"/>
                <w:szCs w:val="20"/>
                <w:lang w:eastAsia="ko-KR"/>
                <w14:ligatures w14:val="none"/>
              </w:rPr>
              <w:t xml:space="preserve"> 1.313-1.437 or 0.696-0.762</w:t>
            </w:r>
            <w:r w:rsidRPr="00F45D61">
              <w:rPr>
                <w:rFonts w:ascii="Times New Roman" w:eastAsia="Times New Roman" w:hAnsi="Times New Roman" w:cs="Times New Roman"/>
                <w:color w:val="000000"/>
                <w:kern w:val="0"/>
                <w:sz w:val="20"/>
                <w:szCs w:val="20"/>
                <w:lang w:eastAsia="ko-KR"/>
                <w14:ligatures w14:val="none"/>
              </w:rPr>
              <w:t xml:space="preserve">. </w:t>
            </w:r>
          </w:p>
        </w:tc>
      </w:tr>
      <w:tr w:rsidR="0091044E" w:rsidRPr="00F45D61" w14:paraId="60F98596" w14:textId="77777777" w:rsidTr="008405EC">
        <w:trPr>
          <w:trHeight w:val="1060"/>
        </w:trPr>
        <w:tc>
          <w:tcPr>
            <w:tcW w:w="960" w:type="dxa"/>
            <w:vMerge/>
            <w:vAlign w:val="center"/>
            <w:hideMark/>
          </w:tcPr>
          <w:p w14:paraId="38C3FBE3" w14:textId="77777777" w:rsidR="0091044E" w:rsidRPr="00F45D61" w:rsidRDefault="0091044E" w:rsidP="008405EC">
            <w:pPr>
              <w:spacing w:after="0" w:line="240" w:lineRule="auto"/>
              <w:rPr>
                <w:rFonts w:ascii="Times New Roman" w:eastAsia="Times New Roman" w:hAnsi="Times New Roman" w:cs="Times New Roman"/>
                <w:color w:val="000000"/>
                <w:kern w:val="0"/>
                <w:sz w:val="20"/>
                <w:szCs w:val="20"/>
                <w:lang w:eastAsia="ko-KR"/>
                <w14:ligatures w14:val="none"/>
              </w:rPr>
            </w:pPr>
          </w:p>
        </w:tc>
        <w:tc>
          <w:tcPr>
            <w:tcW w:w="650" w:type="dxa"/>
            <w:vMerge/>
            <w:vAlign w:val="center"/>
            <w:hideMark/>
          </w:tcPr>
          <w:p w14:paraId="51A3043D" w14:textId="77777777" w:rsidR="0091044E" w:rsidRPr="00F45D61" w:rsidRDefault="0091044E" w:rsidP="008405EC">
            <w:pPr>
              <w:spacing w:after="0" w:line="240" w:lineRule="auto"/>
              <w:rPr>
                <w:rFonts w:ascii="Times New Roman" w:eastAsia="Times New Roman" w:hAnsi="Times New Roman" w:cs="Times New Roman"/>
                <w:color w:val="000000"/>
                <w:kern w:val="0"/>
                <w:sz w:val="20"/>
                <w:szCs w:val="20"/>
                <w:lang w:eastAsia="ko-KR"/>
                <w14:ligatures w14:val="none"/>
              </w:rPr>
            </w:pPr>
          </w:p>
        </w:tc>
        <w:tc>
          <w:tcPr>
            <w:tcW w:w="2430" w:type="dxa"/>
            <w:vMerge/>
            <w:vAlign w:val="center"/>
            <w:hideMark/>
          </w:tcPr>
          <w:p w14:paraId="75E66AA7" w14:textId="77777777" w:rsidR="0091044E" w:rsidRPr="00F45D61" w:rsidRDefault="0091044E" w:rsidP="008405EC">
            <w:pPr>
              <w:spacing w:after="0" w:line="240" w:lineRule="auto"/>
              <w:rPr>
                <w:rFonts w:ascii="Times New Roman" w:eastAsia="Times New Roman" w:hAnsi="Times New Roman" w:cs="Times New Roman"/>
                <w:color w:val="000000"/>
                <w:kern w:val="0"/>
                <w:sz w:val="20"/>
                <w:szCs w:val="20"/>
                <w:lang w:eastAsia="ko-KR"/>
                <w14:ligatures w14:val="none"/>
              </w:rPr>
            </w:pPr>
          </w:p>
        </w:tc>
        <w:tc>
          <w:tcPr>
            <w:tcW w:w="5850" w:type="dxa"/>
            <w:shd w:val="clear" w:color="auto" w:fill="auto"/>
            <w:hideMark/>
          </w:tcPr>
          <w:p w14:paraId="23968859" w14:textId="77777777" w:rsidR="0091044E" w:rsidRPr="00F45D61" w:rsidRDefault="0091044E" w:rsidP="008405EC">
            <w:pPr>
              <w:spacing w:after="0" w:line="240" w:lineRule="auto"/>
              <w:rPr>
                <w:rFonts w:ascii="Times New Roman" w:eastAsia="Times New Roman" w:hAnsi="Times New Roman" w:cs="Times New Roman"/>
                <w:color w:val="000000"/>
                <w:kern w:val="0"/>
                <w:sz w:val="20"/>
                <w:szCs w:val="20"/>
                <w:lang w:eastAsia="ko-KR"/>
                <w14:ligatures w14:val="none"/>
              </w:rPr>
            </w:pPr>
            <w:r w:rsidRPr="00F45D61">
              <w:rPr>
                <w:rFonts w:ascii="Times New Roman" w:eastAsia="Times New Roman" w:hAnsi="Times New Roman" w:cs="Times New Roman"/>
                <w:color w:val="000000"/>
                <w:kern w:val="0"/>
                <w:sz w:val="20"/>
                <w:szCs w:val="20"/>
                <w:lang w:eastAsia="ko-KR"/>
                <w14:ligatures w14:val="none"/>
              </w:rPr>
              <w:t>At least</w:t>
            </w:r>
            <w:r w:rsidRPr="00F45D61">
              <w:rPr>
                <w:rFonts w:ascii="Times New Roman" w:eastAsia="Times New Roman" w:hAnsi="Times New Roman" w:cs="Times New Roman"/>
                <w:b/>
                <w:bCs/>
                <w:color w:val="000000"/>
                <w:kern w:val="0"/>
                <w:sz w:val="20"/>
                <w:szCs w:val="20"/>
                <w:lang w:eastAsia="ko-KR"/>
                <w14:ligatures w14:val="none"/>
              </w:rPr>
              <w:t xml:space="preserve"> two studies* and less than five studies </w:t>
            </w:r>
            <w:r w:rsidRPr="00F45D61">
              <w:rPr>
                <w:rFonts w:ascii="Times New Roman" w:eastAsia="Times New Roman" w:hAnsi="Times New Roman" w:cs="Times New Roman"/>
                <w:color w:val="000000"/>
                <w:kern w:val="0"/>
                <w:sz w:val="20"/>
                <w:szCs w:val="20"/>
                <w:lang w:eastAsia="ko-KR"/>
                <w14:ligatures w14:val="none"/>
              </w:rPr>
              <w:t xml:space="preserve">with a </w:t>
            </w:r>
            <w:r w:rsidRPr="00F45D61">
              <w:rPr>
                <w:rFonts w:ascii="Times New Roman" w:eastAsia="Times New Roman" w:hAnsi="Times New Roman" w:cs="Times New Roman"/>
                <w:b/>
                <w:bCs/>
                <w:color w:val="000000"/>
                <w:kern w:val="0"/>
                <w:sz w:val="20"/>
                <w:szCs w:val="20"/>
                <w:lang w:eastAsia="ko-KR"/>
                <w14:ligatures w14:val="none"/>
              </w:rPr>
              <w:t xml:space="preserve">low risk of selection-bias </w:t>
            </w:r>
            <w:r w:rsidRPr="00F45D61">
              <w:rPr>
                <w:rFonts w:ascii="Times New Roman" w:eastAsia="Times New Roman" w:hAnsi="Times New Roman" w:cs="Times New Roman"/>
                <w:color w:val="000000"/>
                <w:kern w:val="0"/>
                <w:sz w:val="20"/>
                <w:szCs w:val="20"/>
                <w:lang w:eastAsia="ko-KR"/>
                <w14:ligatures w14:val="none"/>
              </w:rPr>
              <w:t xml:space="preserve">in at least </w:t>
            </w:r>
            <w:r w:rsidRPr="00F45D61">
              <w:rPr>
                <w:rFonts w:ascii="Times New Roman" w:eastAsia="Times New Roman" w:hAnsi="Times New Roman" w:cs="Times New Roman"/>
                <w:b/>
                <w:bCs/>
                <w:color w:val="000000"/>
                <w:kern w:val="0"/>
                <w:sz w:val="20"/>
                <w:szCs w:val="20"/>
                <w:lang w:eastAsia="ko-KR"/>
                <w14:ligatures w14:val="none"/>
              </w:rPr>
              <w:t>one meta-analysis</w:t>
            </w:r>
            <w:r w:rsidRPr="00F45D61">
              <w:rPr>
                <w:rFonts w:ascii="Times New Roman" w:eastAsia="Times New Roman" w:hAnsi="Times New Roman" w:cs="Times New Roman"/>
                <w:color w:val="000000"/>
                <w:kern w:val="0"/>
                <w:sz w:val="20"/>
                <w:szCs w:val="20"/>
                <w:lang w:eastAsia="ko-KR"/>
                <w14:ligatures w14:val="none"/>
              </w:rPr>
              <w:t>, with a</w:t>
            </w:r>
            <w:r w:rsidRPr="00F45D61">
              <w:rPr>
                <w:rFonts w:ascii="Times New Roman" w:eastAsia="Times New Roman" w:hAnsi="Times New Roman" w:cs="Times New Roman"/>
                <w:color w:val="C65911"/>
                <w:kern w:val="0"/>
                <w:sz w:val="20"/>
                <w:szCs w:val="20"/>
                <w:lang w:eastAsia="ko-KR"/>
                <w14:ligatures w14:val="none"/>
              </w:rPr>
              <w:t xml:space="preserve"> </w:t>
            </w:r>
            <w:r w:rsidRPr="00F45D61">
              <w:rPr>
                <w:rFonts w:ascii="Times New Roman" w:eastAsia="Times New Roman" w:hAnsi="Times New Roman" w:cs="Times New Roman"/>
                <w:kern w:val="0"/>
                <w:sz w:val="20"/>
                <w:szCs w:val="20"/>
                <w:lang w:eastAsia="ko-KR"/>
                <w14:ligatures w14:val="none"/>
              </w:rPr>
              <w:t xml:space="preserve">pooled effect size </w:t>
            </w:r>
            <w:r w:rsidRPr="00F45D61">
              <w:rPr>
                <w:rFonts w:ascii="Times New Roman" w:eastAsia="Times New Roman" w:hAnsi="Times New Roman" w:cs="Times New Roman"/>
                <w:color w:val="000000"/>
                <w:kern w:val="0"/>
                <w:sz w:val="20"/>
                <w:szCs w:val="20"/>
                <w:lang w:eastAsia="ko-KR"/>
                <w14:ligatures w14:val="none"/>
              </w:rPr>
              <w:t xml:space="preserve">of </w:t>
            </w:r>
            <w:r w:rsidRPr="00F45D61">
              <w:rPr>
                <w:rFonts w:ascii="Times New Roman" w:eastAsia="Times New Roman" w:hAnsi="Times New Roman" w:cs="Times New Roman"/>
                <w:b/>
                <w:bCs/>
                <w:color w:val="000000"/>
                <w:kern w:val="0"/>
                <w:sz w:val="20"/>
                <w:szCs w:val="20"/>
                <w:lang w:eastAsia="ko-KR"/>
                <w14:ligatures w14:val="none"/>
              </w:rPr>
              <w:t>absolute SMD &gt;0.2</w:t>
            </w:r>
            <w:r w:rsidRPr="00F45D61">
              <w:rPr>
                <w:rFonts w:ascii="Times New Roman" w:eastAsia="Times New Roman" w:hAnsi="Times New Roman" w:cs="Times New Roman"/>
                <w:color w:val="000000"/>
                <w:kern w:val="0"/>
                <w:sz w:val="20"/>
                <w:szCs w:val="20"/>
                <w:lang w:eastAsia="ko-KR"/>
                <w14:ligatures w14:val="none"/>
              </w:rPr>
              <w:t xml:space="preserve"> </w:t>
            </w:r>
            <w:r w:rsidRPr="00F45D61">
              <w:rPr>
                <w:rFonts w:ascii="Times New Roman" w:eastAsia="Times New Roman" w:hAnsi="Times New Roman" w:cs="Times New Roman"/>
                <w:b/>
                <w:bCs/>
                <w:color w:val="000000"/>
                <w:kern w:val="0"/>
                <w:sz w:val="20"/>
                <w:szCs w:val="20"/>
                <w:lang w:eastAsia="ko-KR"/>
                <w14:ligatures w14:val="none"/>
              </w:rPr>
              <w:t>SMD</w:t>
            </w:r>
            <w:r w:rsidRPr="00F45D61">
              <w:rPr>
                <w:rFonts w:ascii="Times New Roman" w:eastAsia="Times New Roman" w:hAnsi="Times New Roman" w:cs="Times New Roman"/>
                <w:color w:val="000000"/>
                <w:kern w:val="0"/>
                <w:sz w:val="20"/>
                <w:szCs w:val="20"/>
                <w:lang w:eastAsia="ko-KR"/>
                <w14:ligatures w14:val="none"/>
              </w:rPr>
              <w:t xml:space="preserve"> (for continuous variables) or </w:t>
            </w:r>
            <w:r w:rsidRPr="00F45D61">
              <w:rPr>
                <w:rFonts w:ascii="Times New Roman" w:eastAsia="Times New Roman" w:hAnsi="Times New Roman" w:cs="Times New Roman"/>
                <w:b/>
                <w:bCs/>
                <w:color w:val="000000"/>
                <w:kern w:val="0"/>
                <w:sz w:val="20"/>
                <w:szCs w:val="20"/>
                <w:lang w:eastAsia="ko-KR"/>
                <w14:ligatures w14:val="none"/>
              </w:rPr>
              <w:t>RR difference &gt;5% points</w:t>
            </w:r>
            <w:r w:rsidRPr="00F45D61">
              <w:rPr>
                <w:rFonts w:ascii="Times New Roman" w:eastAsia="Times New Roman" w:hAnsi="Times New Roman" w:cs="Times New Roman"/>
                <w:color w:val="000000"/>
                <w:kern w:val="0"/>
                <w:sz w:val="20"/>
                <w:szCs w:val="20"/>
                <w:lang w:eastAsia="ko-KR"/>
                <w14:ligatures w14:val="none"/>
              </w:rPr>
              <w:t xml:space="preserve"> (for binary variables) or </w:t>
            </w:r>
            <w:proofErr w:type="spellStart"/>
            <w:r w:rsidRPr="00F45D61">
              <w:rPr>
                <w:rFonts w:ascii="Times New Roman" w:eastAsia="Times New Roman" w:hAnsi="Times New Roman" w:cs="Times New Roman"/>
                <w:b/>
                <w:bCs/>
                <w:color w:val="000000"/>
                <w:kern w:val="0"/>
                <w:sz w:val="20"/>
                <w:szCs w:val="20"/>
                <w:lang w:eastAsia="ko-KR"/>
                <w14:ligatures w14:val="none"/>
              </w:rPr>
              <w:t>OR</w:t>
            </w:r>
            <w:proofErr w:type="spellEnd"/>
            <w:r w:rsidRPr="00F45D61">
              <w:rPr>
                <w:rFonts w:ascii="Times New Roman" w:eastAsia="Times New Roman" w:hAnsi="Times New Roman" w:cs="Times New Roman"/>
                <w:b/>
                <w:bCs/>
                <w:color w:val="000000"/>
                <w:kern w:val="0"/>
                <w:sz w:val="20"/>
                <w:szCs w:val="20"/>
                <w:lang w:eastAsia="ko-KR"/>
                <w14:ligatures w14:val="none"/>
              </w:rPr>
              <w:t xml:space="preserve"> &gt;1.437 or &lt;0.696</w:t>
            </w:r>
            <w:r w:rsidRPr="00F45D61">
              <w:rPr>
                <w:rFonts w:ascii="Times New Roman" w:eastAsia="Times New Roman" w:hAnsi="Times New Roman" w:cs="Times New Roman"/>
                <w:color w:val="000000"/>
                <w:kern w:val="0"/>
                <w:sz w:val="20"/>
                <w:szCs w:val="20"/>
                <w:lang w:eastAsia="ko-KR"/>
                <w14:ligatures w14:val="none"/>
              </w:rPr>
              <w:t xml:space="preserve"> (for binary variables). </w:t>
            </w:r>
          </w:p>
        </w:tc>
      </w:tr>
      <w:tr w:rsidR="0091044E" w:rsidRPr="00F45D61" w14:paraId="670554F1" w14:textId="77777777" w:rsidTr="008405EC">
        <w:trPr>
          <w:trHeight w:val="736"/>
        </w:trPr>
        <w:tc>
          <w:tcPr>
            <w:tcW w:w="960" w:type="dxa"/>
            <w:vMerge/>
            <w:vAlign w:val="center"/>
            <w:hideMark/>
          </w:tcPr>
          <w:p w14:paraId="5F86C1BA" w14:textId="77777777" w:rsidR="0091044E" w:rsidRPr="00F45D61" w:rsidRDefault="0091044E" w:rsidP="008405EC">
            <w:pPr>
              <w:spacing w:after="0" w:line="240" w:lineRule="auto"/>
              <w:rPr>
                <w:rFonts w:ascii="Times New Roman" w:eastAsia="Times New Roman" w:hAnsi="Times New Roman" w:cs="Times New Roman"/>
                <w:color w:val="000000"/>
                <w:kern w:val="0"/>
                <w:sz w:val="20"/>
                <w:szCs w:val="20"/>
                <w:lang w:eastAsia="ko-KR"/>
                <w14:ligatures w14:val="none"/>
              </w:rPr>
            </w:pPr>
          </w:p>
        </w:tc>
        <w:tc>
          <w:tcPr>
            <w:tcW w:w="650" w:type="dxa"/>
            <w:vMerge/>
            <w:vAlign w:val="center"/>
            <w:hideMark/>
          </w:tcPr>
          <w:p w14:paraId="4FC2EE89" w14:textId="77777777" w:rsidR="0091044E" w:rsidRPr="00F45D61" w:rsidRDefault="0091044E" w:rsidP="008405EC">
            <w:pPr>
              <w:spacing w:after="0" w:line="240" w:lineRule="auto"/>
              <w:rPr>
                <w:rFonts w:ascii="Times New Roman" w:eastAsia="Times New Roman" w:hAnsi="Times New Roman" w:cs="Times New Roman"/>
                <w:color w:val="000000"/>
                <w:kern w:val="0"/>
                <w:sz w:val="20"/>
                <w:szCs w:val="20"/>
                <w:lang w:eastAsia="ko-KR"/>
                <w14:ligatures w14:val="none"/>
              </w:rPr>
            </w:pPr>
          </w:p>
        </w:tc>
        <w:tc>
          <w:tcPr>
            <w:tcW w:w="2430" w:type="dxa"/>
            <w:vMerge/>
            <w:vAlign w:val="center"/>
            <w:hideMark/>
          </w:tcPr>
          <w:p w14:paraId="0445E22D" w14:textId="77777777" w:rsidR="0091044E" w:rsidRPr="00F45D61" w:rsidRDefault="0091044E" w:rsidP="008405EC">
            <w:pPr>
              <w:spacing w:after="0" w:line="240" w:lineRule="auto"/>
              <w:rPr>
                <w:rFonts w:ascii="Times New Roman" w:eastAsia="Times New Roman" w:hAnsi="Times New Roman" w:cs="Times New Roman"/>
                <w:color w:val="000000"/>
                <w:kern w:val="0"/>
                <w:sz w:val="20"/>
                <w:szCs w:val="20"/>
                <w:lang w:eastAsia="ko-KR"/>
                <w14:ligatures w14:val="none"/>
              </w:rPr>
            </w:pPr>
          </w:p>
        </w:tc>
        <w:tc>
          <w:tcPr>
            <w:tcW w:w="5850" w:type="dxa"/>
            <w:shd w:val="clear" w:color="auto" w:fill="auto"/>
            <w:hideMark/>
          </w:tcPr>
          <w:p w14:paraId="08029B1D" w14:textId="77777777" w:rsidR="0091044E" w:rsidRPr="00F45D61" w:rsidRDefault="0091044E" w:rsidP="008405EC">
            <w:pPr>
              <w:spacing w:after="0" w:line="240" w:lineRule="auto"/>
              <w:rPr>
                <w:rFonts w:ascii="Times New Roman" w:eastAsia="Times New Roman" w:hAnsi="Times New Roman" w:cs="Times New Roman"/>
                <w:color w:val="000000"/>
                <w:kern w:val="0"/>
                <w:sz w:val="20"/>
                <w:szCs w:val="20"/>
                <w:lang w:eastAsia="ko-KR"/>
                <w14:ligatures w14:val="none"/>
              </w:rPr>
            </w:pPr>
            <w:r w:rsidRPr="00F45D61">
              <w:rPr>
                <w:rFonts w:ascii="Times New Roman" w:eastAsia="Times New Roman" w:hAnsi="Times New Roman" w:cs="Times New Roman"/>
                <w:color w:val="000000"/>
                <w:kern w:val="0"/>
                <w:sz w:val="20"/>
                <w:szCs w:val="20"/>
                <w:lang w:eastAsia="ko-KR"/>
                <w14:ligatures w14:val="none"/>
              </w:rPr>
              <w:t xml:space="preserve">One or more systematic reviews (without meta-analysis) of </w:t>
            </w:r>
            <w:r w:rsidRPr="00F45D61">
              <w:rPr>
                <w:rFonts w:ascii="Times New Roman" w:eastAsia="Times New Roman" w:hAnsi="Times New Roman" w:cs="Times New Roman"/>
                <w:b/>
                <w:bCs/>
                <w:color w:val="000000"/>
                <w:kern w:val="0"/>
                <w:sz w:val="20"/>
                <w:szCs w:val="20"/>
                <w:lang w:eastAsia="ko-KR"/>
                <w14:ligatures w14:val="none"/>
              </w:rPr>
              <w:t>at least 5 studies*</w:t>
            </w:r>
            <w:r w:rsidRPr="00F45D61">
              <w:rPr>
                <w:rFonts w:ascii="Times New Roman" w:eastAsia="Times New Roman" w:hAnsi="Times New Roman" w:cs="Times New Roman"/>
                <w:color w:val="000000"/>
                <w:kern w:val="0"/>
                <w:sz w:val="20"/>
                <w:szCs w:val="20"/>
                <w:lang w:eastAsia="ko-KR"/>
                <w14:ligatures w14:val="none"/>
              </w:rPr>
              <w:t xml:space="preserve"> with a </w:t>
            </w:r>
            <w:r w:rsidRPr="00F45D61">
              <w:rPr>
                <w:rFonts w:ascii="Times New Roman" w:eastAsia="Times New Roman" w:hAnsi="Times New Roman" w:cs="Times New Roman"/>
                <w:b/>
                <w:bCs/>
                <w:color w:val="000000"/>
                <w:kern w:val="0"/>
                <w:sz w:val="20"/>
                <w:szCs w:val="20"/>
                <w:lang w:eastAsia="ko-KR"/>
                <w14:ligatures w14:val="none"/>
              </w:rPr>
              <w:t>low risk of selection bias</w:t>
            </w:r>
            <w:r w:rsidRPr="00F45D61">
              <w:rPr>
                <w:rFonts w:ascii="Times New Roman" w:eastAsia="Times New Roman" w:hAnsi="Times New Roman" w:cs="Times New Roman"/>
                <w:color w:val="000000"/>
                <w:kern w:val="0"/>
                <w:sz w:val="20"/>
                <w:szCs w:val="20"/>
                <w:lang w:eastAsia="ko-KR"/>
                <w14:ligatures w14:val="none"/>
              </w:rPr>
              <w:t xml:space="preserve"> in which significant positive effects are found for </w:t>
            </w:r>
            <w:r w:rsidRPr="00F45D61">
              <w:rPr>
                <w:rFonts w:ascii="Times New Roman" w:eastAsia="Times New Roman" w:hAnsi="Times New Roman" w:cs="Times New Roman"/>
                <w:b/>
                <w:bCs/>
                <w:color w:val="000000"/>
                <w:kern w:val="0"/>
                <w:sz w:val="20"/>
                <w:szCs w:val="20"/>
                <w:lang w:eastAsia="ko-KR"/>
                <w14:ligatures w14:val="none"/>
              </w:rPr>
              <w:t xml:space="preserve">at least 80% </w:t>
            </w:r>
            <w:r w:rsidRPr="00F45D61">
              <w:rPr>
                <w:rFonts w:ascii="Times New Roman" w:eastAsia="Times New Roman" w:hAnsi="Times New Roman" w:cs="Times New Roman"/>
                <w:color w:val="000000"/>
                <w:kern w:val="0"/>
                <w:sz w:val="20"/>
                <w:szCs w:val="20"/>
                <w:lang w:eastAsia="ko-KR"/>
                <w14:ligatures w14:val="none"/>
              </w:rPr>
              <w:t>of included studies.</w:t>
            </w:r>
          </w:p>
        </w:tc>
      </w:tr>
      <w:tr w:rsidR="0091044E" w:rsidRPr="00F45D61" w14:paraId="62D63F5C" w14:textId="77777777" w:rsidTr="008405EC">
        <w:trPr>
          <w:trHeight w:val="1150"/>
        </w:trPr>
        <w:tc>
          <w:tcPr>
            <w:tcW w:w="960" w:type="dxa"/>
            <w:vMerge w:val="restart"/>
            <w:shd w:val="clear" w:color="auto" w:fill="auto"/>
            <w:hideMark/>
          </w:tcPr>
          <w:p w14:paraId="52987E3C" w14:textId="77777777" w:rsidR="0091044E" w:rsidRPr="00F45D61" w:rsidRDefault="0091044E" w:rsidP="008405EC">
            <w:pPr>
              <w:spacing w:after="0" w:line="240" w:lineRule="auto"/>
              <w:rPr>
                <w:rFonts w:ascii="Times New Roman" w:eastAsia="Times New Roman" w:hAnsi="Times New Roman" w:cs="Times New Roman"/>
                <w:color w:val="000000"/>
                <w:kern w:val="0"/>
                <w:sz w:val="20"/>
                <w:szCs w:val="20"/>
                <w:lang w:eastAsia="ko-KR"/>
                <w14:ligatures w14:val="none"/>
              </w:rPr>
            </w:pPr>
            <w:r w:rsidRPr="00F45D61">
              <w:rPr>
                <w:rFonts w:ascii="Times New Roman" w:eastAsia="Times New Roman" w:hAnsi="Times New Roman" w:cs="Times New Roman"/>
                <w:color w:val="000000"/>
                <w:kern w:val="0"/>
                <w:sz w:val="20"/>
                <w:szCs w:val="20"/>
                <w:lang w:eastAsia="ko-KR"/>
                <w14:ligatures w14:val="none"/>
              </w:rPr>
              <w:t>Red</w:t>
            </w:r>
          </w:p>
        </w:tc>
        <w:tc>
          <w:tcPr>
            <w:tcW w:w="650" w:type="dxa"/>
            <w:vMerge w:val="restart"/>
            <w:shd w:val="clear" w:color="000000" w:fill="C00000"/>
            <w:hideMark/>
          </w:tcPr>
          <w:p w14:paraId="3F2FB816" w14:textId="77777777" w:rsidR="0091044E" w:rsidRPr="00F45D61" w:rsidRDefault="0091044E" w:rsidP="008405EC">
            <w:pPr>
              <w:spacing w:after="0" w:line="240" w:lineRule="auto"/>
              <w:jc w:val="center"/>
              <w:rPr>
                <w:rFonts w:ascii="Times New Roman" w:eastAsia="Times New Roman" w:hAnsi="Times New Roman" w:cs="Times New Roman"/>
                <w:color w:val="000000"/>
                <w:kern w:val="0"/>
                <w:sz w:val="20"/>
                <w:szCs w:val="20"/>
                <w:lang w:eastAsia="ko-KR"/>
                <w14:ligatures w14:val="none"/>
              </w:rPr>
            </w:pPr>
            <w:r w:rsidRPr="00F45D61">
              <w:rPr>
                <w:rFonts w:ascii="Times New Roman" w:eastAsia="Times New Roman" w:hAnsi="Times New Roman" w:cs="Times New Roman"/>
                <w:color w:val="000000"/>
                <w:kern w:val="0"/>
                <w:sz w:val="20"/>
                <w:szCs w:val="20"/>
                <w:lang w:eastAsia="ko-KR"/>
                <w14:ligatures w14:val="none"/>
              </w:rPr>
              <w:t> </w:t>
            </w:r>
          </w:p>
        </w:tc>
        <w:tc>
          <w:tcPr>
            <w:tcW w:w="2430" w:type="dxa"/>
            <w:vMerge w:val="restart"/>
            <w:shd w:val="clear" w:color="auto" w:fill="auto"/>
            <w:hideMark/>
          </w:tcPr>
          <w:p w14:paraId="24B5FA3D" w14:textId="77777777" w:rsidR="0091044E" w:rsidRPr="00F45D61" w:rsidRDefault="0091044E" w:rsidP="008405EC">
            <w:pPr>
              <w:spacing w:after="0" w:line="240" w:lineRule="auto"/>
              <w:rPr>
                <w:rFonts w:ascii="Times New Roman" w:eastAsia="Times New Roman" w:hAnsi="Times New Roman" w:cs="Times New Roman"/>
                <w:color w:val="000000"/>
                <w:kern w:val="0"/>
                <w:sz w:val="20"/>
                <w:szCs w:val="20"/>
                <w:lang w:eastAsia="ko-KR"/>
                <w14:ligatures w14:val="none"/>
              </w:rPr>
            </w:pPr>
            <w:r w:rsidRPr="00F45D61">
              <w:rPr>
                <w:rFonts w:ascii="Times New Roman" w:eastAsia="Times New Roman" w:hAnsi="Times New Roman" w:cs="Times New Roman"/>
                <w:color w:val="000000"/>
                <w:kern w:val="0"/>
                <w:sz w:val="20"/>
                <w:szCs w:val="20"/>
                <w:lang w:eastAsia="ko-KR"/>
                <w14:ligatures w14:val="none"/>
              </w:rPr>
              <w:t>The intervention is not likely to reduce the risk of malnutrition or improve dietary diversity</w:t>
            </w:r>
          </w:p>
        </w:tc>
        <w:tc>
          <w:tcPr>
            <w:tcW w:w="5850" w:type="dxa"/>
            <w:shd w:val="clear" w:color="auto" w:fill="auto"/>
            <w:hideMark/>
          </w:tcPr>
          <w:p w14:paraId="744DAC41" w14:textId="77777777" w:rsidR="0091044E" w:rsidRPr="00F45D61" w:rsidRDefault="0091044E" w:rsidP="008405EC">
            <w:pPr>
              <w:spacing w:after="0" w:line="240" w:lineRule="auto"/>
              <w:rPr>
                <w:rFonts w:ascii="Times New Roman" w:eastAsia="Times New Roman" w:hAnsi="Times New Roman" w:cs="Times New Roman"/>
                <w:color w:val="000000"/>
                <w:kern w:val="0"/>
                <w:sz w:val="20"/>
                <w:szCs w:val="20"/>
                <w:lang w:eastAsia="ko-KR"/>
                <w14:ligatures w14:val="none"/>
              </w:rPr>
            </w:pPr>
            <w:r w:rsidRPr="00F45D61">
              <w:rPr>
                <w:rFonts w:ascii="Times New Roman" w:eastAsia="Times New Roman" w:hAnsi="Times New Roman" w:cs="Times New Roman"/>
                <w:color w:val="000000"/>
                <w:kern w:val="0"/>
                <w:sz w:val="20"/>
                <w:szCs w:val="20"/>
                <w:lang w:eastAsia="ko-KR"/>
                <w14:ligatures w14:val="none"/>
              </w:rPr>
              <w:t xml:space="preserve">At least </w:t>
            </w:r>
            <w:r w:rsidRPr="00F45D61">
              <w:rPr>
                <w:rFonts w:ascii="Times New Roman" w:eastAsia="Times New Roman" w:hAnsi="Times New Roman" w:cs="Times New Roman"/>
                <w:b/>
                <w:bCs/>
                <w:color w:val="000000"/>
                <w:kern w:val="0"/>
                <w:sz w:val="20"/>
                <w:szCs w:val="20"/>
                <w:lang w:eastAsia="ko-KR"/>
                <w14:ligatures w14:val="none"/>
              </w:rPr>
              <w:t xml:space="preserve">five studies* </w:t>
            </w:r>
            <w:r w:rsidRPr="00F45D61">
              <w:rPr>
                <w:rFonts w:ascii="Times New Roman" w:eastAsia="Times New Roman" w:hAnsi="Times New Roman" w:cs="Times New Roman"/>
                <w:color w:val="000000"/>
                <w:kern w:val="0"/>
                <w:sz w:val="20"/>
                <w:szCs w:val="20"/>
                <w:lang w:eastAsia="ko-KR"/>
                <w14:ligatures w14:val="none"/>
              </w:rPr>
              <w:t>with a</w:t>
            </w:r>
            <w:r w:rsidRPr="00F45D61">
              <w:rPr>
                <w:rFonts w:ascii="Times New Roman" w:eastAsia="Times New Roman" w:hAnsi="Times New Roman" w:cs="Times New Roman"/>
                <w:b/>
                <w:bCs/>
                <w:color w:val="000000"/>
                <w:kern w:val="0"/>
                <w:sz w:val="20"/>
                <w:szCs w:val="20"/>
                <w:lang w:eastAsia="ko-KR"/>
                <w14:ligatures w14:val="none"/>
              </w:rPr>
              <w:t xml:space="preserve"> low risk of selection-bias</w:t>
            </w:r>
            <w:r w:rsidRPr="00F45D61">
              <w:rPr>
                <w:rFonts w:ascii="Times New Roman" w:eastAsia="Times New Roman" w:hAnsi="Times New Roman" w:cs="Times New Roman"/>
                <w:color w:val="000000"/>
                <w:kern w:val="0"/>
                <w:sz w:val="20"/>
                <w:szCs w:val="20"/>
                <w:lang w:eastAsia="ko-KR"/>
                <w14:ligatures w14:val="none"/>
              </w:rPr>
              <w:t xml:space="preserve"> in at least </w:t>
            </w:r>
            <w:r w:rsidRPr="00F45D61">
              <w:rPr>
                <w:rFonts w:ascii="Times New Roman" w:eastAsia="Times New Roman" w:hAnsi="Times New Roman" w:cs="Times New Roman"/>
                <w:b/>
                <w:bCs/>
                <w:color w:val="000000"/>
                <w:kern w:val="0"/>
                <w:sz w:val="20"/>
                <w:szCs w:val="20"/>
                <w:lang w:eastAsia="ko-KR"/>
                <w14:ligatures w14:val="none"/>
              </w:rPr>
              <w:t>one meta-analysis</w:t>
            </w:r>
            <w:r w:rsidRPr="00F45D61">
              <w:rPr>
                <w:rFonts w:ascii="Times New Roman" w:eastAsia="Times New Roman" w:hAnsi="Times New Roman" w:cs="Times New Roman"/>
                <w:color w:val="000000"/>
                <w:kern w:val="0"/>
                <w:sz w:val="20"/>
                <w:szCs w:val="20"/>
                <w:lang w:eastAsia="ko-KR"/>
                <w14:ligatures w14:val="none"/>
              </w:rPr>
              <w:t xml:space="preserve">, with a pooled effect size that is 1) </w:t>
            </w:r>
            <w:r w:rsidRPr="00F45D61">
              <w:rPr>
                <w:rFonts w:ascii="Times New Roman" w:eastAsia="Times New Roman" w:hAnsi="Times New Roman" w:cs="Times New Roman"/>
                <w:b/>
                <w:bCs/>
                <w:color w:val="000000"/>
                <w:kern w:val="0"/>
                <w:sz w:val="20"/>
                <w:szCs w:val="20"/>
                <w:lang w:eastAsia="ko-KR"/>
                <w14:ligatures w14:val="none"/>
              </w:rPr>
              <w:t xml:space="preserve">not </w:t>
            </w:r>
            <w:r w:rsidRPr="00F45D61">
              <w:rPr>
                <w:rFonts w:ascii="Times New Roman" w:eastAsia="Times New Roman" w:hAnsi="Times New Roman" w:cs="Times New Roman"/>
                <w:color w:val="000000"/>
                <w:kern w:val="0"/>
                <w:sz w:val="20"/>
                <w:szCs w:val="20"/>
                <w:lang w:eastAsia="ko-KR"/>
                <w14:ligatures w14:val="none"/>
              </w:rPr>
              <w:t xml:space="preserve">statistically significant </w:t>
            </w:r>
            <w:r w:rsidRPr="00F45D61">
              <w:rPr>
                <w:rFonts w:ascii="Times New Roman" w:eastAsia="Times New Roman" w:hAnsi="Times New Roman" w:cs="Times New Roman"/>
                <w:b/>
                <w:bCs/>
                <w:color w:val="000000"/>
                <w:kern w:val="0"/>
                <w:sz w:val="20"/>
                <w:szCs w:val="20"/>
                <w:lang w:eastAsia="ko-KR"/>
                <w14:ligatures w14:val="none"/>
              </w:rPr>
              <w:t>AND</w:t>
            </w:r>
            <w:r w:rsidRPr="00F45D61">
              <w:rPr>
                <w:rFonts w:ascii="Times New Roman" w:eastAsia="Times New Roman" w:hAnsi="Times New Roman" w:cs="Times New Roman"/>
                <w:color w:val="000000"/>
                <w:kern w:val="0"/>
                <w:sz w:val="20"/>
                <w:szCs w:val="20"/>
                <w:lang w:eastAsia="ko-KR"/>
                <w14:ligatures w14:val="none"/>
              </w:rPr>
              <w:t xml:space="preserve"> 2)</w:t>
            </w:r>
            <w:r w:rsidRPr="00F45D61">
              <w:rPr>
                <w:rFonts w:ascii="Times New Roman" w:eastAsia="Times New Roman" w:hAnsi="Times New Roman" w:cs="Times New Roman"/>
                <w:b/>
                <w:bCs/>
                <w:color w:val="000000"/>
                <w:kern w:val="0"/>
                <w:sz w:val="20"/>
                <w:szCs w:val="20"/>
                <w:lang w:eastAsia="ko-KR"/>
                <w14:ligatures w14:val="none"/>
              </w:rPr>
              <w:t xml:space="preserve"> absolute SMD &lt;0.10 </w:t>
            </w:r>
            <w:r w:rsidRPr="00F45D61">
              <w:rPr>
                <w:rFonts w:ascii="Times New Roman" w:eastAsia="Times New Roman" w:hAnsi="Times New Roman" w:cs="Times New Roman"/>
                <w:color w:val="000000"/>
                <w:kern w:val="0"/>
                <w:sz w:val="20"/>
                <w:szCs w:val="20"/>
                <w:lang w:eastAsia="ko-KR"/>
                <w14:ligatures w14:val="none"/>
              </w:rPr>
              <w:t xml:space="preserve">(for continuous variables) or </w:t>
            </w:r>
            <w:r w:rsidRPr="00F45D61">
              <w:rPr>
                <w:rFonts w:ascii="Times New Roman" w:eastAsia="Times New Roman" w:hAnsi="Times New Roman" w:cs="Times New Roman"/>
                <w:b/>
                <w:bCs/>
                <w:color w:val="000000"/>
                <w:kern w:val="0"/>
                <w:sz w:val="20"/>
                <w:szCs w:val="20"/>
                <w:lang w:eastAsia="ko-KR"/>
                <w14:ligatures w14:val="none"/>
              </w:rPr>
              <w:t>RR difference</w:t>
            </w:r>
            <w:r w:rsidRPr="00F45D61">
              <w:rPr>
                <w:rFonts w:ascii="Times New Roman" w:eastAsia="Times New Roman" w:hAnsi="Times New Roman" w:cs="Times New Roman"/>
                <w:color w:val="000000"/>
                <w:kern w:val="0"/>
                <w:sz w:val="20"/>
                <w:szCs w:val="20"/>
                <w:lang w:eastAsia="ko-KR"/>
                <w14:ligatures w14:val="none"/>
              </w:rPr>
              <w:t xml:space="preserve"> </w:t>
            </w:r>
            <w:r w:rsidRPr="00F45D61">
              <w:rPr>
                <w:rFonts w:ascii="Times New Roman" w:eastAsia="Times New Roman" w:hAnsi="Times New Roman" w:cs="Times New Roman"/>
                <w:b/>
                <w:bCs/>
                <w:color w:val="000000"/>
                <w:kern w:val="0"/>
                <w:sz w:val="20"/>
                <w:szCs w:val="20"/>
                <w:lang w:eastAsia="ko-KR"/>
                <w14:ligatures w14:val="none"/>
              </w:rPr>
              <w:t xml:space="preserve">&lt;3% points </w:t>
            </w:r>
            <w:r w:rsidRPr="00F45D61">
              <w:rPr>
                <w:rFonts w:ascii="Times New Roman" w:eastAsia="Times New Roman" w:hAnsi="Times New Roman" w:cs="Times New Roman"/>
                <w:color w:val="000000"/>
                <w:kern w:val="0"/>
                <w:sz w:val="20"/>
                <w:szCs w:val="20"/>
                <w:lang w:eastAsia="ko-KR"/>
                <w14:ligatures w14:val="none"/>
              </w:rPr>
              <w:t xml:space="preserve">(for binary variables) or </w:t>
            </w:r>
            <w:proofErr w:type="spellStart"/>
            <w:r w:rsidRPr="00F45D61">
              <w:rPr>
                <w:rFonts w:ascii="Times New Roman" w:eastAsia="Times New Roman" w:hAnsi="Times New Roman" w:cs="Times New Roman"/>
                <w:b/>
                <w:bCs/>
                <w:color w:val="000000"/>
                <w:kern w:val="0"/>
                <w:sz w:val="20"/>
                <w:szCs w:val="20"/>
                <w:lang w:eastAsia="ko-KR"/>
                <w14:ligatures w14:val="none"/>
              </w:rPr>
              <w:t>OR</w:t>
            </w:r>
            <w:proofErr w:type="spellEnd"/>
            <w:r w:rsidRPr="00F45D61">
              <w:rPr>
                <w:rFonts w:ascii="Times New Roman" w:eastAsia="Times New Roman" w:hAnsi="Times New Roman" w:cs="Times New Roman"/>
                <w:b/>
                <w:bCs/>
                <w:color w:val="000000"/>
                <w:kern w:val="0"/>
                <w:sz w:val="20"/>
                <w:szCs w:val="20"/>
                <w:lang w:eastAsia="ko-KR"/>
                <w14:ligatures w14:val="none"/>
              </w:rPr>
              <w:t xml:space="preserve"> 0.834-&lt;1.199</w:t>
            </w:r>
            <w:r w:rsidRPr="00F45D61">
              <w:rPr>
                <w:rFonts w:ascii="Times New Roman" w:eastAsia="Times New Roman" w:hAnsi="Times New Roman" w:cs="Times New Roman"/>
                <w:color w:val="000000"/>
                <w:kern w:val="0"/>
                <w:sz w:val="20"/>
                <w:szCs w:val="20"/>
                <w:lang w:eastAsia="ko-KR"/>
                <w14:ligatures w14:val="none"/>
              </w:rPr>
              <w:t xml:space="preserve"> (for binary variables)</w:t>
            </w:r>
          </w:p>
        </w:tc>
      </w:tr>
      <w:tr w:rsidR="0091044E" w:rsidRPr="00F45D61" w14:paraId="01632618" w14:textId="77777777" w:rsidTr="008405EC">
        <w:trPr>
          <w:trHeight w:val="169"/>
        </w:trPr>
        <w:tc>
          <w:tcPr>
            <w:tcW w:w="960" w:type="dxa"/>
            <w:vMerge/>
            <w:vAlign w:val="center"/>
            <w:hideMark/>
          </w:tcPr>
          <w:p w14:paraId="50498F1A" w14:textId="77777777" w:rsidR="0091044E" w:rsidRPr="00F45D61" w:rsidRDefault="0091044E" w:rsidP="008405EC">
            <w:pPr>
              <w:spacing w:after="0" w:line="240" w:lineRule="auto"/>
              <w:rPr>
                <w:rFonts w:ascii="Times New Roman" w:eastAsia="Times New Roman" w:hAnsi="Times New Roman" w:cs="Times New Roman"/>
                <w:color w:val="000000"/>
                <w:kern w:val="0"/>
                <w:sz w:val="20"/>
                <w:szCs w:val="20"/>
                <w:lang w:eastAsia="ko-KR"/>
                <w14:ligatures w14:val="none"/>
              </w:rPr>
            </w:pPr>
          </w:p>
        </w:tc>
        <w:tc>
          <w:tcPr>
            <w:tcW w:w="650" w:type="dxa"/>
            <w:vMerge/>
            <w:vAlign w:val="center"/>
            <w:hideMark/>
          </w:tcPr>
          <w:p w14:paraId="3103BAC1" w14:textId="77777777" w:rsidR="0091044E" w:rsidRPr="00F45D61" w:rsidRDefault="0091044E" w:rsidP="008405EC">
            <w:pPr>
              <w:spacing w:after="0" w:line="240" w:lineRule="auto"/>
              <w:rPr>
                <w:rFonts w:ascii="Times New Roman" w:eastAsia="Times New Roman" w:hAnsi="Times New Roman" w:cs="Times New Roman"/>
                <w:color w:val="000000"/>
                <w:kern w:val="0"/>
                <w:sz w:val="20"/>
                <w:szCs w:val="20"/>
                <w:lang w:eastAsia="ko-KR"/>
                <w14:ligatures w14:val="none"/>
              </w:rPr>
            </w:pPr>
          </w:p>
        </w:tc>
        <w:tc>
          <w:tcPr>
            <w:tcW w:w="2430" w:type="dxa"/>
            <w:vMerge/>
            <w:vAlign w:val="center"/>
            <w:hideMark/>
          </w:tcPr>
          <w:p w14:paraId="77203D93" w14:textId="77777777" w:rsidR="0091044E" w:rsidRPr="00F45D61" w:rsidRDefault="0091044E" w:rsidP="008405EC">
            <w:pPr>
              <w:spacing w:after="0" w:line="240" w:lineRule="auto"/>
              <w:rPr>
                <w:rFonts w:ascii="Times New Roman" w:eastAsia="Times New Roman" w:hAnsi="Times New Roman" w:cs="Times New Roman"/>
                <w:color w:val="000000"/>
                <w:kern w:val="0"/>
                <w:sz w:val="20"/>
                <w:szCs w:val="20"/>
                <w:lang w:eastAsia="ko-KR"/>
                <w14:ligatures w14:val="none"/>
              </w:rPr>
            </w:pPr>
          </w:p>
        </w:tc>
        <w:tc>
          <w:tcPr>
            <w:tcW w:w="5850" w:type="dxa"/>
            <w:shd w:val="clear" w:color="auto" w:fill="auto"/>
            <w:hideMark/>
          </w:tcPr>
          <w:p w14:paraId="2AE72AD6" w14:textId="77777777" w:rsidR="0091044E" w:rsidRPr="00F45D61" w:rsidRDefault="0091044E" w:rsidP="008405EC">
            <w:pPr>
              <w:spacing w:after="0" w:line="240" w:lineRule="auto"/>
              <w:rPr>
                <w:rFonts w:ascii="Times New Roman" w:eastAsia="Times New Roman" w:hAnsi="Times New Roman" w:cs="Times New Roman"/>
                <w:color w:val="000000"/>
                <w:kern w:val="0"/>
                <w:sz w:val="20"/>
                <w:szCs w:val="20"/>
                <w:lang w:eastAsia="ko-KR"/>
                <w14:ligatures w14:val="none"/>
              </w:rPr>
            </w:pPr>
            <w:r w:rsidRPr="00F45D61">
              <w:rPr>
                <w:rFonts w:ascii="Times New Roman" w:eastAsia="Times New Roman" w:hAnsi="Times New Roman" w:cs="Times New Roman"/>
                <w:color w:val="000000"/>
                <w:kern w:val="0"/>
                <w:sz w:val="20"/>
                <w:szCs w:val="20"/>
                <w:lang w:eastAsia="ko-KR"/>
                <w14:ligatures w14:val="none"/>
              </w:rPr>
              <w:t>More than</w:t>
            </w:r>
            <w:r w:rsidRPr="00F45D61">
              <w:rPr>
                <w:rFonts w:ascii="Times New Roman" w:eastAsia="Times New Roman" w:hAnsi="Times New Roman" w:cs="Times New Roman"/>
                <w:b/>
                <w:bCs/>
                <w:color w:val="000000"/>
                <w:kern w:val="0"/>
                <w:sz w:val="20"/>
                <w:szCs w:val="20"/>
                <w:lang w:eastAsia="ko-KR"/>
                <w14:ligatures w14:val="none"/>
              </w:rPr>
              <w:t xml:space="preserve"> one systematic review </w:t>
            </w:r>
            <w:r w:rsidRPr="00F45D61">
              <w:rPr>
                <w:rFonts w:ascii="Times New Roman" w:eastAsia="Times New Roman" w:hAnsi="Times New Roman" w:cs="Times New Roman"/>
                <w:color w:val="000000"/>
                <w:kern w:val="0"/>
                <w:sz w:val="20"/>
                <w:szCs w:val="20"/>
                <w:lang w:eastAsia="ko-KR"/>
                <w14:ligatures w14:val="none"/>
              </w:rPr>
              <w:t xml:space="preserve">(without meta-analysis) showing primarily (&gt;50%) small and </w:t>
            </w:r>
            <w:r w:rsidRPr="00F45D61">
              <w:rPr>
                <w:rFonts w:ascii="Times New Roman" w:eastAsia="Times New Roman" w:hAnsi="Times New Roman" w:cs="Times New Roman"/>
                <w:b/>
                <w:bCs/>
                <w:color w:val="000000"/>
                <w:kern w:val="0"/>
                <w:sz w:val="20"/>
                <w:szCs w:val="20"/>
                <w:lang w:eastAsia="ko-KR"/>
                <w14:ligatures w14:val="none"/>
              </w:rPr>
              <w:t>insignificant or negative</w:t>
            </w:r>
            <w:r w:rsidRPr="00F45D61">
              <w:rPr>
                <w:rFonts w:ascii="Times New Roman" w:eastAsia="Times New Roman" w:hAnsi="Times New Roman" w:cs="Times New Roman"/>
                <w:color w:val="000000"/>
                <w:kern w:val="0"/>
                <w:sz w:val="20"/>
                <w:szCs w:val="20"/>
                <w:lang w:eastAsia="ko-KR"/>
                <w14:ligatures w14:val="none"/>
              </w:rPr>
              <w:t xml:space="preserve"> effects </w:t>
            </w:r>
          </w:p>
        </w:tc>
      </w:tr>
      <w:tr w:rsidR="0091044E" w:rsidRPr="00F45D61" w14:paraId="6C129A71" w14:textId="77777777" w:rsidTr="008405EC">
        <w:trPr>
          <w:trHeight w:val="1150"/>
        </w:trPr>
        <w:tc>
          <w:tcPr>
            <w:tcW w:w="960" w:type="dxa"/>
            <w:vMerge w:val="restart"/>
            <w:shd w:val="clear" w:color="auto" w:fill="auto"/>
            <w:hideMark/>
          </w:tcPr>
          <w:p w14:paraId="53B90BBC" w14:textId="77777777" w:rsidR="0091044E" w:rsidRPr="00F45D61" w:rsidRDefault="0091044E" w:rsidP="008405EC">
            <w:pPr>
              <w:spacing w:after="0" w:line="240" w:lineRule="auto"/>
              <w:rPr>
                <w:rFonts w:ascii="Times New Roman" w:eastAsia="Times New Roman" w:hAnsi="Times New Roman" w:cs="Times New Roman"/>
                <w:color w:val="000000"/>
                <w:kern w:val="0"/>
                <w:sz w:val="20"/>
                <w:szCs w:val="20"/>
                <w:lang w:eastAsia="ko-KR"/>
                <w14:ligatures w14:val="none"/>
              </w:rPr>
            </w:pPr>
            <w:r w:rsidRPr="00F45D61">
              <w:rPr>
                <w:rFonts w:ascii="Times New Roman" w:eastAsia="Times New Roman" w:hAnsi="Times New Roman" w:cs="Times New Roman"/>
                <w:color w:val="000000"/>
                <w:kern w:val="0"/>
                <w:sz w:val="20"/>
                <w:szCs w:val="20"/>
                <w:lang w:eastAsia="ko-KR"/>
                <w14:ligatures w14:val="none"/>
              </w:rPr>
              <w:t>Grey</w:t>
            </w:r>
          </w:p>
        </w:tc>
        <w:tc>
          <w:tcPr>
            <w:tcW w:w="650" w:type="dxa"/>
            <w:vMerge w:val="restart"/>
            <w:shd w:val="clear" w:color="000000" w:fill="AEAAAA"/>
            <w:hideMark/>
          </w:tcPr>
          <w:p w14:paraId="7D03FACB" w14:textId="77777777" w:rsidR="0091044E" w:rsidRPr="00F45D61" w:rsidRDefault="0091044E" w:rsidP="008405EC">
            <w:pPr>
              <w:spacing w:after="0" w:line="240" w:lineRule="auto"/>
              <w:jc w:val="center"/>
              <w:rPr>
                <w:rFonts w:ascii="Times New Roman" w:eastAsia="Times New Roman" w:hAnsi="Times New Roman" w:cs="Times New Roman"/>
                <w:color w:val="000000"/>
                <w:kern w:val="0"/>
                <w:sz w:val="20"/>
                <w:szCs w:val="20"/>
                <w:lang w:eastAsia="ko-KR"/>
                <w14:ligatures w14:val="none"/>
              </w:rPr>
            </w:pPr>
            <w:r w:rsidRPr="00F45D61">
              <w:rPr>
                <w:rFonts w:ascii="Times New Roman" w:eastAsia="Times New Roman" w:hAnsi="Times New Roman" w:cs="Times New Roman"/>
                <w:color w:val="000000"/>
                <w:kern w:val="0"/>
                <w:sz w:val="20"/>
                <w:szCs w:val="20"/>
                <w:lang w:eastAsia="ko-KR"/>
                <w14:ligatures w14:val="none"/>
              </w:rPr>
              <w:t> </w:t>
            </w:r>
          </w:p>
        </w:tc>
        <w:tc>
          <w:tcPr>
            <w:tcW w:w="2430" w:type="dxa"/>
            <w:vMerge w:val="restart"/>
            <w:shd w:val="clear" w:color="auto" w:fill="auto"/>
            <w:hideMark/>
          </w:tcPr>
          <w:p w14:paraId="1CB93EB3" w14:textId="77777777" w:rsidR="0091044E" w:rsidRPr="00F45D61" w:rsidRDefault="0091044E" w:rsidP="008405EC">
            <w:pPr>
              <w:spacing w:after="0" w:line="240" w:lineRule="auto"/>
              <w:rPr>
                <w:rFonts w:ascii="Times New Roman" w:eastAsia="Times New Roman" w:hAnsi="Times New Roman" w:cs="Times New Roman"/>
                <w:color w:val="000000"/>
                <w:kern w:val="0"/>
                <w:sz w:val="20"/>
                <w:szCs w:val="20"/>
                <w:lang w:eastAsia="ko-KR"/>
                <w14:ligatures w14:val="none"/>
              </w:rPr>
            </w:pPr>
            <w:r w:rsidRPr="00F45D61">
              <w:rPr>
                <w:rFonts w:ascii="Times New Roman" w:eastAsia="Times New Roman" w:hAnsi="Times New Roman" w:cs="Times New Roman"/>
                <w:color w:val="000000"/>
                <w:kern w:val="0"/>
                <w:sz w:val="20"/>
                <w:szCs w:val="20"/>
                <w:lang w:eastAsia="ko-KR"/>
                <w14:ligatures w14:val="none"/>
              </w:rPr>
              <w:t>Inconclusive published research on the intervention’s effect on the outcome</w:t>
            </w:r>
          </w:p>
        </w:tc>
        <w:tc>
          <w:tcPr>
            <w:tcW w:w="5850" w:type="dxa"/>
            <w:shd w:val="clear" w:color="auto" w:fill="auto"/>
            <w:hideMark/>
          </w:tcPr>
          <w:p w14:paraId="09A723BC" w14:textId="77777777" w:rsidR="0091044E" w:rsidRPr="00F45D61" w:rsidRDefault="0091044E" w:rsidP="008405EC">
            <w:pPr>
              <w:spacing w:after="0" w:line="240" w:lineRule="auto"/>
              <w:rPr>
                <w:rFonts w:ascii="Times New Roman" w:eastAsia="Times New Roman" w:hAnsi="Times New Roman" w:cs="Times New Roman"/>
                <w:color w:val="000000"/>
                <w:kern w:val="0"/>
                <w:sz w:val="20"/>
                <w:szCs w:val="20"/>
                <w:lang w:eastAsia="ko-KR"/>
                <w14:ligatures w14:val="none"/>
              </w:rPr>
            </w:pPr>
            <w:r w:rsidRPr="00F45D61">
              <w:rPr>
                <w:rFonts w:ascii="Times New Roman" w:eastAsia="Times New Roman" w:hAnsi="Times New Roman" w:cs="Times New Roman"/>
                <w:b/>
                <w:bCs/>
                <w:color w:val="000000"/>
                <w:kern w:val="0"/>
                <w:sz w:val="20"/>
                <w:szCs w:val="20"/>
                <w:lang w:eastAsia="ko-KR"/>
                <w14:ligatures w14:val="none"/>
              </w:rPr>
              <w:t xml:space="preserve">One meta-analysis </w:t>
            </w:r>
            <w:r w:rsidRPr="00F45D61">
              <w:rPr>
                <w:rFonts w:ascii="Times New Roman" w:eastAsia="Times New Roman" w:hAnsi="Times New Roman" w:cs="Times New Roman"/>
                <w:color w:val="000000"/>
                <w:kern w:val="0"/>
                <w:sz w:val="20"/>
                <w:szCs w:val="20"/>
                <w:lang w:eastAsia="ko-KR"/>
                <w14:ligatures w14:val="none"/>
              </w:rPr>
              <w:t xml:space="preserve">showing: 1) significant positive effects of </w:t>
            </w:r>
            <w:r w:rsidRPr="00F45D61">
              <w:rPr>
                <w:rFonts w:ascii="Times New Roman" w:eastAsia="Times New Roman" w:hAnsi="Times New Roman" w:cs="Times New Roman"/>
                <w:b/>
                <w:bCs/>
                <w:color w:val="000000"/>
                <w:kern w:val="0"/>
                <w:sz w:val="20"/>
                <w:szCs w:val="20"/>
                <w:lang w:eastAsia="ko-KR"/>
                <w14:ligatures w14:val="none"/>
              </w:rPr>
              <w:t>absolute</w:t>
            </w:r>
            <w:r w:rsidRPr="00F45D61">
              <w:rPr>
                <w:rFonts w:ascii="Times New Roman" w:eastAsia="Times New Roman" w:hAnsi="Times New Roman" w:cs="Times New Roman"/>
                <w:color w:val="000000"/>
                <w:kern w:val="0"/>
                <w:sz w:val="20"/>
                <w:szCs w:val="20"/>
                <w:lang w:eastAsia="ko-KR"/>
                <w14:ligatures w14:val="none"/>
              </w:rPr>
              <w:t xml:space="preserve"> </w:t>
            </w:r>
            <w:r w:rsidRPr="00F45D61">
              <w:rPr>
                <w:rFonts w:ascii="Times New Roman" w:eastAsia="Times New Roman" w:hAnsi="Times New Roman" w:cs="Times New Roman"/>
                <w:b/>
                <w:bCs/>
                <w:color w:val="000000"/>
                <w:kern w:val="0"/>
                <w:sz w:val="20"/>
                <w:szCs w:val="20"/>
                <w:lang w:eastAsia="ko-KR"/>
                <w14:ligatures w14:val="none"/>
              </w:rPr>
              <w:t xml:space="preserve">SMD &lt;0.15 </w:t>
            </w:r>
            <w:r w:rsidRPr="00F45D61">
              <w:rPr>
                <w:rFonts w:ascii="Times New Roman" w:eastAsia="Times New Roman" w:hAnsi="Times New Roman" w:cs="Times New Roman"/>
                <w:color w:val="000000"/>
                <w:kern w:val="0"/>
                <w:sz w:val="20"/>
                <w:szCs w:val="20"/>
                <w:lang w:eastAsia="ko-KR"/>
                <w14:ligatures w14:val="none"/>
              </w:rPr>
              <w:t xml:space="preserve">(for continuous variables) or </w:t>
            </w:r>
            <w:r w:rsidRPr="00F45D61">
              <w:rPr>
                <w:rFonts w:ascii="Times New Roman" w:eastAsia="Times New Roman" w:hAnsi="Times New Roman" w:cs="Times New Roman"/>
                <w:b/>
                <w:bCs/>
                <w:color w:val="000000"/>
                <w:kern w:val="0"/>
                <w:sz w:val="20"/>
                <w:szCs w:val="20"/>
                <w:lang w:eastAsia="ko-KR"/>
                <w14:ligatures w14:val="none"/>
              </w:rPr>
              <w:t>RR difference</w:t>
            </w:r>
            <w:r w:rsidRPr="00F45D61">
              <w:rPr>
                <w:rFonts w:ascii="Times New Roman" w:eastAsia="Times New Roman" w:hAnsi="Times New Roman" w:cs="Times New Roman"/>
                <w:color w:val="000000"/>
                <w:kern w:val="0"/>
                <w:sz w:val="20"/>
                <w:szCs w:val="20"/>
                <w:lang w:eastAsia="ko-KR"/>
                <w14:ligatures w14:val="none"/>
              </w:rPr>
              <w:t xml:space="preserve"> &lt;</w:t>
            </w:r>
            <w:r w:rsidRPr="00F45D61">
              <w:rPr>
                <w:rFonts w:ascii="Times New Roman" w:eastAsia="Times New Roman" w:hAnsi="Times New Roman" w:cs="Times New Roman"/>
                <w:b/>
                <w:bCs/>
                <w:color w:val="000000"/>
                <w:kern w:val="0"/>
                <w:sz w:val="20"/>
                <w:szCs w:val="20"/>
                <w:lang w:eastAsia="ko-KR"/>
                <w14:ligatures w14:val="none"/>
              </w:rPr>
              <w:t xml:space="preserve">5% points </w:t>
            </w:r>
            <w:r w:rsidRPr="00F45D61">
              <w:rPr>
                <w:rFonts w:ascii="Times New Roman" w:eastAsia="Times New Roman" w:hAnsi="Times New Roman" w:cs="Times New Roman"/>
                <w:color w:val="000000"/>
                <w:kern w:val="0"/>
                <w:sz w:val="20"/>
                <w:szCs w:val="20"/>
                <w:lang w:eastAsia="ko-KR"/>
                <w14:ligatures w14:val="none"/>
              </w:rPr>
              <w:t xml:space="preserve">(for binary variables); </w:t>
            </w:r>
            <w:r w:rsidRPr="00F45D61">
              <w:rPr>
                <w:rFonts w:ascii="Times New Roman" w:eastAsia="Times New Roman" w:hAnsi="Times New Roman" w:cs="Times New Roman"/>
                <w:b/>
                <w:bCs/>
                <w:color w:val="000000"/>
                <w:kern w:val="0"/>
                <w:sz w:val="20"/>
                <w:szCs w:val="20"/>
                <w:lang w:eastAsia="ko-KR"/>
                <w14:ligatures w14:val="none"/>
              </w:rPr>
              <w:t>OR</w:t>
            </w:r>
            <w:r w:rsidRPr="00F45D61">
              <w:rPr>
                <w:rFonts w:ascii="Times New Roman" w:eastAsia="Times New Roman" w:hAnsi="Times New Roman" w:cs="Times New Roman"/>
                <w:color w:val="000000"/>
                <w:kern w:val="0"/>
                <w:sz w:val="20"/>
                <w:szCs w:val="20"/>
                <w:lang w:eastAsia="ko-KR"/>
                <w14:ligatures w14:val="none"/>
              </w:rPr>
              <w:t xml:space="preserve"> 2) non-significant positive effects of </w:t>
            </w:r>
            <w:r w:rsidRPr="00F45D61">
              <w:rPr>
                <w:rFonts w:ascii="Times New Roman" w:eastAsia="Times New Roman" w:hAnsi="Times New Roman" w:cs="Times New Roman"/>
                <w:b/>
                <w:bCs/>
                <w:color w:val="000000"/>
                <w:kern w:val="0"/>
                <w:sz w:val="20"/>
                <w:szCs w:val="20"/>
                <w:lang w:eastAsia="ko-KR"/>
                <w14:ligatures w14:val="none"/>
              </w:rPr>
              <w:t>absolute SMD</w:t>
            </w:r>
            <w:r w:rsidRPr="00F45D61">
              <w:rPr>
                <w:rFonts w:ascii="Times New Roman" w:eastAsia="Times New Roman" w:hAnsi="Times New Roman" w:cs="Times New Roman"/>
                <w:color w:val="000000"/>
                <w:kern w:val="0"/>
                <w:sz w:val="20"/>
                <w:szCs w:val="20"/>
                <w:lang w:eastAsia="ko-KR"/>
                <w14:ligatures w14:val="none"/>
              </w:rPr>
              <w:t xml:space="preserve"> </w:t>
            </w:r>
            <w:r w:rsidRPr="00F45D61">
              <w:rPr>
                <w:rFonts w:ascii="Times New Roman" w:eastAsia="Times New Roman" w:hAnsi="Times New Roman" w:cs="Times New Roman"/>
                <w:b/>
                <w:bCs/>
                <w:color w:val="000000"/>
                <w:kern w:val="0"/>
                <w:sz w:val="20"/>
                <w:szCs w:val="20"/>
                <w:lang w:eastAsia="ko-KR"/>
                <w14:ligatures w14:val="none"/>
              </w:rPr>
              <w:t>&gt;0.10 or RR difference 3-5%</w:t>
            </w:r>
            <w:r w:rsidRPr="00F45D61">
              <w:rPr>
                <w:rFonts w:ascii="Times New Roman" w:eastAsia="Times New Roman" w:hAnsi="Times New Roman" w:cs="Times New Roman"/>
                <w:b/>
                <w:bCs/>
                <w:kern w:val="0"/>
                <w:sz w:val="20"/>
                <w:szCs w:val="20"/>
                <w:lang w:eastAsia="ko-KR"/>
                <w14:ligatures w14:val="none"/>
              </w:rPr>
              <w:t xml:space="preserve"> points</w:t>
            </w:r>
            <w:r w:rsidRPr="00F45D61">
              <w:rPr>
                <w:rFonts w:ascii="Times New Roman" w:eastAsia="Times New Roman" w:hAnsi="Times New Roman" w:cs="Times New Roman"/>
                <w:kern w:val="0"/>
                <w:sz w:val="20"/>
                <w:szCs w:val="20"/>
                <w:lang w:eastAsia="ko-KR"/>
                <w14:ligatures w14:val="none"/>
              </w:rPr>
              <w:t>; OR 3) cases cannot meet the criteria for any other colors</w:t>
            </w:r>
          </w:p>
        </w:tc>
      </w:tr>
      <w:tr w:rsidR="0091044E" w:rsidRPr="00F45D61" w14:paraId="30BE10EE" w14:textId="77777777" w:rsidTr="008405EC">
        <w:trPr>
          <w:trHeight w:val="44"/>
        </w:trPr>
        <w:tc>
          <w:tcPr>
            <w:tcW w:w="960" w:type="dxa"/>
            <w:vMerge/>
            <w:vAlign w:val="center"/>
            <w:hideMark/>
          </w:tcPr>
          <w:p w14:paraId="20BBD544" w14:textId="77777777" w:rsidR="0091044E" w:rsidRPr="00F45D61" w:rsidRDefault="0091044E" w:rsidP="008405EC">
            <w:pPr>
              <w:spacing w:after="0" w:line="240" w:lineRule="auto"/>
              <w:rPr>
                <w:rFonts w:ascii="Times New Roman" w:eastAsia="Times New Roman" w:hAnsi="Times New Roman" w:cs="Times New Roman"/>
                <w:color w:val="000000"/>
                <w:kern w:val="0"/>
                <w:sz w:val="20"/>
                <w:szCs w:val="20"/>
                <w:lang w:eastAsia="ko-KR"/>
                <w14:ligatures w14:val="none"/>
              </w:rPr>
            </w:pPr>
          </w:p>
        </w:tc>
        <w:tc>
          <w:tcPr>
            <w:tcW w:w="650" w:type="dxa"/>
            <w:vMerge/>
            <w:vAlign w:val="center"/>
            <w:hideMark/>
          </w:tcPr>
          <w:p w14:paraId="60F1610D" w14:textId="77777777" w:rsidR="0091044E" w:rsidRPr="00F45D61" w:rsidRDefault="0091044E" w:rsidP="008405EC">
            <w:pPr>
              <w:spacing w:after="0" w:line="240" w:lineRule="auto"/>
              <w:rPr>
                <w:rFonts w:ascii="Times New Roman" w:eastAsia="Times New Roman" w:hAnsi="Times New Roman" w:cs="Times New Roman"/>
                <w:color w:val="000000"/>
                <w:kern w:val="0"/>
                <w:sz w:val="20"/>
                <w:szCs w:val="20"/>
                <w:lang w:eastAsia="ko-KR"/>
                <w14:ligatures w14:val="none"/>
              </w:rPr>
            </w:pPr>
          </w:p>
        </w:tc>
        <w:tc>
          <w:tcPr>
            <w:tcW w:w="2430" w:type="dxa"/>
            <w:vMerge/>
            <w:vAlign w:val="center"/>
            <w:hideMark/>
          </w:tcPr>
          <w:p w14:paraId="27251747" w14:textId="77777777" w:rsidR="0091044E" w:rsidRPr="00F45D61" w:rsidRDefault="0091044E" w:rsidP="008405EC">
            <w:pPr>
              <w:spacing w:after="0" w:line="240" w:lineRule="auto"/>
              <w:rPr>
                <w:rFonts w:ascii="Times New Roman" w:eastAsia="Times New Roman" w:hAnsi="Times New Roman" w:cs="Times New Roman"/>
                <w:color w:val="000000"/>
                <w:kern w:val="0"/>
                <w:sz w:val="20"/>
                <w:szCs w:val="20"/>
                <w:lang w:eastAsia="ko-KR"/>
                <w14:ligatures w14:val="none"/>
              </w:rPr>
            </w:pPr>
          </w:p>
        </w:tc>
        <w:tc>
          <w:tcPr>
            <w:tcW w:w="5850" w:type="dxa"/>
            <w:shd w:val="clear" w:color="auto" w:fill="auto"/>
            <w:hideMark/>
          </w:tcPr>
          <w:p w14:paraId="54FAB351" w14:textId="77777777" w:rsidR="0091044E" w:rsidRPr="00F45D61" w:rsidRDefault="0091044E" w:rsidP="008405EC">
            <w:pPr>
              <w:spacing w:after="0" w:line="240" w:lineRule="auto"/>
              <w:rPr>
                <w:rFonts w:ascii="Times New Roman" w:eastAsia="Times New Roman" w:hAnsi="Times New Roman" w:cs="Times New Roman"/>
                <w:color w:val="000000"/>
                <w:kern w:val="0"/>
                <w:sz w:val="20"/>
                <w:szCs w:val="20"/>
                <w:lang w:eastAsia="ko-KR"/>
                <w14:ligatures w14:val="none"/>
              </w:rPr>
            </w:pPr>
            <w:r w:rsidRPr="00F45D61">
              <w:rPr>
                <w:rFonts w:ascii="Times New Roman" w:eastAsia="Times New Roman" w:hAnsi="Times New Roman" w:cs="Times New Roman"/>
                <w:b/>
                <w:bCs/>
                <w:color w:val="000000"/>
                <w:kern w:val="0"/>
                <w:sz w:val="20"/>
                <w:szCs w:val="20"/>
                <w:lang w:eastAsia="ko-KR"/>
                <w14:ligatures w14:val="none"/>
              </w:rPr>
              <w:t xml:space="preserve">One systematic review </w:t>
            </w:r>
            <w:r w:rsidRPr="00F45D61">
              <w:rPr>
                <w:rFonts w:ascii="Times New Roman" w:eastAsia="Times New Roman" w:hAnsi="Times New Roman" w:cs="Times New Roman"/>
                <w:color w:val="000000"/>
                <w:kern w:val="0"/>
                <w:sz w:val="20"/>
                <w:szCs w:val="20"/>
                <w:lang w:eastAsia="ko-KR"/>
                <w14:ligatures w14:val="none"/>
              </w:rPr>
              <w:t>showing null or only small positive effects</w:t>
            </w:r>
          </w:p>
        </w:tc>
      </w:tr>
      <w:tr w:rsidR="0091044E" w:rsidRPr="00F45D61" w14:paraId="7E220325" w14:textId="77777777" w:rsidTr="008405EC">
        <w:trPr>
          <w:trHeight w:val="133"/>
        </w:trPr>
        <w:tc>
          <w:tcPr>
            <w:tcW w:w="960" w:type="dxa"/>
            <w:vMerge w:val="restart"/>
            <w:shd w:val="clear" w:color="auto" w:fill="auto"/>
            <w:hideMark/>
          </w:tcPr>
          <w:p w14:paraId="069C4086" w14:textId="77777777" w:rsidR="0091044E" w:rsidRPr="00F45D61" w:rsidRDefault="0091044E" w:rsidP="008405EC">
            <w:pPr>
              <w:spacing w:after="0" w:line="240" w:lineRule="auto"/>
              <w:rPr>
                <w:rFonts w:ascii="Times New Roman" w:eastAsia="Times New Roman" w:hAnsi="Times New Roman" w:cs="Times New Roman"/>
                <w:color w:val="000000"/>
                <w:kern w:val="0"/>
                <w:sz w:val="20"/>
                <w:szCs w:val="20"/>
                <w:lang w:eastAsia="ko-KR"/>
                <w14:ligatures w14:val="none"/>
              </w:rPr>
            </w:pPr>
            <w:r w:rsidRPr="00F45D61">
              <w:rPr>
                <w:rFonts w:ascii="Times New Roman" w:eastAsia="Times New Roman" w:hAnsi="Times New Roman" w:cs="Times New Roman"/>
                <w:color w:val="000000"/>
                <w:kern w:val="0"/>
                <w:sz w:val="20"/>
                <w:szCs w:val="20"/>
                <w:lang w:eastAsia="ko-KR"/>
                <w14:ligatures w14:val="none"/>
              </w:rPr>
              <w:t>Blue</w:t>
            </w:r>
          </w:p>
        </w:tc>
        <w:tc>
          <w:tcPr>
            <w:tcW w:w="650" w:type="dxa"/>
            <w:vMerge w:val="restart"/>
            <w:shd w:val="clear" w:color="auto" w:fill="156082" w:themeFill="accent1"/>
            <w:hideMark/>
          </w:tcPr>
          <w:p w14:paraId="336401CA" w14:textId="77777777" w:rsidR="0091044E" w:rsidRPr="00F45D61" w:rsidRDefault="0091044E" w:rsidP="008405EC">
            <w:pPr>
              <w:spacing w:after="0" w:line="240" w:lineRule="auto"/>
              <w:jc w:val="center"/>
              <w:rPr>
                <w:rFonts w:ascii="Times New Roman" w:eastAsia="Times New Roman" w:hAnsi="Times New Roman" w:cs="Times New Roman"/>
                <w:color w:val="000000"/>
                <w:kern w:val="0"/>
                <w:sz w:val="20"/>
                <w:szCs w:val="20"/>
                <w:lang w:eastAsia="ko-KR"/>
                <w14:ligatures w14:val="none"/>
              </w:rPr>
            </w:pPr>
            <w:r w:rsidRPr="00F45D61">
              <w:rPr>
                <w:rFonts w:ascii="Times New Roman" w:eastAsia="Times New Roman" w:hAnsi="Times New Roman" w:cs="Times New Roman"/>
                <w:color w:val="000000"/>
                <w:kern w:val="0"/>
                <w:sz w:val="20"/>
                <w:szCs w:val="20"/>
                <w:lang w:eastAsia="ko-KR"/>
                <w14:ligatures w14:val="none"/>
              </w:rPr>
              <w:t> </w:t>
            </w:r>
          </w:p>
        </w:tc>
        <w:tc>
          <w:tcPr>
            <w:tcW w:w="2430" w:type="dxa"/>
            <w:vMerge w:val="restart"/>
            <w:shd w:val="clear" w:color="auto" w:fill="auto"/>
            <w:hideMark/>
          </w:tcPr>
          <w:p w14:paraId="1EA56333" w14:textId="77777777" w:rsidR="0091044E" w:rsidRPr="00F45D61" w:rsidRDefault="0091044E" w:rsidP="008405EC">
            <w:pPr>
              <w:spacing w:after="0" w:line="240" w:lineRule="auto"/>
              <w:rPr>
                <w:rFonts w:ascii="Times New Roman" w:eastAsia="Times New Roman" w:hAnsi="Times New Roman" w:cs="Times New Roman"/>
                <w:color w:val="000000"/>
                <w:kern w:val="0"/>
                <w:sz w:val="20"/>
                <w:szCs w:val="20"/>
                <w:lang w:eastAsia="ko-KR"/>
                <w14:ligatures w14:val="none"/>
              </w:rPr>
            </w:pPr>
            <w:r w:rsidRPr="00F45D61">
              <w:rPr>
                <w:rFonts w:ascii="Times New Roman" w:eastAsia="Times New Roman" w:hAnsi="Times New Roman" w:cs="Times New Roman"/>
                <w:color w:val="000000"/>
                <w:kern w:val="0"/>
                <w:sz w:val="20"/>
                <w:szCs w:val="20"/>
                <w:lang w:eastAsia="ko-KR"/>
                <w14:ligatures w14:val="none"/>
              </w:rPr>
              <w:t>Insufficient published research on the intervention’s effect on the outcome.</w:t>
            </w:r>
          </w:p>
        </w:tc>
        <w:tc>
          <w:tcPr>
            <w:tcW w:w="5850" w:type="dxa"/>
            <w:shd w:val="clear" w:color="auto" w:fill="auto"/>
            <w:hideMark/>
          </w:tcPr>
          <w:p w14:paraId="49DB5393" w14:textId="77777777" w:rsidR="0091044E" w:rsidRPr="00F45D61" w:rsidRDefault="0091044E" w:rsidP="008405EC">
            <w:pPr>
              <w:spacing w:after="0" w:line="240" w:lineRule="auto"/>
              <w:rPr>
                <w:rFonts w:ascii="Times New Roman" w:eastAsia="Times New Roman" w:hAnsi="Times New Roman" w:cs="Times New Roman"/>
                <w:color w:val="000000"/>
                <w:kern w:val="0"/>
                <w:sz w:val="20"/>
                <w:szCs w:val="20"/>
                <w:lang w:eastAsia="ko-KR"/>
                <w14:ligatures w14:val="none"/>
              </w:rPr>
            </w:pPr>
            <w:r w:rsidRPr="00F45D61">
              <w:rPr>
                <w:rFonts w:ascii="Times New Roman" w:eastAsia="Times New Roman" w:hAnsi="Times New Roman" w:cs="Times New Roman"/>
                <w:color w:val="000000"/>
                <w:kern w:val="0"/>
                <w:sz w:val="20"/>
                <w:szCs w:val="20"/>
                <w:lang w:eastAsia="ko-KR"/>
                <w14:ligatures w14:val="none"/>
              </w:rPr>
              <w:t xml:space="preserve">Less than </w:t>
            </w:r>
            <w:r w:rsidRPr="00F45D61">
              <w:rPr>
                <w:rFonts w:ascii="Times New Roman" w:eastAsia="Times New Roman" w:hAnsi="Times New Roman" w:cs="Times New Roman"/>
                <w:b/>
                <w:bCs/>
                <w:color w:val="000000"/>
                <w:kern w:val="0"/>
                <w:sz w:val="20"/>
                <w:szCs w:val="20"/>
                <w:lang w:eastAsia="ko-KR"/>
                <w14:ligatures w14:val="none"/>
              </w:rPr>
              <w:t>three studies*</w:t>
            </w:r>
            <w:r w:rsidRPr="00F45D61">
              <w:rPr>
                <w:rFonts w:ascii="Times New Roman" w:eastAsia="Times New Roman" w:hAnsi="Times New Roman" w:cs="Times New Roman"/>
                <w:color w:val="000000"/>
                <w:kern w:val="0"/>
                <w:sz w:val="20"/>
                <w:szCs w:val="20"/>
                <w:lang w:eastAsia="ko-KR"/>
                <w14:ligatures w14:val="none"/>
              </w:rPr>
              <w:t xml:space="preserve"> with a </w:t>
            </w:r>
            <w:r w:rsidRPr="00F45D61">
              <w:rPr>
                <w:rFonts w:ascii="Times New Roman" w:eastAsia="Times New Roman" w:hAnsi="Times New Roman" w:cs="Times New Roman"/>
                <w:b/>
                <w:bCs/>
                <w:color w:val="000000"/>
                <w:kern w:val="0"/>
                <w:sz w:val="20"/>
                <w:szCs w:val="20"/>
                <w:lang w:eastAsia="ko-KR"/>
                <w14:ligatures w14:val="none"/>
              </w:rPr>
              <w:t>low risk of selection-bias</w:t>
            </w:r>
          </w:p>
        </w:tc>
      </w:tr>
      <w:tr w:rsidR="0091044E" w:rsidRPr="00F45D61" w14:paraId="32C46310" w14:textId="77777777" w:rsidTr="008405EC">
        <w:trPr>
          <w:trHeight w:val="682"/>
        </w:trPr>
        <w:tc>
          <w:tcPr>
            <w:tcW w:w="960" w:type="dxa"/>
            <w:vMerge/>
            <w:vAlign w:val="center"/>
            <w:hideMark/>
          </w:tcPr>
          <w:p w14:paraId="79DF8CFC" w14:textId="77777777" w:rsidR="0091044E" w:rsidRPr="00F45D61" w:rsidRDefault="0091044E" w:rsidP="008405EC">
            <w:pPr>
              <w:spacing w:after="0" w:line="240" w:lineRule="auto"/>
              <w:rPr>
                <w:rFonts w:ascii="Times New Roman" w:eastAsia="Times New Roman" w:hAnsi="Times New Roman" w:cs="Times New Roman"/>
                <w:color w:val="000000"/>
                <w:kern w:val="0"/>
                <w:sz w:val="20"/>
                <w:szCs w:val="20"/>
                <w:lang w:eastAsia="ko-KR"/>
                <w14:ligatures w14:val="none"/>
              </w:rPr>
            </w:pPr>
          </w:p>
        </w:tc>
        <w:tc>
          <w:tcPr>
            <w:tcW w:w="650" w:type="dxa"/>
            <w:vMerge/>
            <w:shd w:val="clear" w:color="auto" w:fill="156082" w:themeFill="accent1"/>
            <w:vAlign w:val="center"/>
            <w:hideMark/>
          </w:tcPr>
          <w:p w14:paraId="1030AB24" w14:textId="77777777" w:rsidR="0091044E" w:rsidRPr="00F45D61" w:rsidRDefault="0091044E" w:rsidP="008405EC">
            <w:pPr>
              <w:spacing w:after="0" w:line="240" w:lineRule="auto"/>
              <w:rPr>
                <w:rFonts w:ascii="Times New Roman" w:eastAsia="Times New Roman" w:hAnsi="Times New Roman" w:cs="Times New Roman"/>
                <w:color w:val="000000"/>
                <w:kern w:val="0"/>
                <w:sz w:val="20"/>
                <w:szCs w:val="20"/>
                <w:lang w:eastAsia="ko-KR"/>
                <w14:ligatures w14:val="none"/>
              </w:rPr>
            </w:pPr>
          </w:p>
        </w:tc>
        <w:tc>
          <w:tcPr>
            <w:tcW w:w="2430" w:type="dxa"/>
            <w:vMerge/>
            <w:vAlign w:val="center"/>
            <w:hideMark/>
          </w:tcPr>
          <w:p w14:paraId="362246D7" w14:textId="77777777" w:rsidR="0091044E" w:rsidRPr="00F45D61" w:rsidRDefault="0091044E" w:rsidP="008405EC">
            <w:pPr>
              <w:spacing w:after="0" w:line="240" w:lineRule="auto"/>
              <w:rPr>
                <w:rFonts w:ascii="Times New Roman" w:eastAsia="Times New Roman" w:hAnsi="Times New Roman" w:cs="Times New Roman"/>
                <w:color w:val="000000"/>
                <w:kern w:val="0"/>
                <w:sz w:val="20"/>
                <w:szCs w:val="20"/>
                <w:lang w:eastAsia="ko-KR"/>
                <w14:ligatures w14:val="none"/>
              </w:rPr>
            </w:pPr>
          </w:p>
        </w:tc>
        <w:tc>
          <w:tcPr>
            <w:tcW w:w="5850" w:type="dxa"/>
            <w:shd w:val="clear" w:color="auto" w:fill="auto"/>
            <w:hideMark/>
          </w:tcPr>
          <w:p w14:paraId="5C0479E0" w14:textId="77777777" w:rsidR="0091044E" w:rsidRPr="00F45D61" w:rsidRDefault="0091044E" w:rsidP="008405EC">
            <w:pPr>
              <w:spacing w:after="0" w:line="240" w:lineRule="auto"/>
              <w:rPr>
                <w:rFonts w:ascii="Times New Roman" w:eastAsia="Times New Roman" w:hAnsi="Times New Roman" w:cs="Times New Roman"/>
                <w:color w:val="000000"/>
                <w:kern w:val="0"/>
                <w:sz w:val="20"/>
                <w:szCs w:val="20"/>
                <w:lang w:eastAsia="ko-KR"/>
                <w14:ligatures w14:val="none"/>
              </w:rPr>
            </w:pPr>
            <w:r w:rsidRPr="00F45D61">
              <w:rPr>
                <w:rFonts w:ascii="Times New Roman" w:eastAsia="Times New Roman" w:hAnsi="Times New Roman" w:cs="Times New Roman"/>
                <w:color w:val="000000"/>
                <w:kern w:val="0"/>
                <w:sz w:val="20"/>
                <w:szCs w:val="20"/>
                <w:lang w:eastAsia="ko-KR"/>
                <w14:ligatures w14:val="none"/>
              </w:rPr>
              <w:t>More than</w:t>
            </w:r>
            <w:r w:rsidRPr="00F45D61">
              <w:rPr>
                <w:rFonts w:ascii="Times New Roman" w:eastAsia="Times New Roman" w:hAnsi="Times New Roman" w:cs="Times New Roman"/>
                <w:b/>
                <w:bCs/>
                <w:color w:val="000000"/>
                <w:kern w:val="0"/>
                <w:sz w:val="20"/>
                <w:szCs w:val="20"/>
                <w:lang w:eastAsia="ko-KR"/>
                <w14:ligatures w14:val="none"/>
              </w:rPr>
              <w:t xml:space="preserve"> one systematic review </w:t>
            </w:r>
            <w:r w:rsidRPr="00F45D61">
              <w:rPr>
                <w:rFonts w:ascii="Times New Roman" w:eastAsia="Times New Roman" w:hAnsi="Times New Roman" w:cs="Times New Roman"/>
                <w:color w:val="000000"/>
                <w:kern w:val="0"/>
                <w:sz w:val="20"/>
                <w:szCs w:val="20"/>
                <w:lang w:eastAsia="ko-KR"/>
                <w14:ligatures w14:val="none"/>
              </w:rPr>
              <w:t xml:space="preserve">(without meta-analysis) showing primarily </w:t>
            </w:r>
            <w:r w:rsidRPr="00F45D61">
              <w:rPr>
                <w:rFonts w:ascii="Times New Roman" w:eastAsia="Times New Roman" w:hAnsi="Times New Roman" w:cs="Times New Roman"/>
                <w:b/>
                <w:bCs/>
                <w:color w:val="000000"/>
                <w:kern w:val="0"/>
                <w:sz w:val="20"/>
                <w:szCs w:val="20"/>
                <w:lang w:eastAsia="ko-KR"/>
                <w14:ligatures w14:val="none"/>
              </w:rPr>
              <w:t>significant and positive</w:t>
            </w:r>
            <w:r w:rsidRPr="00F45D61">
              <w:rPr>
                <w:rFonts w:ascii="Times New Roman" w:eastAsia="Times New Roman" w:hAnsi="Times New Roman" w:cs="Times New Roman"/>
                <w:color w:val="000000"/>
                <w:kern w:val="0"/>
                <w:sz w:val="20"/>
                <w:szCs w:val="20"/>
                <w:lang w:eastAsia="ko-KR"/>
                <w14:ligatures w14:val="none"/>
              </w:rPr>
              <w:t xml:space="preserve"> effects but for less than 80% of the studies</w:t>
            </w:r>
          </w:p>
        </w:tc>
      </w:tr>
    </w:tbl>
    <w:p w14:paraId="33192ABD" w14:textId="77777777" w:rsidR="0091044E" w:rsidRDefault="0091044E" w:rsidP="0091044E">
      <w:pPr>
        <w:spacing w:line="480" w:lineRule="auto"/>
        <w:jc w:val="both"/>
        <w:rPr>
          <w:rFonts w:ascii="Times New Roman" w:hAnsi="Times New Roman" w:cs="Times New Roman"/>
        </w:rPr>
      </w:pPr>
    </w:p>
    <w:p w14:paraId="742493B8" w14:textId="44D4A37C" w:rsidR="0091044E" w:rsidRPr="0091044E" w:rsidRDefault="0091044E">
      <w:pPr>
        <w:rPr>
          <w:rFonts w:ascii="Times New Roman" w:hAnsi="Times New Roman" w:cs="Times New Roman"/>
        </w:rPr>
      </w:pPr>
      <w:r>
        <w:br w:type="page"/>
      </w:r>
    </w:p>
    <w:p w14:paraId="15980ECA" w14:textId="77777777" w:rsidR="0091044E" w:rsidRDefault="0091044E" w:rsidP="0091044E">
      <w:pPr>
        <w:ind w:left="-709" w:hanging="425"/>
        <w:rPr>
          <w:rFonts w:ascii="Times New Roman" w:eastAsia="Calibri" w:hAnsi="Times New Roman" w:cs="Times New Roman"/>
          <w:b/>
          <w:bCs/>
        </w:rPr>
        <w:sectPr w:rsidR="0091044E">
          <w:pgSz w:w="12240" w:h="15840"/>
          <w:pgMar w:top="1440" w:right="1440" w:bottom="1440" w:left="1440" w:header="720" w:footer="720" w:gutter="0"/>
          <w:cols w:space="720"/>
          <w:docGrid w:linePitch="360"/>
        </w:sectPr>
      </w:pPr>
    </w:p>
    <w:p w14:paraId="77710D05" w14:textId="37940084" w:rsidR="004E7DD3" w:rsidRPr="00612DC3" w:rsidRDefault="0091044E" w:rsidP="004E7DD3">
      <w:pPr>
        <w:ind w:left="-709" w:hanging="425"/>
        <w:rPr>
          <w:rFonts w:ascii="Times New Roman" w:eastAsia="Calibri" w:hAnsi="Times New Roman" w:cs="Times New Roman"/>
          <w:b/>
          <w:bCs/>
        </w:rPr>
      </w:pPr>
      <w:commentRangeStart w:id="0"/>
      <w:r w:rsidRPr="00612DC3">
        <w:rPr>
          <w:rFonts w:ascii="Times New Roman" w:eastAsia="Calibri" w:hAnsi="Times New Roman" w:cs="Times New Roman"/>
          <w:b/>
          <w:bCs/>
        </w:rPr>
        <w:lastRenderedPageBreak/>
        <w:t xml:space="preserve">Table </w:t>
      </w:r>
      <w:r>
        <w:rPr>
          <w:rFonts w:ascii="Times New Roman" w:eastAsia="Calibri" w:hAnsi="Times New Roman" w:cs="Times New Roman"/>
          <w:b/>
          <w:bCs/>
        </w:rPr>
        <w:t>S.3</w:t>
      </w:r>
      <w:r w:rsidRPr="00612DC3">
        <w:rPr>
          <w:rFonts w:ascii="Times New Roman" w:eastAsia="Calibri" w:hAnsi="Times New Roman" w:cs="Times New Roman"/>
          <w:b/>
          <w:bCs/>
        </w:rPr>
        <w:t>. Included evidence description</w:t>
      </w:r>
      <w:commentRangeEnd w:id="0"/>
      <w:r>
        <w:rPr>
          <w:rStyle w:val="CommentReference"/>
        </w:rPr>
        <w:commentReference w:id="0"/>
      </w:r>
    </w:p>
    <w:tbl>
      <w:tblPr>
        <w:tblStyle w:val="GridTable3"/>
        <w:tblW w:w="14580" w:type="dxa"/>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9"/>
        <w:gridCol w:w="2286"/>
        <w:gridCol w:w="2423"/>
        <w:gridCol w:w="1866"/>
        <w:gridCol w:w="1812"/>
        <w:gridCol w:w="1823"/>
        <w:gridCol w:w="1187"/>
        <w:gridCol w:w="1864"/>
      </w:tblGrid>
      <w:tr w:rsidR="004E7DD3" w:rsidRPr="00DD5980" w14:paraId="18053E94" w14:textId="77777777" w:rsidTr="004E7DD3">
        <w:trPr>
          <w:cnfStyle w:val="100000000000" w:firstRow="1" w:lastRow="0" w:firstColumn="0" w:lastColumn="0" w:oddVBand="0" w:evenVBand="0" w:oddHBand="0" w:evenHBand="0" w:firstRowFirstColumn="0" w:firstRowLastColumn="0" w:lastRowFirstColumn="0" w:lastRowLastColumn="0"/>
          <w:trHeight w:val="1088"/>
          <w:tblHeader/>
        </w:trPr>
        <w:tc>
          <w:tcPr>
            <w:cnfStyle w:val="001000000100" w:firstRow="0" w:lastRow="0" w:firstColumn="1" w:lastColumn="0" w:oddVBand="0" w:evenVBand="0" w:oddHBand="0" w:evenHBand="0" w:firstRowFirstColumn="1" w:firstRowLastColumn="0" w:lastRowFirstColumn="0" w:lastRowLastColumn="0"/>
            <w:tcW w:w="1319" w:type="dxa"/>
          </w:tcPr>
          <w:p w14:paraId="470D7D11" w14:textId="77777777" w:rsidR="004E7DD3" w:rsidRPr="00DD5980" w:rsidRDefault="004E7DD3" w:rsidP="000B6948">
            <w:pPr>
              <w:spacing w:after="160" w:line="259" w:lineRule="auto"/>
              <w:jc w:val="center"/>
              <w:rPr>
                <w:rFonts w:ascii="Times New Roman" w:eastAsia="Calibri" w:hAnsi="Times New Roman" w:cs="Times New Roman"/>
                <w:b w:val="0"/>
                <w:sz w:val="16"/>
                <w:szCs w:val="16"/>
              </w:rPr>
            </w:pPr>
            <w:r w:rsidRPr="00DD5980">
              <w:rPr>
                <w:rFonts w:ascii="Times New Roman" w:eastAsia="Calibri" w:hAnsi="Times New Roman" w:cs="Times New Roman"/>
                <w:sz w:val="16"/>
                <w:szCs w:val="16"/>
              </w:rPr>
              <w:t>Included review</w:t>
            </w:r>
          </w:p>
        </w:tc>
        <w:tc>
          <w:tcPr>
            <w:tcW w:w="2286" w:type="dxa"/>
          </w:tcPr>
          <w:p w14:paraId="6B83BF94" w14:textId="77777777" w:rsidR="004E7DD3" w:rsidRPr="00DD5980" w:rsidRDefault="004E7DD3" w:rsidP="000B6948">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sz w:val="16"/>
                <w:szCs w:val="16"/>
              </w:rPr>
            </w:pPr>
            <w:r w:rsidRPr="00DD5980">
              <w:rPr>
                <w:rFonts w:ascii="Times New Roman" w:eastAsia="Calibri" w:hAnsi="Times New Roman" w:cs="Times New Roman"/>
                <w:sz w:val="16"/>
                <w:szCs w:val="16"/>
              </w:rPr>
              <w:t>Objective/aim</w:t>
            </w:r>
          </w:p>
        </w:tc>
        <w:tc>
          <w:tcPr>
            <w:tcW w:w="2423" w:type="dxa"/>
          </w:tcPr>
          <w:p w14:paraId="385978C4" w14:textId="77777777" w:rsidR="004E7DD3" w:rsidRPr="00DD5980" w:rsidRDefault="004E7DD3" w:rsidP="000B6948">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sz w:val="16"/>
                <w:szCs w:val="16"/>
              </w:rPr>
            </w:pPr>
            <w:r w:rsidRPr="00DD5980">
              <w:rPr>
                <w:rFonts w:ascii="Times New Roman" w:eastAsia="Calibri" w:hAnsi="Times New Roman" w:cs="Times New Roman"/>
                <w:sz w:val="16"/>
                <w:szCs w:val="16"/>
              </w:rPr>
              <w:t>Regions/Countries where the primary studies were conducted. Total number of studies (N)</w:t>
            </w:r>
          </w:p>
        </w:tc>
        <w:tc>
          <w:tcPr>
            <w:tcW w:w="1866" w:type="dxa"/>
          </w:tcPr>
          <w:p w14:paraId="5B7AD589" w14:textId="77777777" w:rsidR="004E7DD3" w:rsidRPr="00DD5980" w:rsidRDefault="004E7DD3" w:rsidP="000B6948">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sz w:val="16"/>
                <w:szCs w:val="16"/>
              </w:rPr>
            </w:pPr>
            <w:r w:rsidRPr="00DD5980">
              <w:rPr>
                <w:rFonts w:ascii="Times New Roman" w:eastAsia="Calibri" w:hAnsi="Times New Roman" w:cs="Times New Roman"/>
                <w:sz w:val="16"/>
                <w:szCs w:val="16"/>
              </w:rPr>
              <w:t>Participants and sample size</w:t>
            </w:r>
          </w:p>
        </w:tc>
        <w:tc>
          <w:tcPr>
            <w:tcW w:w="1812" w:type="dxa"/>
          </w:tcPr>
          <w:p w14:paraId="125EDCE9" w14:textId="77777777" w:rsidR="004E7DD3" w:rsidRPr="00DD5980" w:rsidRDefault="004E7DD3" w:rsidP="000B6948">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sz w:val="16"/>
                <w:szCs w:val="16"/>
              </w:rPr>
            </w:pPr>
            <w:r w:rsidRPr="00DD5980">
              <w:rPr>
                <w:rFonts w:ascii="Times New Roman" w:eastAsia="Calibri" w:hAnsi="Times New Roman" w:cs="Times New Roman"/>
                <w:sz w:val="16"/>
                <w:szCs w:val="16"/>
              </w:rPr>
              <w:t>Health topic of the review (Intervention vs control)</w:t>
            </w:r>
          </w:p>
        </w:tc>
        <w:tc>
          <w:tcPr>
            <w:tcW w:w="1823" w:type="dxa"/>
          </w:tcPr>
          <w:p w14:paraId="5C4D9EF3" w14:textId="77777777" w:rsidR="004E7DD3" w:rsidRPr="00DD5980" w:rsidRDefault="004E7DD3" w:rsidP="000B6948">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Outcome</w:t>
            </w:r>
            <w:r>
              <w:rPr>
                <w:rFonts w:ascii="Times New Roman" w:eastAsia="Calibri" w:hAnsi="Times New Roman" w:cs="Times New Roman"/>
                <w:sz w:val="16"/>
                <w:szCs w:val="16"/>
              </w:rPr>
              <w:t>s of interest</w:t>
            </w:r>
          </w:p>
        </w:tc>
        <w:tc>
          <w:tcPr>
            <w:tcW w:w="1187" w:type="dxa"/>
          </w:tcPr>
          <w:p w14:paraId="28D7B4FC" w14:textId="77777777" w:rsidR="004E7DD3" w:rsidRPr="00DD5980" w:rsidRDefault="004E7DD3" w:rsidP="000B6948">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sz w:val="16"/>
                <w:szCs w:val="16"/>
              </w:rPr>
            </w:pPr>
            <w:r w:rsidRPr="00DD5980">
              <w:rPr>
                <w:rFonts w:ascii="Times New Roman" w:eastAsia="Calibri" w:hAnsi="Times New Roman" w:cs="Times New Roman"/>
                <w:sz w:val="16"/>
                <w:szCs w:val="16"/>
              </w:rPr>
              <w:t xml:space="preserve">Quality assessment of the papers </w:t>
            </w:r>
            <w:proofErr w:type="spellStart"/>
            <w:r w:rsidRPr="00DD5980">
              <w:rPr>
                <w:rFonts w:ascii="Times New Roman" w:eastAsia="Calibri" w:hAnsi="Times New Roman" w:cs="Times New Roman"/>
                <w:sz w:val="16"/>
                <w:szCs w:val="16"/>
              </w:rPr>
              <w:t>analysed</w:t>
            </w:r>
            <w:proofErr w:type="spellEnd"/>
            <w:r w:rsidRPr="00DD5980">
              <w:rPr>
                <w:rFonts w:ascii="Times New Roman" w:eastAsia="Calibri" w:hAnsi="Times New Roman" w:cs="Times New Roman"/>
                <w:sz w:val="16"/>
                <w:szCs w:val="16"/>
              </w:rPr>
              <w:t xml:space="preserve"> in the review</w:t>
            </w:r>
          </w:p>
        </w:tc>
        <w:tc>
          <w:tcPr>
            <w:tcW w:w="1864" w:type="dxa"/>
          </w:tcPr>
          <w:p w14:paraId="7646DFD1" w14:textId="77777777" w:rsidR="004E7DD3" w:rsidRPr="00DD5980" w:rsidRDefault="004E7DD3" w:rsidP="000B6948">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sz w:val="16"/>
                <w:szCs w:val="16"/>
              </w:rPr>
            </w:pPr>
            <w:r w:rsidRPr="00DD5980">
              <w:rPr>
                <w:rFonts w:ascii="Times New Roman" w:eastAsia="Calibri" w:hAnsi="Times New Roman" w:cs="Times New Roman"/>
                <w:sz w:val="16"/>
                <w:szCs w:val="16"/>
              </w:rPr>
              <w:t>Data synthesis method of the review</w:t>
            </w:r>
          </w:p>
        </w:tc>
      </w:tr>
      <w:tr w:rsidR="004E7DD3" w:rsidRPr="00DD5980" w14:paraId="440012B1" w14:textId="77777777" w:rsidTr="004E7DD3">
        <w:trPr>
          <w:cnfStyle w:val="000000100000" w:firstRow="0" w:lastRow="0" w:firstColumn="0" w:lastColumn="0" w:oddVBand="0" w:evenVBand="0" w:oddHBand="1" w:evenHBand="0" w:firstRowFirstColumn="0" w:firstRowLastColumn="0" w:lastRowFirstColumn="0" w:lastRowLastColumn="0"/>
          <w:trHeight w:val="1160"/>
        </w:trPr>
        <w:tc>
          <w:tcPr>
            <w:cnfStyle w:val="001000000000" w:firstRow="0" w:lastRow="0" w:firstColumn="1" w:lastColumn="0" w:oddVBand="0" w:evenVBand="0" w:oddHBand="0" w:evenHBand="0" w:firstRowFirstColumn="0" w:firstRowLastColumn="0" w:lastRowFirstColumn="0" w:lastRowLastColumn="0"/>
            <w:tcW w:w="1319" w:type="dxa"/>
            <w:tcBorders>
              <w:top w:val="single" w:sz="4" w:space="0" w:color="666666" w:themeColor="text1" w:themeTint="99"/>
              <w:left w:val="single" w:sz="4" w:space="0" w:color="auto"/>
              <w:bottom w:val="single" w:sz="4" w:space="0" w:color="auto"/>
            </w:tcBorders>
          </w:tcPr>
          <w:p w14:paraId="1C3E6B97" w14:textId="77777777" w:rsidR="004E7DD3" w:rsidRPr="00DD5980" w:rsidRDefault="004E7DD3" w:rsidP="000B6948">
            <w:pPr>
              <w:spacing w:after="160" w:line="259" w:lineRule="auto"/>
              <w:jc w:val="left"/>
              <w:rPr>
                <w:rFonts w:ascii="Times New Roman" w:eastAsia="Calibri" w:hAnsi="Times New Roman" w:cs="Times New Roman"/>
                <w:sz w:val="16"/>
                <w:szCs w:val="16"/>
              </w:rPr>
            </w:pPr>
            <w:proofErr w:type="spellStart"/>
            <w:r w:rsidRPr="00DD5980">
              <w:rPr>
                <w:rFonts w:ascii="Times New Roman" w:eastAsia="Calibri" w:hAnsi="Times New Roman" w:cs="Times New Roman"/>
                <w:sz w:val="16"/>
                <w:szCs w:val="16"/>
              </w:rPr>
              <w:t>Charpak</w:t>
            </w:r>
            <w:proofErr w:type="spellEnd"/>
            <w:r w:rsidRPr="00DD5980">
              <w:rPr>
                <w:rFonts w:ascii="Times New Roman" w:eastAsia="Calibri" w:hAnsi="Times New Roman" w:cs="Times New Roman"/>
                <w:sz w:val="16"/>
                <w:szCs w:val="16"/>
              </w:rPr>
              <w:t xml:space="preserve"> et al., 2021</w:t>
            </w:r>
            <w:r>
              <w:rPr>
                <w:rFonts w:ascii="Times New Roman" w:eastAsia="Calibri" w:hAnsi="Times New Roman" w:cs="Times New Roman"/>
                <w:sz w:val="16"/>
                <w:szCs w:val="16"/>
              </w:rPr>
              <w:fldChar w:fldCharType="begin"/>
            </w:r>
            <w:r>
              <w:rPr>
                <w:rFonts w:ascii="Times New Roman" w:eastAsia="Calibri" w:hAnsi="Times New Roman" w:cs="Times New Roman"/>
                <w:sz w:val="16"/>
                <w:szCs w:val="16"/>
              </w:rPr>
              <w:instrText xml:space="preserve"> ADDIN ZOTERO_ITEM CSL_CITATION {"citationID":"dzhI79fj","properties":{"formattedCitation":"(48)","plainCitation":"(48)","noteIndex":0},"citationItems":[{"id":217,"uris":["http://zotero.org/users/13596477/items/J5V8LRTB"],"itemData":{"id":217,"type":"article-journal","abstract":"Abstract\n            \n              Aim\n              A 2016 Cochrane review showed that Kangaroo mother care (KMC) had a moderate impact on preterm growth, with high heterogeneity among studies. This systematic review and meta‐analysis considered new evidence on KMC, particularly the duration.\n            \n            \n              Method\n              Databases were searched for papers published in English, French, Spanish and Portuguese up to 2017. Randomised controlled trials (RCT) of preterm or low birth weight infants were included if they compared growth between KMC and conventional care. Anthropometric measures were related to duration.\n            \n            \n              Results\n              \n                We identified 1368 papers, and 13 RCTs covering 743 KMC infants and 718 controls met the selection criteria. Infants held in KMC for at least 6 h/d gained more weight than the controls, with a mean difference of 8.99 g/d (95% confidence interval 8.14‐9.84,\n                I\n                2\n                 = 0%). This difference persisted between 2 and 6 h/d and disappeared with 2 hours or less. When we used g/kg/d, the weight gain was higher when the duration was at least 8 h/d. Only babies who received 6 h/d gained more length and head circumference.\n              \n            \n            \n              Conclusions\n              The effect of the KMC on growth was directly related to the duration.","container-title":"Acta Paediatrica","DOI":"10.1111/apa.15489","ISSN":"0803-5253, 1651-2227","issue":"1","journalAbbreviation":"Acta Paediatrica","language":"en","page":"45-59","source":"DOI.org (Crossref)","title":"Systematic review and meta‐analysis suggest that the duration of Kangaroo mother care has a direct impact on neonatal growth","volume":"110","author":[{"family":"Charpak","given":"Nathalie"},{"family":"Montealegre‐Pomar","given":"Adriana"},{"family":"Bohorquez","given":"Adriana"}],"issued":{"date-parts":[["2021",1]]}}}],"schema":"https://github.com/citation-style-language/schema/raw/master/csl-citation.json"} </w:instrText>
            </w:r>
            <w:r>
              <w:rPr>
                <w:rFonts w:ascii="Times New Roman" w:eastAsia="Calibri" w:hAnsi="Times New Roman" w:cs="Times New Roman"/>
                <w:sz w:val="16"/>
                <w:szCs w:val="16"/>
              </w:rPr>
              <w:fldChar w:fldCharType="separate"/>
            </w:r>
            <w:r>
              <w:rPr>
                <w:rFonts w:ascii="Times New Roman" w:eastAsia="Calibri" w:hAnsi="Times New Roman" w:cs="Times New Roman"/>
                <w:noProof/>
                <w:sz w:val="16"/>
                <w:szCs w:val="16"/>
              </w:rPr>
              <w:t>(48)</w:t>
            </w:r>
            <w:r>
              <w:rPr>
                <w:rFonts w:ascii="Times New Roman" w:eastAsia="Calibri" w:hAnsi="Times New Roman" w:cs="Times New Roman"/>
                <w:sz w:val="16"/>
                <w:szCs w:val="16"/>
              </w:rPr>
              <w:fldChar w:fldCharType="end"/>
            </w:r>
          </w:p>
        </w:tc>
        <w:tc>
          <w:tcPr>
            <w:tcW w:w="2286" w:type="dxa"/>
          </w:tcPr>
          <w:p w14:paraId="21B23FB2"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To review new evidence on the </w:t>
            </w:r>
            <w:proofErr w:type="spellStart"/>
            <w:r w:rsidRPr="00DD5980">
              <w:rPr>
                <w:rFonts w:ascii="Times New Roman" w:eastAsia="Calibri" w:hAnsi="Times New Roman" w:cs="Times New Roman"/>
                <w:sz w:val="16"/>
                <w:szCs w:val="16"/>
              </w:rPr>
              <w:t>the</w:t>
            </w:r>
            <w:proofErr w:type="spellEnd"/>
            <w:r w:rsidRPr="00DD5980">
              <w:rPr>
                <w:rFonts w:ascii="Times New Roman" w:eastAsia="Calibri" w:hAnsi="Times New Roman" w:cs="Times New Roman"/>
                <w:sz w:val="16"/>
                <w:szCs w:val="16"/>
              </w:rPr>
              <w:t xml:space="preserve"> impact of KMC duration on growth.</w:t>
            </w:r>
          </w:p>
        </w:tc>
        <w:tc>
          <w:tcPr>
            <w:tcW w:w="2423" w:type="dxa"/>
          </w:tcPr>
          <w:p w14:paraId="4E426036"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USA (2), Ethiopia, Indonesia and Mexico (1 multi-center), Australia (1), India (5), Malaysia (1), Kenya (1), Nepal (1), and Indonesia (1). N=1</w:t>
            </w:r>
          </w:p>
        </w:tc>
        <w:tc>
          <w:tcPr>
            <w:tcW w:w="1866" w:type="dxa"/>
          </w:tcPr>
          <w:p w14:paraId="6371DB92"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Participants: term/preterm infants</w:t>
            </w:r>
            <w:r w:rsidRPr="00DD5980">
              <w:rPr>
                <w:rFonts w:ascii="Times New Roman" w:eastAsia="Calibri" w:hAnsi="Times New Roman" w:cs="Times New Roman"/>
                <w:sz w:val="16"/>
                <w:szCs w:val="16"/>
              </w:rPr>
              <w:br/>
              <w:t>Sample size: 1,461</w:t>
            </w:r>
          </w:p>
        </w:tc>
        <w:tc>
          <w:tcPr>
            <w:tcW w:w="1812" w:type="dxa"/>
          </w:tcPr>
          <w:p w14:paraId="220155B8"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KMC vs Conventional care</w:t>
            </w:r>
          </w:p>
        </w:tc>
        <w:tc>
          <w:tcPr>
            <w:tcW w:w="1823" w:type="dxa"/>
          </w:tcPr>
          <w:p w14:paraId="284239FA"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Gain in weight, length, and head circumference</w:t>
            </w:r>
          </w:p>
        </w:tc>
        <w:tc>
          <w:tcPr>
            <w:tcW w:w="1187" w:type="dxa"/>
          </w:tcPr>
          <w:p w14:paraId="0FB70643"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Yes - GRADE.</w:t>
            </w:r>
          </w:p>
        </w:tc>
        <w:tc>
          <w:tcPr>
            <w:tcW w:w="1864" w:type="dxa"/>
          </w:tcPr>
          <w:p w14:paraId="7B77F507"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Random effects or fixed-effect models, depending on heterogeneity.</w:t>
            </w:r>
          </w:p>
        </w:tc>
      </w:tr>
      <w:tr w:rsidR="004E7DD3" w:rsidRPr="00DD5980" w14:paraId="3F35FA0F" w14:textId="77777777" w:rsidTr="000B6948">
        <w:trPr>
          <w:trHeight w:val="1367"/>
        </w:trPr>
        <w:tc>
          <w:tcPr>
            <w:cnfStyle w:val="001000000000" w:firstRow="0" w:lastRow="0" w:firstColumn="1" w:lastColumn="0" w:oddVBand="0" w:evenVBand="0" w:oddHBand="0" w:evenHBand="0" w:firstRowFirstColumn="0" w:firstRowLastColumn="0" w:lastRowFirstColumn="0" w:lastRowLastColumn="0"/>
            <w:tcW w:w="1319" w:type="dxa"/>
            <w:tcBorders>
              <w:top w:val="single" w:sz="4" w:space="0" w:color="auto"/>
              <w:left w:val="single" w:sz="4" w:space="0" w:color="auto"/>
              <w:bottom w:val="single" w:sz="4" w:space="0" w:color="auto"/>
            </w:tcBorders>
          </w:tcPr>
          <w:p w14:paraId="51D9E199" w14:textId="77777777" w:rsidR="004E7DD3" w:rsidRPr="00DD5980" w:rsidRDefault="004E7DD3" w:rsidP="000B6948">
            <w:pPr>
              <w:spacing w:after="160" w:line="259" w:lineRule="auto"/>
              <w:jc w:val="left"/>
              <w:rPr>
                <w:rFonts w:ascii="Times New Roman" w:eastAsia="Calibri" w:hAnsi="Times New Roman" w:cs="Times New Roman"/>
                <w:sz w:val="16"/>
                <w:szCs w:val="16"/>
              </w:rPr>
            </w:pPr>
            <w:proofErr w:type="spellStart"/>
            <w:r w:rsidRPr="00DD5980">
              <w:rPr>
                <w:rFonts w:ascii="Times New Roman" w:eastAsia="Calibri" w:hAnsi="Times New Roman" w:cs="Times New Roman"/>
                <w:sz w:val="16"/>
                <w:szCs w:val="16"/>
              </w:rPr>
              <w:t>Chipojola</w:t>
            </w:r>
            <w:proofErr w:type="spellEnd"/>
            <w:r w:rsidRPr="00DD5980">
              <w:rPr>
                <w:rFonts w:ascii="Times New Roman" w:eastAsia="Calibri" w:hAnsi="Times New Roman" w:cs="Times New Roman"/>
                <w:sz w:val="16"/>
                <w:szCs w:val="16"/>
              </w:rPr>
              <w:t xml:space="preserve"> et al., 2022</w:t>
            </w:r>
            <w:r>
              <w:rPr>
                <w:rFonts w:ascii="Times New Roman" w:eastAsia="Calibri" w:hAnsi="Times New Roman" w:cs="Times New Roman"/>
                <w:sz w:val="16"/>
                <w:szCs w:val="16"/>
              </w:rPr>
              <w:t xml:space="preserve"> </w:t>
            </w:r>
            <w:r>
              <w:rPr>
                <w:rFonts w:ascii="Times New Roman" w:eastAsia="Calibri" w:hAnsi="Times New Roman" w:cs="Times New Roman"/>
                <w:sz w:val="16"/>
                <w:szCs w:val="16"/>
              </w:rPr>
              <w:fldChar w:fldCharType="begin"/>
            </w:r>
            <w:r>
              <w:rPr>
                <w:rFonts w:ascii="Times New Roman" w:eastAsia="Calibri" w:hAnsi="Times New Roman" w:cs="Times New Roman"/>
                <w:sz w:val="16"/>
                <w:szCs w:val="16"/>
              </w:rPr>
              <w:instrText xml:space="preserve"> ADDIN ZOTERO_ITEM CSL_CITATION {"citationID":"NCocGfqz","properties":{"formattedCitation":"(49)","plainCitation":"(49)","noteIndex":0},"citationItems":[{"id":220,"uris":["http://zotero.org/users/13596477/items/CZUJQMF3"],"itemData":{"id":220,"type":"article-journal","abstract":"Background:\n              The benefits of breastfeeding in promoting child survival are well recognized. As one of the nutritional interventions for children, exclusive breastfeeding protects babies from various diseases that contribute to infant morbidity and mortality. However, no systematic review and meta-analysis has examined the influence of breastfeeding promotion programs on exclusive breastfeeding rates in sub-Saharan Africa.\n            \n            \n              Research Aim:\n              We examined the influence of breastfeeding promotion programs on exclusive breastfeeding rates at &lt; 1 month, and at 1–5 months of breastfeeding in sub-Saharan countries including Ghana, Burkina Faso, Uganda, South Africa, Guinea-Bissau, Kenya, Tanzania, and the Democratic Republic of Congo.\n            \n            \n              Methods:\n              A systematic review and meta-analyses study of randomized controlled trials and quasi-experimental studies was conducted by searching in electronic databases and articles’ reference lists. Two investigators independently evaluated and extracted the data. A total of 131 studies were identified using five databases. Of the 10 studies meeting the inclusion criteria for systematic review, seven studies were included in the meta-analysis. We used a random-effects model to pool studies together and performed a subgroup analysis.\n            \n            \n              Results:\n              Breastfeeding promotion programs resulted in significantly higher exclusive breastfeeding rates at &lt; 1 month ( OR = 1.60, 95% CI [1.36,1.86]). However, there was no significant effect observed for exclusive breastfeeding at 1–5 months. Combined interventions were more effective in improving exclusive breastfeeding rates than individual counseling or home-based counseling alone.\n            \n            \n              Conclusion:\n              Breastfeeding promotion programs in sub-Saharan Africa are effective in increasing exclusive breastfeeding rates at 6 months after birth.","container-title":"Journal of Human Lactation","DOI":"10.1177/08903344221097689","ISSN":"0890-3344, 1552-5732","issue":"3","journalAbbreviation":"J Hum Lact","language":"en","page":"466-476","source":"DOI.org (Crossref)","title":"The Influence of Breastfeeding Promotion Programs on Exclusive Breastfeeding Rates in Sub-Saharan Africa: A Systematic Review and Meta-Analysis","title-short":"The Influence of Breastfeeding Promotion Programs on Exclusive Breastfeeding Rates in Sub-Saharan Africa","volume":"38","author":[{"family":"Chipojola","given":"Roselyn"},{"family":"Khwepeya","given":"Madalitso"},{"family":"Gondwe","given":"Kaboni Whitney"},{"family":"Rias","given":"Yohanes Andy"},{"family":"Huda","given":"Mega Hasanul"}],"issued":{"date-parts":[["2022",8]]}}}],"schema":"https://github.com/citation-style-language/schema/raw/master/csl-citation.json"} </w:instrText>
            </w:r>
            <w:r>
              <w:rPr>
                <w:rFonts w:ascii="Times New Roman" w:eastAsia="Calibri" w:hAnsi="Times New Roman" w:cs="Times New Roman"/>
                <w:sz w:val="16"/>
                <w:szCs w:val="16"/>
              </w:rPr>
              <w:fldChar w:fldCharType="separate"/>
            </w:r>
            <w:r>
              <w:rPr>
                <w:rFonts w:ascii="Times New Roman" w:eastAsia="Calibri" w:hAnsi="Times New Roman" w:cs="Times New Roman"/>
                <w:noProof/>
                <w:sz w:val="16"/>
                <w:szCs w:val="16"/>
              </w:rPr>
              <w:t>(49)</w:t>
            </w:r>
            <w:r>
              <w:rPr>
                <w:rFonts w:ascii="Times New Roman" w:eastAsia="Calibri" w:hAnsi="Times New Roman" w:cs="Times New Roman"/>
                <w:sz w:val="16"/>
                <w:szCs w:val="16"/>
              </w:rPr>
              <w:fldChar w:fldCharType="end"/>
            </w:r>
          </w:p>
        </w:tc>
        <w:tc>
          <w:tcPr>
            <w:tcW w:w="2286" w:type="dxa"/>
          </w:tcPr>
          <w:p w14:paraId="2EB0877F"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To examine the influence of breastfeeding promotion interventions on exclusive breastfeeding rates in </w:t>
            </w:r>
            <w:r>
              <w:rPr>
                <w:rFonts w:ascii="Times New Roman" w:eastAsia="Calibri" w:hAnsi="Times New Roman" w:cs="Times New Roman"/>
                <w:sz w:val="16"/>
                <w:szCs w:val="16"/>
              </w:rPr>
              <w:t>S</w:t>
            </w:r>
            <w:r w:rsidRPr="00DD5980">
              <w:rPr>
                <w:rFonts w:ascii="Times New Roman" w:eastAsia="Calibri" w:hAnsi="Times New Roman" w:cs="Times New Roman"/>
                <w:sz w:val="16"/>
                <w:szCs w:val="16"/>
              </w:rPr>
              <w:t>ub-Saharan Africa.</w:t>
            </w:r>
          </w:p>
        </w:tc>
        <w:tc>
          <w:tcPr>
            <w:tcW w:w="2423" w:type="dxa"/>
          </w:tcPr>
          <w:p w14:paraId="454ACF9B"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Ghana (2), Burkina Faso (2), Uganda (3), South Africa (2), Guinea-Bissau (1), Kenya (3), Tanzania (1), and the Democratic Republic of Congo (1). N=14</w:t>
            </w:r>
          </w:p>
        </w:tc>
        <w:tc>
          <w:tcPr>
            <w:tcW w:w="1866" w:type="dxa"/>
          </w:tcPr>
          <w:p w14:paraId="620B3730"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Participants: Women intending to breastfeed or breastfeeding</w:t>
            </w:r>
            <w:r w:rsidRPr="00DD5980">
              <w:rPr>
                <w:rFonts w:ascii="Times New Roman" w:eastAsia="Calibri" w:hAnsi="Times New Roman" w:cs="Times New Roman"/>
                <w:sz w:val="16"/>
                <w:szCs w:val="16"/>
              </w:rPr>
              <w:br/>
              <w:t xml:space="preserve"> women</w:t>
            </w:r>
            <w:r>
              <w:rPr>
                <w:rFonts w:ascii="Times New Roman" w:eastAsia="Calibri" w:hAnsi="Times New Roman" w:cs="Times New Roman"/>
                <w:sz w:val="16"/>
                <w:szCs w:val="16"/>
              </w:rPr>
              <w:t>.</w:t>
            </w:r>
          </w:p>
          <w:p w14:paraId="63510A05"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Sample size:7,571</w:t>
            </w:r>
          </w:p>
        </w:tc>
        <w:tc>
          <w:tcPr>
            <w:tcW w:w="1812" w:type="dxa"/>
          </w:tcPr>
          <w:p w14:paraId="36FA5D00"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Breastfeeding promotion (education, counseling, support programs) vs. </w:t>
            </w:r>
            <w:r>
              <w:rPr>
                <w:rFonts w:ascii="Times New Roman" w:eastAsia="Calibri" w:hAnsi="Times New Roman" w:cs="Times New Roman"/>
                <w:sz w:val="16"/>
                <w:szCs w:val="16"/>
              </w:rPr>
              <w:t>S</w:t>
            </w:r>
            <w:r w:rsidRPr="00DD5980">
              <w:rPr>
                <w:rFonts w:ascii="Times New Roman" w:eastAsia="Calibri" w:hAnsi="Times New Roman" w:cs="Times New Roman"/>
                <w:sz w:val="16"/>
                <w:szCs w:val="16"/>
              </w:rPr>
              <w:t>tandard care or no intervention</w:t>
            </w:r>
          </w:p>
        </w:tc>
        <w:tc>
          <w:tcPr>
            <w:tcW w:w="1823" w:type="dxa"/>
          </w:tcPr>
          <w:p w14:paraId="3DCE9427"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Exclusive breastfeeding rates at 1, 3, and 6 months postpartum</w:t>
            </w:r>
          </w:p>
        </w:tc>
        <w:tc>
          <w:tcPr>
            <w:tcW w:w="1187" w:type="dxa"/>
          </w:tcPr>
          <w:p w14:paraId="39167D20"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Yes - Cochrane </w:t>
            </w:r>
            <w:r>
              <w:rPr>
                <w:rFonts w:ascii="Times New Roman" w:eastAsia="Calibri" w:hAnsi="Times New Roman" w:cs="Times New Roman"/>
                <w:sz w:val="16"/>
                <w:szCs w:val="16"/>
              </w:rPr>
              <w:t>r</w:t>
            </w:r>
            <w:r w:rsidRPr="00DD5980">
              <w:rPr>
                <w:rFonts w:ascii="Times New Roman" w:eastAsia="Calibri" w:hAnsi="Times New Roman" w:cs="Times New Roman"/>
                <w:sz w:val="16"/>
                <w:szCs w:val="16"/>
              </w:rPr>
              <w:t xml:space="preserve">isk of </w:t>
            </w:r>
            <w:r>
              <w:rPr>
                <w:rFonts w:ascii="Times New Roman" w:eastAsia="Calibri" w:hAnsi="Times New Roman" w:cs="Times New Roman"/>
                <w:sz w:val="16"/>
                <w:szCs w:val="16"/>
              </w:rPr>
              <w:t>b</w:t>
            </w:r>
            <w:r w:rsidRPr="00DD5980">
              <w:rPr>
                <w:rFonts w:ascii="Times New Roman" w:eastAsia="Calibri" w:hAnsi="Times New Roman" w:cs="Times New Roman"/>
                <w:sz w:val="16"/>
                <w:szCs w:val="16"/>
              </w:rPr>
              <w:t xml:space="preserve">ias tool </w:t>
            </w:r>
          </w:p>
        </w:tc>
        <w:tc>
          <w:tcPr>
            <w:tcW w:w="1864" w:type="dxa"/>
          </w:tcPr>
          <w:p w14:paraId="2ECB101D"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Random-effects model</w:t>
            </w:r>
            <w:r w:rsidRPr="00DD5980">
              <w:rPr>
                <w:rFonts w:ascii="Times New Roman" w:eastAsia="Calibri" w:hAnsi="Times New Roman" w:cs="Times New Roman"/>
                <w:sz w:val="16"/>
                <w:szCs w:val="16"/>
              </w:rPr>
              <w:br/>
            </w:r>
            <w:r w:rsidRPr="00DD5980">
              <w:rPr>
                <w:rFonts w:ascii="Times New Roman" w:eastAsia="Calibri" w:hAnsi="Times New Roman" w:cs="Times New Roman"/>
                <w:sz w:val="16"/>
                <w:szCs w:val="16"/>
              </w:rPr>
              <w:br/>
            </w:r>
          </w:p>
        </w:tc>
      </w:tr>
      <w:tr w:rsidR="004E7DD3" w:rsidRPr="00DD5980" w14:paraId="52B8D4C8" w14:textId="77777777" w:rsidTr="000B6948">
        <w:trPr>
          <w:cnfStyle w:val="000000100000" w:firstRow="0" w:lastRow="0" w:firstColumn="0" w:lastColumn="0" w:oddVBand="0" w:evenVBand="0" w:oddHBand="1" w:evenHBand="0" w:firstRowFirstColumn="0" w:firstRowLastColumn="0" w:lastRowFirstColumn="0" w:lastRowLastColumn="0"/>
          <w:trHeight w:val="1691"/>
        </w:trPr>
        <w:tc>
          <w:tcPr>
            <w:cnfStyle w:val="001000000000" w:firstRow="0" w:lastRow="0" w:firstColumn="1" w:lastColumn="0" w:oddVBand="0" w:evenVBand="0" w:oddHBand="0" w:evenHBand="0" w:firstRowFirstColumn="0" w:firstRowLastColumn="0" w:lastRowFirstColumn="0" w:lastRowLastColumn="0"/>
            <w:tcW w:w="1319" w:type="dxa"/>
            <w:tcBorders>
              <w:top w:val="single" w:sz="4" w:space="0" w:color="auto"/>
              <w:left w:val="single" w:sz="4" w:space="0" w:color="auto"/>
              <w:bottom w:val="single" w:sz="4" w:space="0" w:color="auto"/>
            </w:tcBorders>
          </w:tcPr>
          <w:p w14:paraId="14C6DCE8" w14:textId="77777777" w:rsidR="004E7DD3" w:rsidRPr="00DD5980" w:rsidRDefault="004E7DD3" w:rsidP="000B6948">
            <w:pPr>
              <w:spacing w:after="160" w:line="259" w:lineRule="auto"/>
              <w:jc w:val="left"/>
              <w:rPr>
                <w:rFonts w:ascii="Times New Roman" w:eastAsia="Calibri" w:hAnsi="Times New Roman" w:cs="Times New Roman"/>
                <w:sz w:val="16"/>
                <w:szCs w:val="16"/>
              </w:rPr>
            </w:pPr>
            <w:r w:rsidRPr="00DD5980">
              <w:rPr>
                <w:rFonts w:ascii="Times New Roman" w:eastAsia="Calibri" w:hAnsi="Times New Roman" w:cs="Times New Roman"/>
                <w:sz w:val="16"/>
                <w:szCs w:val="16"/>
              </w:rPr>
              <w:t>Das et al., 2019</w:t>
            </w:r>
            <w:r>
              <w:rPr>
                <w:rFonts w:ascii="Times New Roman" w:eastAsia="Calibri" w:hAnsi="Times New Roman" w:cs="Times New Roman"/>
                <w:sz w:val="16"/>
                <w:szCs w:val="16"/>
              </w:rPr>
              <w:fldChar w:fldCharType="begin"/>
            </w:r>
            <w:r>
              <w:rPr>
                <w:rFonts w:ascii="Times New Roman" w:eastAsia="Calibri" w:hAnsi="Times New Roman" w:cs="Times New Roman"/>
                <w:sz w:val="16"/>
                <w:szCs w:val="16"/>
              </w:rPr>
              <w:instrText xml:space="preserve"> ADDIN ZOTERO_ITEM CSL_CITATION {"citationID":"ZU77fJsV","properties":{"formattedCitation":"(38)","plainCitation":"(38)","noteIndex":0},"citationItems":[{"id":174,"uris":["http://zotero.org/users/13596477/items/QCSXM7RP"],"itemData":{"id":174,"type":"article-journal","container-title":"Cochrane Database of Systematic Reviews","DOI":"10.1002/14651858.CD012611.pub3","ISSN":"14651858","issue":"5","language":"en","source":"DOI.org (Crossref)","title":"Preventive lipid-based nutrient supplements given with complementary foods to infants and young children 6 to 23 months of age for health, nutrition, and developmental outcomes","URL":"http://doi.wiley.com/10.1002/14651858.CD012611.pub3","volume":"2019","author":[{"family":"Das","given":"Jai K"},{"family":"Salam","given":"Rehana A"},{"family":"Hadi","given":"Yousaf Bashir"},{"family":"Sadiq Sheikh","given":"Sana"},{"family":"Bhutta","given":"Afsah Z"},{"family":"Weise Prinzo","given":"Zita"},{"family":"Bhutta","given":"Zulfiqar A"}],"editor":[{"literal":"Cochrane Developmental, Psychosocial and Learning Problems Group"}],"accessed":{"date-parts":[["2025",1,19]]},"issued":{"date-parts":[["2019",5,2]]}}}],"schema":"https://github.com/citation-style-language/schema/raw/master/csl-citation.json"} </w:instrText>
            </w:r>
            <w:r>
              <w:rPr>
                <w:rFonts w:ascii="Times New Roman" w:eastAsia="Calibri" w:hAnsi="Times New Roman" w:cs="Times New Roman"/>
                <w:sz w:val="16"/>
                <w:szCs w:val="16"/>
              </w:rPr>
              <w:fldChar w:fldCharType="separate"/>
            </w:r>
            <w:r>
              <w:rPr>
                <w:rFonts w:ascii="Times New Roman" w:eastAsia="Calibri" w:hAnsi="Times New Roman" w:cs="Times New Roman"/>
                <w:noProof/>
                <w:sz w:val="16"/>
                <w:szCs w:val="16"/>
              </w:rPr>
              <w:t>(38)</w:t>
            </w:r>
            <w:r>
              <w:rPr>
                <w:rFonts w:ascii="Times New Roman" w:eastAsia="Calibri" w:hAnsi="Times New Roman" w:cs="Times New Roman"/>
                <w:sz w:val="16"/>
                <w:szCs w:val="16"/>
              </w:rPr>
              <w:fldChar w:fldCharType="end"/>
            </w:r>
          </w:p>
        </w:tc>
        <w:tc>
          <w:tcPr>
            <w:tcW w:w="2286" w:type="dxa"/>
          </w:tcPr>
          <w:p w14:paraId="2C156063"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To assess the effects and safety of preventive lipid‐based nutrient supplements (LNS) on health, nutrition and developmental outcomes of children 6-23 months of age.</w:t>
            </w:r>
          </w:p>
        </w:tc>
        <w:tc>
          <w:tcPr>
            <w:tcW w:w="2423" w:type="dxa"/>
          </w:tcPr>
          <w:p w14:paraId="4B1F80F8"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SQ-LNS (only or also MQ-LNS): Ghana (2), Malawi (3), Bangladesh (3), Burkina Faso (1), Haiti (1), Peru (1), Kenya (1), and </w:t>
            </w:r>
            <w:proofErr w:type="spellStart"/>
            <w:r w:rsidRPr="00DD5980">
              <w:rPr>
                <w:rFonts w:ascii="Times New Roman" w:eastAsia="Calibri" w:hAnsi="Times New Roman" w:cs="Times New Roman"/>
                <w:sz w:val="16"/>
                <w:szCs w:val="16"/>
              </w:rPr>
              <w:t>Guatamela</w:t>
            </w:r>
            <w:proofErr w:type="spellEnd"/>
            <w:r w:rsidRPr="00DD5980">
              <w:rPr>
                <w:rFonts w:ascii="Times New Roman" w:eastAsia="Calibri" w:hAnsi="Times New Roman" w:cs="Times New Roman"/>
                <w:sz w:val="16"/>
                <w:szCs w:val="16"/>
              </w:rPr>
              <w:t xml:space="preserve"> (1).</w:t>
            </w:r>
            <w:r w:rsidRPr="00DD5980">
              <w:rPr>
                <w:rFonts w:ascii="Times New Roman" w:eastAsia="Calibri" w:hAnsi="Times New Roman" w:cs="Times New Roman"/>
                <w:sz w:val="16"/>
                <w:szCs w:val="16"/>
              </w:rPr>
              <w:br/>
              <w:t>MQ-LNS only: Congo (1), Chad (1), Malawi (1), Honduras (1). N=17</w:t>
            </w:r>
          </w:p>
        </w:tc>
        <w:tc>
          <w:tcPr>
            <w:tcW w:w="1866" w:type="dxa"/>
          </w:tcPr>
          <w:p w14:paraId="12A37D1E"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Participants: non‐</w:t>
            </w:r>
            <w:proofErr w:type="spellStart"/>
            <w:r w:rsidRPr="00DD5980">
              <w:rPr>
                <w:rFonts w:ascii="Times New Roman" w:eastAsia="Calibri" w:hAnsi="Times New Roman" w:cs="Times New Roman"/>
                <w:sz w:val="16"/>
                <w:szCs w:val="16"/>
              </w:rPr>
              <w:t>hospitalised</w:t>
            </w:r>
            <w:proofErr w:type="spellEnd"/>
            <w:r w:rsidRPr="00DD5980">
              <w:rPr>
                <w:rFonts w:ascii="Times New Roman" w:eastAsia="Calibri" w:hAnsi="Times New Roman" w:cs="Times New Roman"/>
                <w:sz w:val="16"/>
                <w:szCs w:val="16"/>
              </w:rPr>
              <w:t xml:space="preserve"> infants and children six to 23 months of age.</w:t>
            </w:r>
            <w:r w:rsidRPr="00DD5980">
              <w:rPr>
                <w:rFonts w:ascii="Times New Roman" w:eastAsia="Calibri" w:hAnsi="Times New Roman" w:cs="Times New Roman"/>
                <w:sz w:val="16"/>
                <w:szCs w:val="16"/>
              </w:rPr>
              <w:br/>
              <w:t>Sample size:  varied by outcomes (range 1,083 - 10,959 for SQ-LNS)</w:t>
            </w:r>
          </w:p>
        </w:tc>
        <w:tc>
          <w:tcPr>
            <w:tcW w:w="1812" w:type="dxa"/>
          </w:tcPr>
          <w:p w14:paraId="2503A544"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proofErr w:type="spellStart"/>
            <w:r w:rsidRPr="00DD5980">
              <w:rPr>
                <w:rFonts w:ascii="Times New Roman" w:eastAsia="Calibri" w:hAnsi="Times New Roman" w:cs="Times New Roman"/>
                <w:sz w:val="16"/>
                <w:szCs w:val="16"/>
              </w:rPr>
              <w:t>LNS+complementary</w:t>
            </w:r>
            <w:proofErr w:type="spellEnd"/>
            <w:r w:rsidRPr="00DD5980">
              <w:rPr>
                <w:rFonts w:ascii="Times New Roman" w:eastAsia="Calibri" w:hAnsi="Times New Roman" w:cs="Times New Roman"/>
                <w:sz w:val="16"/>
                <w:szCs w:val="16"/>
              </w:rPr>
              <w:t xml:space="preserve"> feeding vs No intervention</w:t>
            </w:r>
            <w:r w:rsidRPr="00DD5980">
              <w:rPr>
                <w:rFonts w:ascii="Times New Roman" w:eastAsia="Calibri" w:hAnsi="Times New Roman" w:cs="Times New Roman"/>
                <w:sz w:val="16"/>
                <w:szCs w:val="16"/>
              </w:rPr>
              <w:br/>
            </w:r>
          </w:p>
        </w:tc>
        <w:tc>
          <w:tcPr>
            <w:tcW w:w="1823" w:type="dxa"/>
          </w:tcPr>
          <w:p w14:paraId="17E7F27B"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Pr>
                <w:rFonts w:ascii="Times New Roman" w:eastAsia="Calibri" w:hAnsi="Times New Roman" w:cs="Times New Roman"/>
                <w:sz w:val="16"/>
                <w:szCs w:val="16"/>
              </w:rPr>
              <w:t>S</w:t>
            </w:r>
            <w:r w:rsidRPr="00DD5980">
              <w:rPr>
                <w:rFonts w:ascii="Times New Roman" w:eastAsia="Calibri" w:hAnsi="Times New Roman" w:cs="Times New Roman"/>
                <w:sz w:val="16"/>
                <w:szCs w:val="16"/>
              </w:rPr>
              <w:t>tunting, wasting, underweight</w:t>
            </w:r>
            <w:r>
              <w:rPr>
                <w:rFonts w:ascii="Times New Roman" w:eastAsia="Calibri" w:hAnsi="Times New Roman" w:cs="Times New Roman"/>
                <w:sz w:val="16"/>
                <w:szCs w:val="16"/>
              </w:rPr>
              <w:t xml:space="preserve">, </w:t>
            </w:r>
            <w:r w:rsidRPr="00DD5980">
              <w:rPr>
                <w:rFonts w:ascii="Times New Roman" w:eastAsia="Calibri" w:hAnsi="Times New Roman" w:cs="Times New Roman"/>
                <w:sz w:val="16"/>
                <w:szCs w:val="16"/>
              </w:rPr>
              <w:t>MUAC, HAZ, WAZ, WHZ.</w:t>
            </w:r>
            <w:r w:rsidRPr="00DD5980">
              <w:rPr>
                <w:rFonts w:ascii="Times New Roman" w:eastAsia="Calibri" w:hAnsi="Times New Roman" w:cs="Times New Roman"/>
                <w:sz w:val="16"/>
                <w:szCs w:val="16"/>
              </w:rPr>
              <w:br/>
            </w:r>
            <w:r>
              <w:rPr>
                <w:rFonts w:ascii="Times New Roman" w:eastAsia="Calibri" w:hAnsi="Times New Roman" w:cs="Times New Roman"/>
                <w:sz w:val="16"/>
                <w:szCs w:val="16"/>
              </w:rPr>
              <w:t>A</w:t>
            </w:r>
            <w:r w:rsidRPr="00DD5980">
              <w:rPr>
                <w:rFonts w:ascii="Times New Roman" w:eastAsia="Calibri" w:hAnsi="Times New Roman" w:cs="Times New Roman"/>
                <w:sz w:val="16"/>
                <w:szCs w:val="16"/>
              </w:rPr>
              <w:t xml:space="preserve">nemia, adverse events (e.g., side effects), morbidity, mortality. </w:t>
            </w:r>
            <w:r>
              <w:rPr>
                <w:rFonts w:ascii="Times New Roman" w:eastAsia="Calibri" w:hAnsi="Times New Roman" w:cs="Times New Roman"/>
                <w:sz w:val="16"/>
                <w:szCs w:val="16"/>
              </w:rPr>
              <w:t>H</w:t>
            </w:r>
            <w:r w:rsidRPr="00DD5980">
              <w:rPr>
                <w:rFonts w:ascii="Times New Roman" w:eastAsia="Calibri" w:hAnsi="Times New Roman" w:cs="Times New Roman"/>
                <w:sz w:val="16"/>
                <w:szCs w:val="16"/>
              </w:rPr>
              <w:t>emoglobin levels.</w:t>
            </w:r>
          </w:p>
        </w:tc>
        <w:tc>
          <w:tcPr>
            <w:tcW w:w="1187" w:type="dxa"/>
          </w:tcPr>
          <w:p w14:paraId="384E04D1"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Yes - GRADE and Cochrane risk of bias tool</w:t>
            </w:r>
          </w:p>
        </w:tc>
        <w:tc>
          <w:tcPr>
            <w:tcW w:w="1864" w:type="dxa"/>
          </w:tcPr>
          <w:p w14:paraId="241B9F3E"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Random effects model if significant heterogeneity.</w:t>
            </w:r>
          </w:p>
        </w:tc>
      </w:tr>
      <w:tr w:rsidR="004E7DD3" w:rsidRPr="00DD5980" w14:paraId="38DDD913" w14:textId="77777777" w:rsidTr="000B6948">
        <w:tc>
          <w:tcPr>
            <w:cnfStyle w:val="001000000000" w:firstRow="0" w:lastRow="0" w:firstColumn="1" w:lastColumn="0" w:oddVBand="0" w:evenVBand="0" w:oddHBand="0" w:evenHBand="0" w:firstRowFirstColumn="0" w:firstRowLastColumn="0" w:lastRowFirstColumn="0" w:lastRowLastColumn="0"/>
            <w:tcW w:w="1319" w:type="dxa"/>
            <w:tcBorders>
              <w:top w:val="single" w:sz="4" w:space="0" w:color="auto"/>
              <w:left w:val="none" w:sz="0" w:space="0" w:color="auto"/>
              <w:bottom w:val="single" w:sz="4" w:space="0" w:color="auto"/>
            </w:tcBorders>
          </w:tcPr>
          <w:p w14:paraId="17C7CC88" w14:textId="77777777" w:rsidR="004E7DD3" w:rsidRPr="00DD5980" w:rsidRDefault="004E7DD3" w:rsidP="000B6948">
            <w:pPr>
              <w:spacing w:after="160" w:line="259" w:lineRule="auto"/>
              <w:jc w:val="left"/>
              <w:rPr>
                <w:rFonts w:ascii="Times New Roman" w:eastAsia="Calibri" w:hAnsi="Times New Roman" w:cs="Times New Roman"/>
                <w:sz w:val="16"/>
                <w:szCs w:val="16"/>
              </w:rPr>
            </w:pPr>
            <w:r w:rsidRPr="00DD5980">
              <w:rPr>
                <w:rFonts w:ascii="Times New Roman" w:eastAsia="Calibri" w:hAnsi="Times New Roman" w:cs="Times New Roman"/>
                <w:sz w:val="16"/>
                <w:szCs w:val="16"/>
              </w:rPr>
              <w:t>Das et al., 2020</w:t>
            </w:r>
            <w:r>
              <w:rPr>
                <w:rFonts w:ascii="Times New Roman" w:eastAsia="Calibri" w:hAnsi="Times New Roman" w:cs="Times New Roman"/>
                <w:sz w:val="16"/>
                <w:szCs w:val="16"/>
              </w:rPr>
              <w:fldChar w:fldCharType="begin"/>
            </w:r>
            <w:r>
              <w:rPr>
                <w:rFonts w:ascii="Times New Roman" w:eastAsia="Calibri" w:hAnsi="Times New Roman" w:cs="Times New Roman"/>
                <w:sz w:val="16"/>
                <w:szCs w:val="16"/>
              </w:rPr>
              <w:instrText xml:space="preserve"> ADDIN ZOTERO_ITEM CSL_CITATION {"citationID":"8cCxWut2","properties":{"formattedCitation":"(45)","plainCitation":"(45)","noteIndex":0},"citationItems":[{"id":172,"uris":["http://zotero.org/users/13596477/items/U7QHZZ4G"],"itemData":{"id":172,"type":"article-journal","abstract":"Childhood malnutrition is a major public health concern, as it is associated with significant short- and long-term morbidity and mortality. The objective of this review was to comprehensively review the evidence for the management of severe acute malnutrition (SAM) and moderate acute malnutrition (MAM) according to the current World Health Organization (WHO) protocol using facility- and community-based approaches, as well as the effectiveness of ready-to-use therapeutic food (RUTF), ready-to-use supplementary food (RUSF), prophylactic antibiotic use, and vitamin A supplementation. We searched relevant electronic databases until 11 February 2019, and performed a meta-analysis. This review summarizes findings from a total of 42 studies (48 papers), including 35,017 children. Limited data show some benefit of integrated community-based screening, identification, and management of SAM and MAM on improving recovery rate. Facility-based screening and management of uncomplicated SAM has no effect on recovery and mortality, while the effect of therapeutic milk F100 for SAM is comparable to RUTF for weight gain and mortality. Local food and whey RUSF are comparable to standard RUSF for recovery rate and weight gain in MAM, while standard RUSF has additional benefits to CSB. Prophylactic antibiotic administration in uncomplicated SAM improves recovery rate and probably improves weight gain and reduces mortality. Limited data suggest that high-dose vitamin A supplementation is comparable with low-dose vitamin A supplementation for weight gain and mortality among children with SAM.","container-title":"Nutrients","DOI":"10.3390/nu12010116","ISSN":"2072-6643","issue":"1","journalAbbreviation":"Nutrients","language":"en","license":"https://creativecommons.org/licenses/by/4.0/","page":"116","source":"DOI.org (Crossref)","title":"Effectiveness of Interventions for Managing Acute Malnutrition in Children under Five Years of Age in Low-Income and Middle-Income Countries: A Systematic Review and Meta-Analysis","title-short":"Effectiveness of Interventions for Managing Acute Malnutrition in Children under Five Years of Age in Low-Income and Middle-Income Countries","volume":"12","author":[{"family":"Das","given":"Jai K."},{"family":"Salam","given":"Rehana A."},{"family":"Saeed","given":"Marwah"},{"family":"Kazmi","given":"Faheem Ali"},{"family":"Bhutta","given":"Zulfiqar A."}],"issued":{"date-parts":[["2020",1,1]]}}}],"schema":"https://github.com/citation-style-language/schema/raw/master/csl-citation.json"} </w:instrText>
            </w:r>
            <w:r>
              <w:rPr>
                <w:rFonts w:ascii="Times New Roman" w:eastAsia="Calibri" w:hAnsi="Times New Roman" w:cs="Times New Roman"/>
                <w:sz w:val="16"/>
                <w:szCs w:val="16"/>
              </w:rPr>
              <w:fldChar w:fldCharType="separate"/>
            </w:r>
            <w:r>
              <w:rPr>
                <w:rFonts w:ascii="Times New Roman" w:eastAsia="Calibri" w:hAnsi="Times New Roman" w:cs="Times New Roman"/>
                <w:noProof/>
                <w:sz w:val="16"/>
                <w:szCs w:val="16"/>
              </w:rPr>
              <w:t>(45)</w:t>
            </w:r>
            <w:r>
              <w:rPr>
                <w:rFonts w:ascii="Times New Roman" w:eastAsia="Calibri" w:hAnsi="Times New Roman" w:cs="Times New Roman"/>
                <w:sz w:val="16"/>
                <w:szCs w:val="16"/>
              </w:rPr>
              <w:fldChar w:fldCharType="end"/>
            </w:r>
          </w:p>
        </w:tc>
        <w:tc>
          <w:tcPr>
            <w:tcW w:w="2286" w:type="dxa"/>
          </w:tcPr>
          <w:p w14:paraId="66FE4902"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To review the effectiveness of facility- and community-based strategies on SAM </w:t>
            </w:r>
            <w:r>
              <w:rPr>
                <w:rFonts w:ascii="Times New Roman" w:eastAsia="Calibri" w:hAnsi="Times New Roman" w:cs="Times New Roman"/>
                <w:sz w:val="16"/>
                <w:szCs w:val="16"/>
              </w:rPr>
              <w:t xml:space="preserve">and </w:t>
            </w:r>
            <w:r w:rsidRPr="00DD5980">
              <w:rPr>
                <w:rFonts w:ascii="Times New Roman" w:eastAsia="Calibri" w:hAnsi="Times New Roman" w:cs="Times New Roman"/>
                <w:sz w:val="16"/>
                <w:szCs w:val="16"/>
              </w:rPr>
              <w:t>MAM management</w:t>
            </w:r>
            <w:r>
              <w:rPr>
                <w:rFonts w:ascii="Times New Roman" w:eastAsia="Calibri" w:hAnsi="Times New Roman" w:cs="Times New Roman"/>
                <w:sz w:val="16"/>
                <w:szCs w:val="16"/>
              </w:rPr>
              <w:t>,</w:t>
            </w:r>
            <w:r w:rsidRPr="00DD5980">
              <w:rPr>
                <w:rFonts w:ascii="Times New Roman" w:eastAsia="Calibri" w:hAnsi="Times New Roman" w:cs="Times New Roman"/>
                <w:sz w:val="16"/>
                <w:szCs w:val="16"/>
              </w:rPr>
              <w:t xml:space="preserve"> </w:t>
            </w:r>
            <w:r>
              <w:rPr>
                <w:rFonts w:ascii="Times New Roman" w:eastAsia="Calibri" w:hAnsi="Times New Roman" w:cs="Times New Roman"/>
                <w:sz w:val="16"/>
                <w:szCs w:val="16"/>
              </w:rPr>
              <w:t>and</w:t>
            </w:r>
            <w:r w:rsidRPr="00DD5980">
              <w:rPr>
                <w:rFonts w:ascii="Times New Roman" w:eastAsia="Calibri" w:hAnsi="Times New Roman" w:cs="Times New Roman"/>
                <w:sz w:val="16"/>
                <w:szCs w:val="16"/>
              </w:rPr>
              <w:t xml:space="preserve"> the effectiveness of (RUTF, RUSF, prophylactic antibiotic use, and </w:t>
            </w:r>
            <w:r>
              <w:rPr>
                <w:rFonts w:ascii="Times New Roman" w:eastAsia="Calibri" w:hAnsi="Times New Roman" w:cs="Times New Roman"/>
                <w:sz w:val="16"/>
                <w:szCs w:val="16"/>
              </w:rPr>
              <w:t>VAS</w:t>
            </w:r>
            <w:r w:rsidRPr="00DD5980">
              <w:rPr>
                <w:rFonts w:ascii="Times New Roman" w:eastAsia="Calibri" w:hAnsi="Times New Roman" w:cs="Times New Roman"/>
                <w:sz w:val="16"/>
                <w:szCs w:val="16"/>
              </w:rPr>
              <w:t>.</w:t>
            </w:r>
          </w:p>
        </w:tc>
        <w:tc>
          <w:tcPr>
            <w:tcW w:w="2423" w:type="dxa"/>
          </w:tcPr>
          <w:p w14:paraId="4443B621"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For RUTF vs </w:t>
            </w:r>
            <w:proofErr w:type="gramStart"/>
            <w:r w:rsidRPr="00DD5980">
              <w:rPr>
                <w:rFonts w:ascii="Times New Roman" w:eastAsia="Calibri" w:hAnsi="Times New Roman" w:cs="Times New Roman"/>
                <w:sz w:val="16"/>
                <w:szCs w:val="16"/>
              </w:rPr>
              <w:t>Other</w:t>
            </w:r>
            <w:proofErr w:type="gramEnd"/>
            <w:r w:rsidRPr="00DD5980">
              <w:rPr>
                <w:rFonts w:ascii="Times New Roman" w:eastAsia="Calibri" w:hAnsi="Times New Roman" w:cs="Times New Roman"/>
                <w:sz w:val="16"/>
                <w:szCs w:val="16"/>
              </w:rPr>
              <w:t xml:space="preserve"> foods: Malawi (6), Democratic Republic of Congo (2), India (2), Senegal (1), Zambia (1), Kenya (1), and Cambodia (1). N=14</w:t>
            </w:r>
          </w:p>
        </w:tc>
        <w:tc>
          <w:tcPr>
            <w:tcW w:w="1866" w:type="dxa"/>
          </w:tcPr>
          <w:p w14:paraId="74AEF91C"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Participants: children under 5 years of age with SAM and MAM in low- and middle-income countries (LMIC)</w:t>
            </w:r>
            <w:r w:rsidRPr="00DD5980">
              <w:rPr>
                <w:rFonts w:ascii="Times New Roman" w:eastAsia="Calibri" w:hAnsi="Times New Roman" w:cs="Times New Roman"/>
                <w:sz w:val="16"/>
                <w:szCs w:val="16"/>
              </w:rPr>
              <w:br/>
              <w:t xml:space="preserve">Sample size: 9,600 </w:t>
            </w:r>
          </w:p>
        </w:tc>
        <w:tc>
          <w:tcPr>
            <w:tcW w:w="1812" w:type="dxa"/>
          </w:tcPr>
          <w:p w14:paraId="7797A14D"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RUTF vs Standard diet, fortified blended flours (FBFs), or other locally produced foods</w:t>
            </w:r>
            <w:r w:rsidRPr="00DD5980">
              <w:rPr>
                <w:rFonts w:ascii="Times New Roman" w:eastAsia="Calibri" w:hAnsi="Times New Roman" w:cs="Times New Roman"/>
                <w:sz w:val="16"/>
                <w:szCs w:val="16"/>
              </w:rPr>
              <w:br/>
            </w:r>
          </w:p>
        </w:tc>
        <w:tc>
          <w:tcPr>
            <w:tcW w:w="1823" w:type="dxa"/>
          </w:tcPr>
          <w:p w14:paraId="0F140A07"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Recovery rate, time to recovery</w:t>
            </w:r>
            <w:r>
              <w:rPr>
                <w:rFonts w:ascii="Times New Roman" w:eastAsia="Calibri" w:hAnsi="Times New Roman" w:cs="Times New Roman"/>
                <w:sz w:val="16"/>
                <w:szCs w:val="16"/>
              </w:rPr>
              <w:t>.</w:t>
            </w:r>
            <w:r w:rsidRPr="00DD5980">
              <w:rPr>
                <w:rFonts w:ascii="Times New Roman" w:eastAsia="Calibri" w:hAnsi="Times New Roman" w:cs="Times New Roman"/>
                <w:sz w:val="16"/>
                <w:szCs w:val="16"/>
              </w:rPr>
              <w:br/>
              <w:t>Gain in weight, height, MUAC, wasting</w:t>
            </w:r>
            <w:r>
              <w:rPr>
                <w:rFonts w:ascii="Times New Roman" w:eastAsia="Calibri" w:hAnsi="Times New Roman" w:cs="Times New Roman"/>
                <w:sz w:val="16"/>
                <w:szCs w:val="16"/>
              </w:rPr>
              <w:t>.</w:t>
            </w:r>
            <w:r w:rsidRPr="00DD5980">
              <w:rPr>
                <w:rFonts w:ascii="Times New Roman" w:eastAsia="Calibri" w:hAnsi="Times New Roman" w:cs="Times New Roman"/>
                <w:sz w:val="16"/>
                <w:szCs w:val="16"/>
              </w:rPr>
              <w:br/>
              <w:t>Mortality</w:t>
            </w:r>
            <w:r>
              <w:rPr>
                <w:rFonts w:ascii="Times New Roman" w:eastAsia="Calibri" w:hAnsi="Times New Roman" w:cs="Times New Roman"/>
                <w:sz w:val="16"/>
                <w:szCs w:val="16"/>
              </w:rPr>
              <w:t>, m</w:t>
            </w:r>
            <w:r w:rsidRPr="00DD5980">
              <w:rPr>
                <w:rFonts w:ascii="Times New Roman" w:eastAsia="Calibri" w:hAnsi="Times New Roman" w:cs="Times New Roman"/>
                <w:sz w:val="16"/>
                <w:szCs w:val="16"/>
              </w:rPr>
              <w:t>orbidity (coughing, diarrhea, and fever)</w:t>
            </w:r>
            <w:r>
              <w:rPr>
                <w:rFonts w:ascii="Times New Roman" w:eastAsia="Calibri" w:hAnsi="Times New Roman" w:cs="Times New Roman"/>
                <w:sz w:val="16"/>
                <w:szCs w:val="16"/>
              </w:rPr>
              <w:t>, h</w:t>
            </w:r>
            <w:r w:rsidRPr="00DD5980">
              <w:rPr>
                <w:rFonts w:ascii="Times New Roman" w:eastAsia="Calibri" w:hAnsi="Times New Roman" w:cs="Times New Roman"/>
                <w:sz w:val="16"/>
                <w:szCs w:val="16"/>
              </w:rPr>
              <w:t>ospitalization</w:t>
            </w:r>
          </w:p>
        </w:tc>
        <w:tc>
          <w:tcPr>
            <w:tcW w:w="1187" w:type="dxa"/>
          </w:tcPr>
          <w:p w14:paraId="0ED1562F"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Yes - GRADE, Cochrane risk of bias tool for RCTs, EPOC risk of bias criteria for non-RCTs.</w:t>
            </w:r>
          </w:p>
        </w:tc>
        <w:tc>
          <w:tcPr>
            <w:tcW w:w="1864" w:type="dxa"/>
          </w:tcPr>
          <w:p w14:paraId="0FE3FFED"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Random effects model</w:t>
            </w:r>
          </w:p>
        </w:tc>
      </w:tr>
      <w:tr w:rsidR="004E7DD3" w:rsidRPr="00DD5980" w14:paraId="0EDED415" w14:textId="77777777" w:rsidTr="000B6948">
        <w:trPr>
          <w:cnfStyle w:val="000000100000" w:firstRow="0" w:lastRow="0" w:firstColumn="0" w:lastColumn="0" w:oddVBand="0" w:evenVBand="0" w:oddHBand="1" w:evenHBand="0" w:firstRowFirstColumn="0" w:firstRowLastColumn="0" w:lastRowFirstColumn="0" w:lastRowLastColumn="0"/>
          <w:trHeight w:val="1439"/>
        </w:trPr>
        <w:tc>
          <w:tcPr>
            <w:cnfStyle w:val="001000000000" w:firstRow="0" w:lastRow="0" w:firstColumn="1" w:lastColumn="0" w:oddVBand="0" w:evenVBand="0" w:oddHBand="0" w:evenHBand="0" w:firstRowFirstColumn="0" w:firstRowLastColumn="0" w:lastRowFirstColumn="0" w:lastRowLastColumn="0"/>
            <w:tcW w:w="1319" w:type="dxa"/>
            <w:tcBorders>
              <w:top w:val="single" w:sz="4" w:space="0" w:color="auto"/>
              <w:left w:val="single" w:sz="4" w:space="0" w:color="auto"/>
              <w:bottom w:val="single" w:sz="4" w:space="0" w:color="auto"/>
            </w:tcBorders>
          </w:tcPr>
          <w:p w14:paraId="31DD8DA9" w14:textId="77777777" w:rsidR="004E7DD3" w:rsidRPr="00DD5980" w:rsidRDefault="004E7DD3" w:rsidP="000B6948">
            <w:pPr>
              <w:spacing w:after="160" w:line="259" w:lineRule="auto"/>
              <w:jc w:val="left"/>
              <w:rPr>
                <w:rFonts w:ascii="Times New Roman" w:eastAsia="Calibri" w:hAnsi="Times New Roman" w:cs="Times New Roman"/>
                <w:sz w:val="16"/>
                <w:szCs w:val="16"/>
              </w:rPr>
            </w:pPr>
            <w:r w:rsidRPr="00DD5980">
              <w:rPr>
                <w:rFonts w:ascii="Times New Roman" w:eastAsia="Calibri" w:hAnsi="Times New Roman" w:cs="Times New Roman"/>
                <w:sz w:val="16"/>
                <w:szCs w:val="16"/>
              </w:rPr>
              <w:t>Dewey et al., 2021</w:t>
            </w:r>
            <w:r>
              <w:rPr>
                <w:rFonts w:ascii="Times New Roman" w:eastAsia="Calibri" w:hAnsi="Times New Roman" w:cs="Times New Roman"/>
                <w:sz w:val="16"/>
                <w:szCs w:val="16"/>
              </w:rPr>
              <w:fldChar w:fldCharType="begin"/>
            </w:r>
            <w:r>
              <w:rPr>
                <w:rFonts w:ascii="Times New Roman" w:eastAsia="Calibri" w:hAnsi="Times New Roman" w:cs="Times New Roman"/>
                <w:sz w:val="16"/>
                <w:szCs w:val="16"/>
              </w:rPr>
              <w:instrText xml:space="preserve"> ADDIN ZOTERO_ITEM CSL_CITATION {"citationID":"tiITesAz","properties":{"formattedCitation":"(39)","plainCitation":"(39)","noteIndex":0},"citationItems":[{"id":176,"uris":["http://zotero.org/users/13596477/items/S4X4DL7Z"],"itemData":{"id":176,"type":"article-journal","container-title":"The American Journal of Clinical Nutrition","DOI":"10.1093/ajcn/nqab279","ISSN":"00029165","journalAbbreviation":"The American Journal of Clinical Nutrition","language":"en","page":"3S-14S","source":"DOI.org (Crossref)","title":"Small-quantity lipid-based nutrient supplements for the prevention of child malnutrition and promotion of healthy development: overview of individual participant data meta-analysis and programmatic implications","title-short":"Small-quantity lipid-based nutrient supplements for the prevention of child malnutrition and promotion of healthy development","volume":"114","author":[{"family":"Dewey","given":"Kathryn G"},{"family":"Stewart","given":"Christine P"},{"family":"Wessells","given":"K Ryan"},{"family":"Prado","given":"Elizabeth L"},{"family":"Arnold","given":"Charles D"}],"issued":{"date-parts":[["2021",11]]}}}],"schema":"https://github.com/citation-style-language/schema/raw/master/csl-citation.json"} </w:instrText>
            </w:r>
            <w:r>
              <w:rPr>
                <w:rFonts w:ascii="Times New Roman" w:eastAsia="Calibri" w:hAnsi="Times New Roman" w:cs="Times New Roman"/>
                <w:sz w:val="16"/>
                <w:szCs w:val="16"/>
              </w:rPr>
              <w:fldChar w:fldCharType="separate"/>
            </w:r>
            <w:r>
              <w:rPr>
                <w:rFonts w:ascii="Times New Roman" w:eastAsia="Calibri" w:hAnsi="Times New Roman" w:cs="Times New Roman"/>
                <w:noProof/>
                <w:sz w:val="16"/>
                <w:szCs w:val="16"/>
              </w:rPr>
              <w:t>(39)</w:t>
            </w:r>
            <w:r>
              <w:rPr>
                <w:rFonts w:ascii="Times New Roman" w:eastAsia="Calibri" w:hAnsi="Times New Roman" w:cs="Times New Roman"/>
                <w:sz w:val="16"/>
                <w:szCs w:val="16"/>
              </w:rPr>
              <w:fldChar w:fldCharType="end"/>
            </w:r>
          </w:p>
        </w:tc>
        <w:tc>
          <w:tcPr>
            <w:tcW w:w="2286" w:type="dxa"/>
          </w:tcPr>
          <w:p w14:paraId="1B906B7B"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To assess the impact of SQ-LNS on child growth, development, anemia, and micronutrient status and to explore modifiers of intervention effects at the individual and study levels.</w:t>
            </w:r>
          </w:p>
        </w:tc>
        <w:tc>
          <w:tcPr>
            <w:tcW w:w="2423" w:type="dxa"/>
          </w:tcPr>
          <w:p w14:paraId="0E78146B"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Bangladesh (3), Burkina </w:t>
            </w:r>
            <w:proofErr w:type="gramStart"/>
            <w:r w:rsidRPr="00DD5980">
              <w:rPr>
                <w:rFonts w:ascii="Times New Roman" w:eastAsia="Calibri" w:hAnsi="Times New Roman" w:cs="Times New Roman"/>
                <w:sz w:val="16"/>
                <w:szCs w:val="16"/>
              </w:rPr>
              <w:t>Faso(</w:t>
            </w:r>
            <w:proofErr w:type="gramEnd"/>
            <w:r w:rsidRPr="00DD5980">
              <w:rPr>
                <w:rFonts w:ascii="Times New Roman" w:eastAsia="Calibri" w:hAnsi="Times New Roman" w:cs="Times New Roman"/>
                <w:sz w:val="16"/>
                <w:szCs w:val="16"/>
              </w:rPr>
              <w:t>2), Ghana(2), Haiti (1), Kenya(1), Madagascar (1), Malawi(2), Mali(1), Zimbabwe(1). N=14</w:t>
            </w:r>
          </w:p>
          <w:p w14:paraId="2FB41255"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p>
        </w:tc>
        <w:tc>
          <w:tcPr>
            <w:tcW w:w="1866" w:type="dxa"/>
          </w:tcPr>
          <w:p w14:paraId="2A3008F8"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Participants:  infants and young children, between 6 and 24 </w:t>
            </w:r>
            <w:proofErr w:type="spellStart"/>
            <w:r w:rsidRPr="00DD5980">
              <w:rPr>
                <w:rFonts w:ascii="Times New Roman" w:eastAsia="Calibri" w:hAnsi="Times New Roman" w:cs="Times New Roman"/>
                <w:sz w:val="16"/>
                <w:szCs w:val="16"/>
              </w:rPr>
              <w:t>mo</w:t>
            </w:r>
            <w:proofErr w:type="spellEnd"/>
            <w:r w:rsidRPr="00DD5980">
              <w:rPr>
                <w:rFonts w:ascii="Times New Roman" w:eastAsia="Calibri" w:hAnsi="Times New Roman" w:cs="Times New Roman"/>
                <w:sz w:val="16"/>
                <w:szCs w:val="16"/>
              </w:rPr>
              <w:t xml:space="preserve"> of age</w:t>
            </w:r>
            <w:r w:rsidRPr="00DD5980">
              <w:rPr>
                <w:rFonts w:ascii="Times New Roman" w:eastAsia="Calibri" w:hAnsi="Times New Roman" w:cs="Times New Roman"/>
                <w:sz w:val="16"/>
                <w:szCs w:val="16"/>
              </w:rPr>
              <w:br/>
              <w:t xml:space="preserve">Sample size: 37,066 </w:t>
            </w:r>
          </w:p>
          <w:p w14:paraId="0FD4CD84"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p>
          <w:p w14:paraId="71DCF600"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p>
        </w:tc>
        <w:tc>
          <w:tcPr>
            <w:tcW w:w="1812" w:type="dxa"/>
          </w:tcPr>
          <w:p w14:paraId="44D64EEB"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proofErr w:type="spellStart"/>
            <w:r w:rsidRPr="00DD5980">
              <w:rPr>
                <w:rFonts w:ascii="Times New Roman" w:eastAsia="Calibri" w:hAnsi="Times New Roman" w:cs="Times New Roman"/>
                <w:sz w:val="16"/>
                <w:szCs w:val="16"/>
              </w:rPr>
              <w:t>SQ-LNS+complementary</w:t>
            </w:r>
            <w:proofErr w:type="spellEnd"/>
            <w:r w:rsidRPr="00DD5980">
              <w:rPr>
                <w:rFonts w:ascii="Times New Roman" w:eastAsia="Calibri" w:hAnsi="Times New Roman" w:cs="Times New Roman"/>
                <w:sz w:val="16"/>
                <w:szCs w:val="16"/>
              </w:rPr>
              <w:t xml:space="preserve"> feeding vs No intervention</w:t>
            </w:r>
          </w:p>
        </w:tc>
        <w:tc>
          <w:tcPr>
            <w:tcW w:w="1823" w:type="dxa"/>
          </w:tcPr>
          <w:p w14:paraId="6C9E5D04"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Stunting, wasting, underweight, anemia, and iron deficiency.</w:t>
            </w:r>
            <w:r w:rsidRPr="00DD5980">
              <w:rPr>
                <w:rFonts w:ascii="Times New Roman" w:eastAsia="Calibri" w:hAnsi="Times New Roman" w:cs="Times New Roman"/>
                <w:sz w:val="16"/>
                <w:szCs w:val="16"/>
              </w:rPr>
              <w:br/>
            </w:r>
            <w:r w:rsidRPr="00DD5980">
              <w:rPr>
                <w:rFonts w:ascii="Times New Roman" w:eastAsia="Calibri" w:hAnsi="Times New Roman" w:cs="Times New Roman"/>
                <w:sz w:val="16"/>
                <w:szCs w:val="16"/>
              </w:rPr>
              <w:br/>
            </w:r>
            <w:r w:rsidRPr="00DD5980">
              <w:rPr>
                <w:rFonts w:ascii="Times New Roman" w:eastAsia="Calibri" w:hAnsi="Times New Roman" w:cs="Times New Roman"/>
                <w:sz w:val="16"/>
                <w:szCs w:val="16"/>
              </w:rPr>
              <w:br/>
            </w:r>
          </w:p>
        </w:tc>
        <w:tc>
          <w:tcPr>
            <w:tcW w:w="1187" w:type="dxa"/>
          </w:tcPr>
          <w:p w14:paraId="126365E1"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Yes - Cochrane risk of bias tool for RCTs. </w:t>
            </w:r>
            <w:r w:rsidRPr="00DD5980">
              <w:rPr>
                <w:rFonts w:ascii="Times New Roman" w:eastAsia="Calibri" w:hAnsi="Times New Roman" w:cs="Times New Roman"/>
                <w:sz w:val="16"/>
                <w:szCs w:val="16"/>
              </w:rPr>
              <w:br/>
              <w:t xml:space="preserve"> </w:t>
            </w:r>
          </w:p>
        </w:tc>
        <w:tc>
          <w:tcPr>
            <w:tcW w:w="1864" w:type="dxa"/>
          </w:tcPr>
          <w:p w14:paraId="0A483325"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Two-stage meta-analysis. </w:t>
            </w:r>
            <w:r w:rsidRPr="00DD5980">
              <w:rPr>
                <w:rFonts w:ascii="Times New Roman" w:eastAsia="Calibri" w:hAnsi="Times New Roman" w:cs="Times New Roman"/>
                <w:sz w:val="16"/>
                <w:szCs w:val="16"/>
              </w:rPr>
              <w:br/>
            </w:r>
            <w:r w:rsidRPr="00DD5980">
              <w:rPr>
                <w:rFonts w:ascii="Times New Roman" w:eastAsia="Calibri" w:hAnsi="Times New Roman" w:cs="Times New Roman"/>
                <w:sz w:val="16"/>
                <w:szCs w:val="16"/>
              </w:rPr>
              <w:br/>
              <w:t xml:space="preserve"> </w:t>
            </w:r>
          </w:p>
        </w:tc>
      </w:tr>
      <w:tr w:rsidR="004E7DD3" w:rsidRPr="00DD5980" w14:paraId="74077646" w14:textId="77777777" w:rsidTr="000B6948">
        <w:trPr>
          <w:trHeight w:val="1250"/>
        </w:trPr>
        <w:tc>
          <w:tcPr>
            <w:cnfStyle w:val="001000000000" w:firstRow="0" w:lastRow="0" w:firstColumn="1" w:lastColumn="0" w:oddVBand="0" w:evenVBand="0" w:oddHBand="0" w:evenHBand="0" w:firstRowFirstColumn="0" w:firstRowLastColumn="0" w:lastRowFirstColumn="0" w:lastRowLastColumn="0"/>
            <w:tcW w:w="1319" w:type="dxa"/>
            <w:tcBorders>
              <w:top w:val="single" w:sz="4" w:space="0" w:color="auto"/>
              <w:left w:val="single" w:sz="4" w:space="0" w:color="auto"/>
              <w:bottom w:val="single" w:sz="4" w:space="0" w:color="auto"/>
            </w:tcBorders>
          </w:tcPr>
          <w:p w14:paraId="157AE19A" w14:textId="77777777" w:rsidR="004E7DD3" w:rsidRPr="00DD5980" w:rsidRDefault="004E7DD3" w:rsidP="000B6948">
            <w:pPr>
              <w:spacing w:after="160" w:line="259" w:lineRule="auto"/>
              <w:jc w:val="left"/>
              <w:rPr>
                <w:rFonts w:ascii="Times New Roman" w:eastAsia="Calibri" w:hAnsi="Times New Roman" w:cs="Times New Roman"/>
                <w:sz w:val="16"/>
                <w:szCs w:val="16"/>
              </w:rPr>
            </w:pPr>
            <w:r w:rsidRPr="00DD5980">
              <w:rPr>
                <w:rFonts w:ascii="Times New Roman" w:eastAsia="Calibri" w:hAnsi="Times New Roman" w:cs="Times New Roman"/>
                <w:sz w:val="16"/>
                <w:szCs w:val="16"/>
              </w:rPr>
              <w:lastRenderedPageBreak/>
              <w:t>Dewey et al., 2022</w:t>
            </w:r>
            <w:r>
              <w:rPr>
                <w:rFonts w:ascii="Times New Roman" w:eastAsia="Calibri" w:hAnsi="Times New Roman" w:cs="Times New Roman"/>
                <w:sz w:val="16"/>
                <w:szCs w:val="16"/>
              </w:rPr>
              <w:t xml:space="preserve"> </w:t>
            </w:r>
            <w:r>
              <w:rPr>
                <w:rFonts w:ascii="Times New Roman" w:eastAsia="Calibri" w:hAnsi="Times New Roman" w:cs="Times New Roman"/>
                <w:sz w:val="16"/>
                <w:szCs w:val="16"/>
              </w:rPr>
              <w:fldChar w:fldCharType="begin"/>
            </w:r>
            <w:r>
              <w:rPr>
                <w:rFonts w:ascii="Times New Roman" w:eastAsia="Calibri" w:hAnsi="Times New Roman" w:cs="Times New Roman"/>
                <w:sz w:val="16"/>
                <w:szCs w:val="16"/>
              </w:rPr>
              <w:instrText xml:space="preserve"> ADDIN ZOTERO_ITEM CSL_CITATION {"citationID":"gfpNhnBg","properties":{"formattedCitation":"(40)","plainCitation":"(40)","noteIndex":0},"citationItems":[{"id":178,"uris":["http://zotero.org/users/13596477/items/QAVQG5W9"],"itemData":{"id":178,"type":"article-journal","container-title":"The American Journal of Clinical Nutrition","DOI":"10.1093/ajcn/nqac232","ISSN":"00029165","issue":"5","journalAbbreviation":"The American Journal of Clinical Nutrition","language":"en","page":"1314-1333","source":"DOI.org (Crossref)","title":"Preventive small-quantity lipid-based nutrient supplements reduce severe wasting and severe stunting among young children: an individual participant data meta-analysis of randomized controlled trials","title-short":"Preventive small-quantity lipid-based nutrient supplements reduce severe wasting and severe stunting among young children","volume":"116","author":[{"family":"Dewey","given":"Kathryn G"},{"family":"Arnold","given":"Charles D"},{"family":"Wessells","given":"K Ryan"},{"family":"Prado","given":"Elizabeth L"},{"family":"Abbeddou","given":"Souheila"},{"family":"Adu-Afarwuah","given":"Seth"},{"family":"Ali","given":"Hasmot"},{"family":"Arnold","given":"Benjamin F"},{"family":"Ashorn","given":"Per"},{"family":"Ashorn","given":"Ulla"},{"family":"Ashraf","given":"Sania"},{"family":"Becquey","given":"Elodie"},{"family":"Brown","given":"Kenneth H"},{"family":"Christian","given":"Parul"},{"family":"Colford, Jr","given":"John M"},{"family":"Dulience","given":"Sherlie Jl"},{"family":"Fernald","given":"Lia Ch"},{"family":"Galasso","given":"Emanuela"},{"family":"Hallamaa","given":"Lotta"},{"family":"Hess","given":"Sonja Y"},{"family":"Humphrey","given":"Jean H"},{"family":"Huybregts","given":"Lieven"},{"family":"Iannotti","given":"Lora L"},{"family":"Jannat","given":"Kaniz"},{"family":"Lartey","given":"Anna"},{"family":"Le Port","given":"Agnes"},{"family":"Leroy","given":"Jef L"},{"family":"Luby","given":"Stephen P"},{"family":"Maleta","given":"Kenneth"},{"family":"Matias","given":"Susana L"},{"family":"Mbuya","given":"Mduduzi Nn"},{"family":"Mridha","given":"Malay K"},{"family":"Nkhoma","given":"Minyanga"},{"family":"Null","given":"Clair"},{"family":"Paul","given":"Rina R"},{"family":"Okronipa","given":"Harriet"},{"family":"Ouédraogo","given":"Jean-Bosco"},{"family":"Pickering","given":"Amy J"},{"family":"Prendergast","given":"Andrew J"},{"family":"Ruel","given":"Marie"},{"family":"Shaikh","given":"Saijuddin"},{"family":"Weber","given":"Ann M"},{"family":"Wolff","given":"Patricia"},{"family":"Zongrone","given":"Amanda"},{"family":"Stewart","given":"Christine P"}],"issued":{"date-parts":[["2022",11]]}}}],"schema":"https://github.com/citation-style-language/schema/raw/master/csl-citation.json"} </w:instrText>
            </w:r>
            <w:r>
              <w:rPr>
                <w:rFonts w:ascii="Times New Roman" w:eastAsia="Calibri" w:hAnsi="Times New Roman" w:cs="Times New Roman"/>
                <w:sz w:val="16"/>
                <w:szCs w:val="16"/>
              </w:rPr>
              <w:fldChar w:fldCharType="separate"/>
            </w:r>
            <w:r>
              <w:rPr>
                <w:rFonts w:ascii="Times New Roman" w:eastAsia="Calibri" w:hAnsi="Times New Roman" w:cs="Times New Roman"/>
                <w:noProof/>
                <w:sz w:val="16"/>
                <w:szCs w:val="16"/>
              </w:rPr>
              <w:t>(40)</w:t>
            </w:r>
            <w:r>
              <w:rPr>
                <w:rFonts w:ascii="Times New Roman" w:eastAsia="Calibri" w:hAnsi="Times New Roman" w:cs="Times New Roman"/>
                <w:sz w:val="16"/>
                <w:szCs w:val="16"/>
              </w:rPr>
              <w:fldChar w:fldCharType="end"/>
            </w:r>
          </w:p>
        </w:tc>
        <w:tc>
          <w:tcPr>
            <w:tcW w:w="2286" w:type="dxa"/>
          </w:tcPr>
          <w:p w14:paraId="262D9EB9"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To identify the effect of</w:t>
            </w:r>
            <w:r>
              <w:rPr>
                <w:rFonts w:ascii="Times New Roman" w:eastAsia="Calibri" w:hAnsi="Times New Roman" w:cs="Times New Roman"/>
                <w:sz w:val="16"/>
                <w:szCs w:val="16"/>
              </w:rPr>
              <w:t xml:space="preserve"> </w:t>
            </w:r>
            <w:r w:rsidRPr="00DD5980">
              <w:rPr>
                <w:rFonts w:ascii="Times New Roman" w:eastAsia="Calibri" w:hAnsi="Times New Roman" w:cs="Times New Roman"/>
                <w:sz w:val="16"/>
                <w:szCs w:val="16"/>
              </w:rPr>
              <w:t>SQ-LNSs on the prevalence of severe wasting and severe stunting in young children.</w:t>
            </w:r>
          </w:p>
        </w:tc>
        <w:tc>
          <w:tcPr>
            <w:tcW w:w="2423" w:type="dxa"/>
          </w:tcPr>
          <w:p w14:paraId="3F2EE783"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Bangladesh (3), Burkina </w:t>
            </w:r>
            <w:proofErr w:type="gramStart"/>
            <w:r w:rsidRPr="00DD5980">
              <w:rPr>
                <w:rFonts w:ascii="Times New Roman" w:eastAsia="Calibri" w:hAnsi="Times New Roman" w:cs="Times New Roman"/>
                <w:sz w:val="16"/>
                <w:szCs w:val="16"/>
              </w:rPr>
              <w:t>Faso(</w:t>
            </w:r>
            <w:proofErr w:type="gramEnd"/>
            <w:r w:rsidRPr="00DD5980">
              <w:rPr>
                <w:rFonts w:ascii="Times New Roman" w:eastAsia="Calibri" w:hAnsi="Times New Roman" w:cs="Times New Roman"/>
                <w:sz w:val="16"/>
                <w:szCs w:val="16"/>
              </w:rPr>
              <w:t>2), Ghana(2), Haiti (1), Kenya(1), Madagascar (1), Malawi(2), Mali(1), Zimbabwe(1) N=14</w:t>
            </w:r>
          </w:p>
        </w:tc>
        <w:tc>
          <w:tcPr>
            <w:tcW w:w="1866" w:type="dxa"/>
          </w:tcPr>
          <w:p w14:paraId="0574714C"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Participants:  infants and young children, between 6 and 24 </w:t>
            </w:r>
            <w:proofErr w:type="spellStart"/>
            <w:r w:rsidRPr="00DD5980">
              <w:rPr>
                <w:rFonts w:ascii="Times New Roman" w:eastAsia="Calibri" w:hAnsi="Times New Roman" w:cs="Times New Roman"/>
                <w:sz w:val="16"/>
                <w:szCs w:val="16"/>
              </w:rPr>
              <w:t>mo</w:t>
            </w:r>
            <w:proofErr w:type="spellEnd"/>
            <w:r w:rsidRPr="00DD5980">
              <w:rPr>
                <w:rFonts w:ascii="Times New Roman" w:eastAsia="Calibri" w:hAnsi="Times New Roman" w:cs="Times New Roman"/>
                <w:sz w:val="16"/>
                <w:szCs w:val="16"/>
              </w:rPr>
              <w:t xml:space="preserve"> of age</w:t>
            </w:r>
            <w:r w:rsidRPr="00DD5980">
              <w:rPr>
                <w:rFonts w:ascii="Times New Roman" w:eastAsia="Calibri" w:hAnsi="Times New Roman" w:cs="Times New Roman"/>
                <w:sz w:val="16"/>
                <w:szCs w:val="16"/>
              </w:rPr>
              <w:br/>
              <w:t xml:space="preserve">Sample size: 37,066 </w:t>
            </w:r>
          </w:p>
        </w:tc>
        <w:tc>
          <w:tcPr>
            <w:tcW w:w="1812" w:type="dxa"/>
          </w:tcPr>
          <w:p w14:paraId="5F2B28E1"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SQ-LNSs (&lt;125 kcal/day) vs No supplementation or non-LNS supplementation</w:t>
            </w:r>
            <w:r w:rsidRPr="00DD5980">
              <w:rPr>
                <w:rFonts w:ascii="Times New Roman" w:eastAsia="Calibri" w:hAnsi="Times New Roman" w:cs="Times New Roman"/>
                <w:sz w:val="16"/>
                <w:szCs w:val="16"/>
              </w:rPr>
              <w:tab/>
            </w:r>
          </w:p>
        </w:tc>
        <w:tc>
          <w:tcPr>
            <w:tcW w:w="1823" w:type="dxa"/>
          </w:tcPr>
          <w:p w14:paraId="15CC2964"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Wasting, stunting. </w:t>
            </w:r>
            <w:r w:rsidRPr="00DD5980">
              <w:rPr>
                <w:rFonts w:ascii="Times New Roman" w:eastAsia="Calibri" w:hAnsi="Times New Roman" w:cs="Times New Roman"/>
                <w:sz w:val="16"/>
                <w:szCs w:val="16"/>
              </w:rPr>
              <w:br/>
            </w:r>
            <w:r w:rsidRPr="00DD5980">
              <w:rPr>
                <w:rFonts w:ascii="Times New Roman" w:eastAsia="Calibri" w:hAnsi="Times New Roman" w:cs="Times New Roman"/>
                <w:sz w:val="16"/>
                <w:szCs w:val="16"/>
              </w:rPr>
              <w:br/>
            </w:r>
          </w:p>
        </w:tc>
        <w:tc>
          <w:tcPr>
            <w:tcW w:w="1187" w:type="dxa"/>
          </w:tcPr>
          <w:p w14:paraId="545C9926"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Yes – GRADE, Cochrane</w:t>
            </w:r>
            <w:r w:rsidRPr="00DD5980">
              <w:rPr>
                <w:rFonts w:ascii="Times New Roman" w:eastAsia="Calibri" w:hAnsi="Times New Roman" w:cs="Times New Roman"/>
                <w:sz w:val="16"/>
                <w:szCs w:val="16"/>
              </w:rPr>
              <w:br/>
              <w:t>Handbook for Systematic Reviews of Interventions</w:t>
            </w:r>
          </w:p>
        </w:tc>
        <w:tc>
          <w:tcPr>
            <w:tcW w:w="1864" w:type="dxa"/>
          </w:tcPr>
          <w:p w14:paraId="7F6C2D01"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Two-stage meta-analysis. </w:t>
            </w:r>
            <w:r w:rsidRPr="00DD5980">
              <w:rPr>
                <w:rFonts w:ascii="Times New Roman" w:eastAsia="Calibri" w:hAnsi="Times New Roman" w:cs="Times New Roman"/>
                <w:sz w:val="16"/>
                <w:szCs w:val="16"/>
              </w:rPr>
              <w:br/>
            </w:r>
            <w:r w:rsidRPr="00DD5980">
              <w:rPr>
                <w:rFonts w:ascii="Times New Roman" w:eastAsia="Calibri" w:hAnsi="Times New Roman" w:cs="Times New Roman"/>
                <w:sz w:val="16"/>
                <w:szCs w:val="16"/>
              </w:rPr>
              <w:br/>
            </w:r>
          </w:p>
        </w:tc>
      </w:tr>
      <w:tr w:rsidR="004E7DD3" w:rsidRPr="00DD5980" w14:paraId="363ED5D2" w14:textId="77777777" w:rsidTr="004E7D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9" w:type="dxa"/>
            <w:tcBorders>
              <w:top w:val="single" w:sz="4" w:space="0" w:color="auto"/>
              <w:left w:val="single" w:sz="4" w:space="0" w:color="auto"/>
              <w:bottom w:val="single" w:sz="4" w:space="0" w:color="auto"/>
            </w:tcBorders>
          </w:tcPr>
          <w:p w14:paraId="5D513F75" w14:textId="77777777" w:rsidR="004E7DD3" w:rsidRPr="00DD5980" w:rsidRDefault="004E7DD3" w:rsidP="000B6948">
            <w:pPr>
              <w:spacing w:after="160" w:line="259" w:lineRule="auto"/>
              <w:jc w:val="left"/>
              <w:rPr>
                <w:rFonts w:ascii="Times New Roman" w:eastAsia="Calibri" w:hAnsi="Times New Roman" w:cs="Times New Roman"/>
                <w:sz w:val="16"/>
                <w:szCs w:val="16"/>
              </w:rPr>
            </w:pPr>
            <w:r w:rsidRPr="00DD5980">
              <w:rPr>
                <w:rFonts w:ascii="Times New Roman" w:eastAsia="Calibri" w:hAnsi="Times New Roman" w:cs="Times New Roman"/>
                <w:sz w:val="16"/>
                <w:szCs w:val="16"/>
              </w:rPr>
              <w:t>Fogarty et al., 2018</w:t>
            </w:r>
            <w:r>
              <w:rPr>
                <w:rFonts w:ascii="Times New Roman" w:eastAsia="Calibri" w:hAnsi="Times New Roman" w:cs="Times New Roman"/>
                <w:sz w:val="16"/>
                <w:szCs w:val="16"/>
              </w:rPr>
              <w:t xml:space="preserve"> </w:t>
            </w:r>
            <w:r>
              <w:rPr>
                <w:rFonts w:ascii="Times New Roman" w:eastAsia="Calibri" w:hAnsi="Times New Roman" w:cs="Times New Roman"/>
                <w:sz w:val="16"/>
                <w:szCs w:val="16"/>
              </w:rPr>
              <w:fldChar w:fldCharType="begin"/>
            </w:r>
            <w:r>
              <w:rPr>
                <w:rFonts w:ascii="Times New Roman" w:eastAsia="Calibri" w:hAnsi="Times New Roman" w:cs="Times New Roman"/>
                <w:sz w:val="16"/>
                <w:szCs w:val="16"/>
              </w:rPr>
              <w:instrText xml:space="preserve"> ADDIN ZOTERO_ITEM CSL_CITATION {"citationID":"ftxgxLZE","properties":{"formattedCitation":"(50)","plainCitation":"(50)","noteIndex":0},"citationItems":[{"id":229,"uris":["http://zotero.org/users/13596477/items/GYECIFKE"],"itemData":{"id":229,"type":"article-journal","container-title":"American Journal of Obstetrics and Gynecology","DOI":"10.1016/j.ajog.2017.10.231","ISSN":"00029378","issue":"1","journalAbbreviation":"American Journal of Obstetrics and Gynecology","language":"en","page":"1-18","source":"DOI.org (Crossref)","title":"Delayed vs early umbilical cord clamping for preterm infants: a systematic review and meta-analysis","title-short":"Delayed vs early umbilical cord clamping for preterm infants","volume":"218","author":[{"family":"Fogarty","given":"Michael"},{"family":"Osborn","given":"David A."},{"family":"Askie","given":"Lisa"},{"family":"Seidler","given":"Anna Lene"},{"family":"Hunter","given":"Kylie"},{"family":"Lui","given":"Kei"},{"family":"Simes","given":"John"},{"family":"Tarnow-Mordi","given":"William"}],"issued":{"date-parts":[["2018",1]]}}}],"schema":"https://github.com/citation-style-language/schema/raw/master/csl-citation.json"} </w:instrText>
            </w:r>
            <w:r>
              <w:rPr>
                <w:rFonts w:ascii="Times New Roman" w:eastAsia="Calibri" w:hAnsi="Times New Roman" w:cs="Times New Roman"/>
                <w:sz w:val="16"/>
                <w:szCs w:val="16"/>
              </w:rPr>
              <w:fldChar w:fldCharType="separate"/>
            </w:r>
            <w:r>
              <w:rPr>
                <w:rFonts w:ascii="Times New Roman" w:eastAsia="Calibri" w:hAnsi="Times New Roman" w:cs="Times New Roman"/>
                <w:noProof/>
                <w:sz w:val="16"/>
                <w:szCs w:val="16"/>
              </w:rPr>
              <w:t>(50)</w:t>
            </w:r>
            <w:r>
              <w:rPr>
                <w:rFonts w:ascii="Times New Roman" w:eastAsia="Calibri" w:hAnsi="Times New Roman" w:cs="Times New Roman"/>
                <w:sz w:val="16"/>
                <w:szCs w:val="16"/>
              </w:rPr>
              <w:fldChar w:fldCharType="end"/>
            </w:r>
          </w:p>
        </w:tc>
        <w:tc>
          <w:tcPr>
            <w:tcW w:w="2286" w:type="dxa"/>
          </w:tcPr>
          <w:p w14:paraId="10FC583A"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To compare the effects of delayed clamping without cord milking vs early cord clamping on hospital mortality and morbidity in preterm infants.</w:t>
            </w:r>
          </w:p>
        </w:tc>
        <w:tc>
          <w:tcPr>
            <w:tcW w:w="2423" w:type="dxa"/>
          </w:tcPr>
          <w:p w14:paraId="3BD1720D"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Not specified </w:t>
            </w:r>
          </w:p>
          <w:p w14:paraId="6D11336A"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N=27</w:t>
            </w:r>
          </w:p>
        </w:tc>
        <w:tc>
          <w:tcPr>
            <w:tcW w:w="1866" w:type="dxa"/>
          </w:tcPr>
          <w:p w14:paraId="47EE496A"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Participants: preterm infants </w:t>
            </w:r>
            <w:r w:rsidRPr="00DD5980">
              <w:rPr>
                <w:rFonts w:ascii="Times New Roman" w:eastAsia="Calibri" w:hAnsi="Times New Roman" w:cs="Times New Roman"/>
                <w:sz w:val="16"/>
                <w:szCs w:val="16"/>
              </w:rPr>
              <w:br/>
              <w:t xml:space="preserve">Sample size: 2,834 </w:t>
            </w:r>
          </w:p>
        </w:tc>
        <w:tc>
          <w:tcPr>
            <w:tcW w:w="1812" w:type="dxa"/>
          </w:tcPr>
          <w:p w14:paraId="1B835488"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Delayed (≥30 seconds) vs Early (&lt;30 seconds)</w:t>
            </w:r>
            <w:r>
              <w:rPr>
                <w:rFonts w:ascii="Times New Roman" w:eastAsia="Calibri" w:hAnsi="Times New Roman" w:cs="Times New Roman"/>
                <w:sz w:val="16"/>
                <w:szCs w:val="16"/>
              </w:rPr>
              <w:t xml:space="preserve"> </w:t>
            </w:r>
            <w:r w:rsidRPr="00DD5980">
              <w:rPr>
                <w:rFonts w:ascii="Times New Roman" w:eastAsia="Calibri" w:hAnsi="Times New Roman" w:cs="Times New Roman"/>
                <w:sz w:val="16"/>
                <w:szCs w:val="16"/>
              </w:rPr>
              <w:t>clamping</w:t>
            </w:r>
          </w:p>
        </w:tc>
        <w:tc>
          <w:tcPr>
            <w:tcW w:w="1823" w:type="dxa"/>
          </w:tcPr>
          <w:p w14:paraId="184EA3E6"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All-cause hospital mortality</w:t>
            </w:r>
            <w:r w:rsidRPr="00DD5980">
              <w:rPr>
                <w:rFonts w:ascii="Times New Roman" w:eastAsia="Calibri" w:hAnsi="Times New Roman" w:cs="Times New Roman"/>
                <w:sz w:val="16"/>
                <w:szCs w:val="16"/>
              </w:rPr>
              <w:br/>
              <w:t>Morbidities</w:t>
            </w:r>
          </w:p>
        </w:tc>
        <w:tc>
          <w:tcPr>
            <w:tcW w:w="1187" w:type="dxa"/>
          </w:tcPr>
          <w:p w14:paraId="1BF274C4"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Yes – GRADE; Cochrane risk-of-bias tool</w:t>
            </w:r>
          </w:p>
        </w:tc>
        <w:tc>
          <w:tcPr>
            <w:tcW w:w="1864" w:type="dxa"/>
          </w:tcPr>
          <w:p w14:paraId="3F763E3F"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Fixed-effects model with heterogeneity tests</w:t>
            </w:r>
          </w:p>
        </w:tc>
      </w:tr>
      <w:tr w:rsidR="004E7DD3" w:rsidRPr="00DD5980" w14:paraId="0A9B198C" w14:textId="77777777" w:rsidTr="000B6948">
        <w:trPr>
          <w:trHeight w:val="1340"/>
        </w:trPr>
        <w:tc>
          <w:tcPr>
            <w:cnfStyle w:val="001000000000" w:firstRow="0" w:lastRow="0" w:firstColumn="1" w:lastColumn="0" w:oddVBand="0" w:evenVBand="0" w:oddHBand="0" w:evenHBand="0" w:firstRowFirstColumn="0" w:firstRowLastColumn="0" w:lastRowFirstColumn="0" w:lastRowLastColumn="0"/>
            <w:tcW w:w="1319" w:type="dxa"/>
            <w:tcBorders>
              <w:top w:val="none" w:sz="0" w:space="0" w:color="auto"/>
              <w:left w:val="none" w:sz="0" w:space="0" w:color="auto"/>
              <w:bottom w:val="none" w:sz="0" w:space="0" w:color="auto"/>
            </w:tcBorders>
          </w:tcPr>
          <w:p w14:paraId="239DB873" w14:textId="77777777" w:rsidR="004E7DD3" w:rsidRPr="00DD5980" w:rsidRDefault="004E7DD3" w:rsidP="000B6948">
            <w:pPr>
              <w:spacing w:after="160" w:line="259" w:lineRule="auto"/>
              <w:jc w:val="left"/>
              <w:rPr>
                <w:rFonts w:ascii="Times New Roman" w:eastAsia="Calibri" w:hAnsi="Times New Roman" w:cs="Times New Roman"/>
                <w:sz w:val="16"/>
                <w:szCs w:val="16"/>
              </w:rPr>
            </w:pPr>
            <w:r w:rsidRPr="00DD5980">
              <w:rPr>
                <w:rFonts w:ascii="Times New Roman" w:eastAsia="Calibri" w:hAnsi="Times New Roman" w:cs="Times New Roman"/>
                <w:sz w:val="16"/>
                <w:szCs w:val="16"/>
              </w:rPr>
              <w:t>Gomes et al., 2023</w:t>
            </w:r>
            <w:r>
              <w:rPr>
                <w:rFonts w:ascii="Times New Roman" w:eastAsia="Calibri" w:hAnsi="Times New Roman" w:cs="Times New Roman"/>
                <w:sz w:val="16"/>
                <w:szCs w:val="16"/>
              </w:rPr>
              <w:t xml:space="preserve"> </w:t>
            </w:r>
            <w:r>
              <w:rPr>
                <w:rFonts w:ascii="Times New Roman" w:eastAsia="Calibri" w:hAnsi="Times New Roman" w:cs="Times New Roman"/>
                <w:sz w:val="16"/>
                <w:szCs w:val="16"/>
              </w:rPr>
              <w:fldChar w:fldCharType="begin"/>
            </w:r>
            <w:r>
              <w:rPr>
                <w:rFonts w:ascii="Times New Roman" w:eastAsia="Calibri" w:hAnsi="Times New Roman" w:cs="Times New Roman"/>
                <w:sz w:val="16"/>
                <w:szCs w:val="16"/>
              </w:rPr>
              <w:instrText xml:space="preserve"> ADDIN ZOTERO_ITEM CSL_CITATION {"citationID":"cGiZ9mpy","properties":{"formattedCitation":"(15)","plainCitation":"(15)","noteIndex":0},"citationItems":[{"id":120,"uris":["http://zotero.org/users/13596477/items/L4BYL7AP"],"itemData":{"id":120,"type":"article-journal","abstract":"Abstract\n            \n              Meta‐analyses consistently have found that antenatal multiple micronutrient supplementation (MMS) compared with iron and folic acid (IFA) alone reduce adverse birth outcomes. In 2020, the World Health Organization (WHO) placed a conditional recommendation for MMS and requested additional trials using ultrasounds to establish gestational age, because the evidence on low birthweight (LBW), preterm birth and small for gestational age (SGA) was considered inconsistent. We conducted meta‐analyses to determine if the effects of MMS on LBW, preterm birth and SGA differed by gestational age assessment method. Using data from the 16 trials in the WHO analyses, we calculated the effect estimates of MMS versus IFA on birth outcomes (generic inverse variance method and random effects model) stratified by method of gestational age assessment: ultrasound, prospective collection of the date of last menstrual period (LMP) and confirmation of pregnancy by urine test and recall of LMP. The effects of MMS versus IFA on birthweight, preterm birth and SGA appeared consistent across subgroups with no evidence of subgroup differences (\n              p\n               &gt; 0.05). When limited to the seven trials that used ultrasound, the beneficial effects of MMS were demonstrated: risk ratios of 0.87 (95% confidence interval [CI] 0.78–0.97) for LBW, 0.90 (95% CI, 0.79–1.03) for preterm birth and 0.9 (95% CI, 0.83–0.99) for SGA. Sensitivity analyses indicated consistency in the results. These results, together with recent analyses demonstrating comparable effects of MMS (vs. IFA) on maternal anaemia outcomes, strengthen the evidence to support a transition from IFA to MMS programmes in low‐ and middle‐income countries.\n            \n          , \n            Key messages\n            \n              \n                \n                  World Health Organization (WHO) has a conditional recommendation for antenatal multiple micronutrient supplementation (MMS) noting ultrasound to assess gestational age should be used in future trials.\n                \n                \n                  These meta‐analyses of the 16 trials informing the WHO guidelines showed that the benefits of MMS versus iron and folic acid on low birthweight, preterm birth and small‐for‐gestational‐age were not different in subgroups of trials using different gestational age assessment methods.\n                \n                \n                  In trials that performed ultrasounds for gestational age assessment, the benefits of MMS on birth outcomes were demonstrated.\n                \n                \n                  These analyses strengthen the evidence for the transition to MMS in antenatal care programmes in low‐ and middle‐income countries.","container-title":"Maternal &amp; Child Nutrition","DOI":"10.1111/mcn.13509","ISSN":"1740-8695, 1740-8709","issue":"3","journalAbbreviation":"Maternal &amp; Child Nutrition","language":"en","page":"e13509","source":"DOI.org (Crossref)","title":"Antenatal multiple micronutrient supplements versus iron‐folic acid supplements and birth outcomes: Analysis by gestational age assessment method","title-short":"Antenatal multiple micronutrient supplements versus iron‐folic acid supplements and birth outcomes","volume":"19","author":[{"family":"Gomes","given":"Filomena"},{"family":"Askari","given":"Sufia"},{"family":"Black","given":"Robert E."},{"family":"Christian","given":"Parul"},{"family":"Dewey","given":"Kathryn G."},{"family":"Mwangi","given":"Martin N."},{"family":"Rana","given":"Ziaul"},{"family":"Reed","given":"Sarah"},{"family":"Shankar","given":"Anuraj H."},{"family":"Smith","given":"Emily R."},{"family":"Tumilowicz","given":"Alison"}],"issued":{"date-parts":[["2023",7]]}}}],"schema":"https://github.com/citation-style-language/schema/raw/master/csl-citation.json"} </w:instrText>
            </w:r>
            <w:r>
              <w:rPr>
                <w:rFonts w:ascii="Times New Roman" w:eastAsia="Calibri" w:hAnsi="Times New Roman" w:cs="Times New Roman"/>
                <w:sz w:val="16"/>
                <w:szCs w:val="16"/>
              </w:rPr>
              <w:fldChar w:fldCharType="separate"/>
            </w:r>
            <w:r>
              <w:rPr>
                <w:rFonts w:ascii="Times New Roman" w:eastAsia="Calibri" w:hAnsi="Times New Roman" w:cs="Times New Roman"/>
                <w:noProof/>
                <w:sz w:val="16"/>
                <w:szCs w:val="16"/>
              </w:rPr>
              <w:t>(15)</w:t>
            </w:r>
            <w:r>
              <w:rPr>
                <w:rFonts w:ascii="Times New Roman" w:eastAsia="Calibri" w:hAnsi="Times New Roman" w:cs="Times New Roman"/>
                <w:sz w:val="16"/>
                <w:szCs w:val="16"/>
              </w:rPr>
              <w:fldChar w:fldCharType="end"/>
            </w:r>
          </w:p>
        </w:tc>
        <w:tc>
          <w:tcPr>
            <w:tcW w:w="2286" w:type="dxa"/>
          </w:tcPr>
          <w:p w14:paraId="74B9E17A"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To determine if the effects of MMS on LBW, preterm birth and SGA differed by gestational age assessment method.</w:t>
            </w:r>
          </w:p>
        </w:tc>
        <w:tc>
          <w:tcPr>
            <w:tcW w:w="2423" w:type="dxa"/>
          </w:tcPr>
          <w:p w14:paraId="1A0BED06"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Malawi (1), Pakistan (1), Nepal (2), Ghana (1), </w:t>
            </w:r>
            <w:proofErr w:type="spellStart"/>
            <w:r w:rsidRPr="00DD5980">
              <w:rPr>
                <w:rFonts w:ascii="Times New Roman" w:eastAsia="Calibri" w:hAnsi="Times New Roman" w:cs="Times New Roman"/>
                <w:sz w:val="16"/>
                <w:szCs w:val="16"/>
              </w:rPr>
              <w:t>Zimbawe</w:t>
            </w:r>
            <w:proofErr w:type="spellEnd"/>
            <w:r w:rsidRPr="00DD5980">
              <w:rPr>
                <w:rFonts w:ascii="Times New Roman" w:eastAsia="Calibri" w:hAnsi="Times New Roman" w:cs="Times New Roman"/>
                <w:sz w:val="16"/>
                <w:szCs w:val="16"/>
              </w:rPr>
              <w:t xml:space="preserve"> (1), Guinea-Bissau (1), China (2), The Gambia (1), Burkina Faso (1), Indonesia (2), Bangladesh (2), and Niger (1). N=16</w:t>
            </w:r>
          </w:p>
        </w:tc>
        <w:tc>
          <w:tcPr>
            <w:tcW w:w="1866" w:type="dxa"/>
          </w:tcPr>
          <w:p w14:paraId="5690C1A4"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Participants: pregnant women </w:t>
            </w:r>
            <w:r w:rsidRPr="00DD5980">
              <w:rPr>
                <w:rFonts w:ascii="Times New Roman" w:eastAsia="Calibri" w:hAnsi="Times New Roman" w:cs="Times New Roman"/>
                <w:sz w:val="16"/>
                <w:szCs w:val="16"/>
              </w:rPr>
              <w:br/>
              <w:t xml:space="preserve">Sample size: 60,944 </w:t>
            </w:r>
          </w:p>
          <w:p w14:paraId="0A618ED7"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p>
        </w:tc>
        <w:tc>
          <w:tcPr>
            <w:tcW w:w="1812" w:type="dxa"/>
          </w:tcPr>
          <w:p w14:paraId="5BB194E9"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MMS vs IFA</w:t>
            </w:r>
          </w:p>
        </w:tc>
        <w:tc>
          <w:tcPr>
            <w:tcW w:w="1823" w:type="dxa"/>
          </w:tcPr>
          <w:p w14:paraId="46AAA16F"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LBW, preterm birth, and SGA</w:t>
            </w:r>
          </w:p>
        </w:tc>
        <w:tc>
          <w:tcPr>
            <w:tcW w:w="1187" w:type="dxa"/>
          </w:tcPr>
          <w:p w14:paraId="1B0003A8"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No/Not applicable</w:t>
            </w:r>
          </w:p>
        </w:tc>
        <w:tc>
          <w:tcPr>
            <w:tcW w:w="1864" w:type="dxa"/>
          </w:tcPr>
          <w:p w14:paraId="6A98FFD2"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Generic inverse variance method and random effects model stratified by method of gestational age assessment.</w:t>
            </w:r>
          </w:p>
        </w:tc>
      </w:tr>
      <w:tr w:rsidR="004E7DD3" w:rsidRPr="00DD5980" w14:paraId="74E0A744" w14:textId="77777777" w:rsidTr="004E7DD3">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1319" w:type="dxa"/>
            <w:tcBorders>
              <w:top w:val="single" w:sz="4" w:space="0" w:color="auto"/>
              <w:left w:val="single" w:sz="4" w:space="0" w:color="auto"/>
              <w:bottom w:val="single" w:sz="4" w:space="0" w:color="auto"/>
            </w:tcBorders>
          </w:tcPr>
          <w:p w14:paraId="7B2FC5CE" w14:textId="77777777" w:rsidR="004E7DD3" w:rsidRPr="00DD5980" w:rsidRDefault="004E7DD3" w:rsidP="000B6948">
            <w:pPr>
              <w:spacing w:after="160" w:line="259" w:lineRule="auto"/>
              <w:jc w:val="left"/>
              <w:rPr>
                <w:rFonts w:ascii="Times New Roman" w:eastAsia="Calibri" w:hAnsi="Times New Roman" w:cs="Times New Roman"/>
                <w:sz w:val="16"/>
                <w:szCs w:val="16"/>
              </w:rPr>
            </w:pPr>
            <w:proofErr w:type="spellStart"/>
            <w:r w:rsidRPr="00DD5980">
              <w:rPr>
                <w:rFonts w:ascii="Times New Roman" w:eastAsia="Calibri" w:hAnsi="Times New Roman" w:cs="Times New Roman"/>
                <w:sz w:val="16"/>
                <w:szCs w:val="16"/>
              </w:rPr>
              <w:t>Gunabalasingam</w:t>
            </w:r>
            <w:proofErr w:type="spellEnd"/>
            <w:r w:rsidRPr="00DD5980">
              <w:rPr>
                <w:rFonts w:ascii="Times New Roman" w:eastAsia="Calibri" w:hAnsi="Times New Roman" w:cs="Times New Roman"/>
                <w:sz w:val="16"/>
                <w:szCs w:val="16"/>
              </w:rPr>
              <w:t xml:space="preserve"> et al., 2023</w:t>
            </w:r>
            <w:r>
              <w:rPr>
                <w:rFonts w:ascii="Times New Roman" w:eastAsia="Calibri" w:hAnsi="Times New Roman" w:cs="Times New Roman"/>
                <w:sz w:val="16"/>
                <w:szCs w:val="16"/>
              </w:rPr>
              <w:t xml:space="preserve"> </w:t>
            </w:r>
            <w:r>
              <w:rPr>
                <w:rFonts w:ascii="Times New Roman" w:eastAsia="Calibri" w:hAnsi="Times New Roman" w:cs="Times New Roman"/>
                <w:sz w:val="16"/>
                <w:szCs w:val="16"/>
              </w:rPr>
              <w:fldChar w:fldCharType="begin"/>
            </w:r>
            <w:r>
              <w:rPr>
                <w:rFonts w:ascii="Times New Roman" w:eastAsia="Calibri" w:hAnsi="Times New Roman" w:cs="Times New Roman"/>
                <w:sz w:val="16"/>
                <w:szCs w:val="16"/>
              </w:rPr>
              <w:instrText xml:space="preserve"> ADDIN ZOTERO_ITEM CSL_CITATION {"citationID":"820pqqfy","properties":{"formattedCitation":"(19)","plainCitation":"(19)","noteIndex":0},"citationItems":[{"id":128,"uris":["http://zotero.org/users/13596477/items/86RD7239"],"itemData":{"id":128,"type":"article-journal","abstract":"Abstract\n            \n              Background\n              Pre-eclampsia can lead to maternal and neonatal complications and is a common cause of maternal mortality worldwide. This review has examined the effect of micronutrient supplementation interventions in women identified as having a greater risk of developing pre-eclampsia.\n            \n            \n              Methods\n              A systematic review was performed using the PRISMA guidelines. The electronic databases MEDLINE, EMBASE and the Cochrane Central Register of Controlled trials were searched for relevant literature and eligible studies identified according to a pre-specified criteria. A meta-analysis of randomised controlled trials (RCTs) was conducted to examine the effect of micronutrient supplementation on pre-eclampsia in high-risk women.\n            \n            \n              Results\n              \n                Twenty RCTs were identified and supplementation included vitamin C and E (\n                n\n                 = 7), calcium (\n                n\n                 = 5), vitamin D (\n                n\n                 = 3), folic acid (\n                n\n                 = 2), magnesium (\n                n\n                 = 1) and multiple micronutrients (\n                n\n                 = 2). Sample size and recruitment time point varied across studies and a variety of predictive factors were used to identify participants, with a previous history of pre-eclampsia being the most common. No studies utilised a validated prediction model. There was a reduction in pre-eclampsia with calcium (risk difference, −0.15 (−0.27, −0.03, I\n                2\n                 = 83.4%)), and vitamin D (risk difference, −0.09 (−0.17, −0.02, I\n                2\n                 = 0.0%)) supplementation.\n              \n            \n            \n              Conclusion\n              Our findings show a lower rate of pre-eclampsia with calcium and vitamin D, however, conclusions were limited by small sample sizes, methodological variability and heterogeneity between studies. Further higher quality, large-scale RCTs of calcium and vitamin D are warranted. Exploration of interventions at different time points before and during pregnancy as well as those which utilise prediction modelling methodology, would provide greater insight into the efficacy of micronutrient supplementation intervention in the prevention of pre-eclampsia in high-risk women.","container-title":"European Journal of Clinical Nutrition","DOI":"10.1038/s41430-022-01232-0","ISSN":"0954-3007, 1476-5640","issue":"7","journalAbbreviation":"Eur J Clin Nutr","language":"en","page":"710-730","source":"DOI.org (Crossref)","title":"Micronutrient supplementation interventions in preconception and pregnant women at increased risk of developing pre-eclampsia: a systematic review and meta-analysis","title-short":"Micronutrient supplementation interventions in preconception and pregnant women at increased risk of developing pre-eclampsia","volume":"77","author":[{"family":"Gunabalasingam","given":"Sowmiya"},{"family":"De Almeida Lima Slizys","given":"Daniele"},{"family":"Quotah","given":"Ola"},{"family":"Magee","given":"Laura"},{"family":"White","given":"Sara L."},{"family":"Rigutto-Farebrother","given":"Jessica"},{"family":"Poston","given":"Lucilla"},{"family":"Dalrymple","given":"Kathryn V."},{"family":"Flynn","given":"Angela C."}],"issued":{"date-parts":[["2023",7]]}}}],"schema":"https://github.com/citation-style-language/schema/raw/master/csl-citation.json"} </w:instrText>
            </w:r>
            <w:r>
              <w:rPr>
                <w:rFonts w:ascii="Times New Roman" w:eastAsia="Calibri" w:hAnsi="Times New Roman" w:cs="Times New Roman"/>
                <w:sz w:val="16"/>
                <w:szCs w:val="16"/>
              </w:rPr>
              <w:fldChar w:fldCharType="separate"/>
            </w:r>
            <w:r>
              <w:rPr>
                <w:rFonts w:ascii="Times New Roman" w:eastAsia="Calibri" w:hAnsi="Times New Roman" w:cs="Times New Roman"/>
                <w:noProof/>
                <w:sz w:val="16"/>
                <w:szCs w:val="16"/>
              </w:rPr>
              <w:t>(19)</w:t>
            </w:r>
            <w:r>
              <w:rPr>
                <w:rFonts w:ascii="Times New Roman" w:eastAsia="Calibri" w:hAnsi="Times New Roman" w:cs="Times New Roman"/>
                <w:sz w:val="16"/>
                <w:szCs w:val="16"/>
              </w:rPr>
              <w:fldChar w:fldCharType="end"/>
            </w:r>
          </w:p>
        </w:tc>
        <w:tc>
          <w:tcPr>
            <w:tcW w:w="2286" w:type="dxa"/>
          </w:tcPr>
          <w:p w14:paraId="72C467A5"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To examine the effect of micronutrient supplementation interventions in women </w:t>
            </w:r>
            <w:r>
              <w:rPr>
                <w:rFonts w:ascii="Times New Roman" w:eastAsia="Calibri" w:hAnsi="Times New Roman" w:cs="Times New Roman"/>
                <w:sz w:val="16"/>
                <w:szCs w:val="16"/>
              </w:rPr>
              <w:t>with</w:t>
            </w:r>
            <w:r w:rsidRPr="00DD5980">
              <w:rPr>
                <w:rFonts w:ascii="Times New Roman" w:eastAsia="Calibri" w:hAnsi="Times New Roman" w:cs="Times New Roman"/>
                <w:sz w:val="16"/>
                <w:szCs w:val="16"/>
              </w:rPr>
              <w:t xml:space="preserve"> a greater risk of developing pre-eclampsia.</w:t>
            </w:r>
          </w:p>
        </w:tc>
        <w:tc>
          <w:tcPr>
            <w:tcW w:w="2423" w:type="dxa"/>
          </w:tcPr>
          <w:p w14:paraId="73C90FDC"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For calcium intervention: South Africa, </w:t>
            </w:r>
            <w:proofErr w:type="spellStart"/>
            <w:r w:rsidRPr="00DD5980">
              <w:rPr>
                <w:rFonts w:ascii="Times New Roman" w:eastAsia="Calibri" w:hAnsi="Times New Roman" w:cs="Times New Roman"/>
                <w:sz w:val="16"/>
                <w:szCs w:val="16"/>
              </w:rPr>
              <w:t>Zimbawe</w:t>
            </w:r>
            <w:proofErr w:type="spellEnd"/>
            <w:r w:rsidRPr="00DD5980">
              <w:rPr>
                <w:rFonts w:ascii="Times New Roman" w:eastAsia="Calibri" w:hAnsi="Times New Roman" w:cs="Times New Roman"/>
                <w:sz w:val="16"/>
                <w:szCs w:val="16"/>
              </w:rPr>
              <w:t>, Argentina (1 multicenter study), Iran (2), Colombia (1), and USA (1)</w:t>
            </w:r>
            <w:r>
              <w:rPr>
                <w:rFonts w:ascii="Times New Roman" w:eastAsia="Calibri" w:hAnsi="Times New Roman" w:cs="Times New Roman"/>
                <w:sz w:val="16"/>
                <w:szCs w:val="16"/>
              </w:rPr>
              <w:t>.</w:t>
            </w:r>
            <w:r w:rsidRPr="00DD5980">
              <w:rPr>
                <w:rFonts w:ascii="Times New Roman" w:eastAsia="Calibri" w:hAnsi="Times New Roman" w:cs="Times New Roman"/>
                <w:sz w:val="16"/>
                <w:szCs w:val="16"/>
              </w:rPr>
              <w:t xml:space="preserve"> N=5</w:t>
            </w:r>
          </w:p>
        </w:tc>
        <w:tc>
          <w:tcPr>
            <w:tcW w:w="1866" w:type="dxa"/>
          </w:tcPr>
          <w:p w14:paraId="037272EC"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Participants: women in preconception or pregnancy with high risk of developing pre-eclampsia</w:t>
            </w:r>
            <w:r w:rsidRPr="00DD5980">
              <w:rPr>
                <w:rFonts w:ascii="Times New Roman" w:eastAsia="Calibri" w:hAnsi="Times New Roman" w:cs="Times New Roman"/>
                <w:sz w:val="16"/>
                <w:szCs w:val="16"/>
              </w:rPr>
              <w:br/>
              <w:t>Sample size: 1,595</w:t>
            </w:r>
          </w:p>
        </w:tc>
        <w:tc>
          <w:tcPr>
            <w:tcW w:w="1812" w:type="dxa"/>
          </w:tcPr>
          <w:p w14:paraId="58AF6EEC"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Calcium vs No supplementation or placebo</w:t>
            </w:r>
          </w:p>
        </w:tc>
        <w:tc>
          <w:tcPr>
            <w:tcW w:w="1823" w:type="dxa"/>
          </w:tcPr>
          <w:p w14:paraId="5D3F2D7F"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Development of pre-eclampsia</w:t>
            </w:r>
          </w:p>
        </w:tc>
        <w:tc>
          <w:tcPr>
            <w:tcW w:w="1187" w:type="dxa"/>
          </w:tcPr>
          <w:p w14:paraId="5BC15234"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Yes - Cochrane risk of bias tool</w:t>
            </w:r>
          </w:p>
        </w:tc>
        <w:tc>
          <w:tcPr>
            <w:tcW w:w="1864" w:type="dxa"/>
          </w:tcPr>
          <w:p w14:paraId="227B7267"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Random effects model</w:t>
            </w:r>
          </w:p>
        </w:tc>
      </w:tr>
      <w:tr w:rsidR="004E7DD3" w:rsidRPr="00DD5980" w14:paraId="1EDEF727" w14:textId="77777777" w:rsidTr="000B6948">
        <w:trPr>
          <w:trHeight w:val="1403"/>
        </w:trPr>
        <w:tc>
          <w:tcPr>
            <w:cnfStyle w:val="001000000000" w:firstRow="0" w:lastRow="0" w:firstColumn="1" w:lastColumn="0" w:oddVBand="0" w:evenVBand="0" w:oddHBand="0" w:evenHBand="0" w:firstRowFirstColumn="0" w:firstRowLastColumn="0" w:lastRowFirstColumn="0" w:lastRowLastColumn="0"/>
            <w:tcW w:w="1319" w:type="dxa"/>
            <w:tcBorders>
              <w:top w:val="none" w:sz="0" w:space="0" w:color="auto"/>
              <w:left w:val="none" w:sz="0" w:space="0" w:color="auto"/>
              <w:bottom w:val="none" w:sz="0" w:space="0" w:color="auto"/>
            </w:tcBorders>
          </w:tcPr>
          <w:p w14:paraId="697DD157" w14:textId="77777777" w:rsidR="004E7DD3" w:rsidRPr="00DD5980" w:rsidRDefault="004E7DD3" w:rsidP="000B6948">
            <w:pPr>
              <w:spacing w:after="160" w:line="259" w:lineRule="auto"/>
              <w:jc w:val="left"/>
              <w:rPr>
                <w:rFonts w:ascii="Times New Roman" w:eastAsia="Calibri" w:hAnsi="Times New Roman" w:cs="Times New Roman"/>
                <w:sz w:val="16"/>
                <w:szCs w:val="16"/>
              </w:rPr>
            </w:pPr>
            <w:r w:rsidRPr="00DD5980">
              <w:rPr>
                <w:rFonts w:ascii="Times New Roman" w:eastAsia="Calibri" w:hAnsi="Times New Roman" w:cs="Times New Roman"/>
                <w:sz w:val="16"/>
                <w:szCs w:val="16"/>
              </w:rPr>
              <w:t>Guo et al., 202</w:t>
            </w:r>
            <w:r>
              <w:rPr>
                <w:rFonts w:ascii="Times New Roman" w:eastAsia="Calibri" w:hAnsi="Times New Roman" w:cs="Times New Roman"/>
                <w:sz w:val="16"/>
                <w:szCs w:val="16"/>
              </w:rPr>
              <w:t xml:space="preserve">2 </w:t>
            </w:r>
            <w:r>
              <w:rPr>
                <w:rFonts w:ascii="Times New Roman" w:eastAsia="Calibri" w:hAnsi="Times New Roman" w:cs="Times New Roman"/>
                <w:sz w:val="16"/>
                <w:szCs w:val="16"/>
              </w:rPr>
              <w:fldChar w:fldCharType="begin"/>
            </w:r>
            <w:r>
              <w:rPr>
                <w:rFonts w:ascii="Times New Roman" w:eastAsia="Calibri" w:hAnsi="Times New Roman" w:cs="Times New Roman"/>
                <w:sz w:val="16"/>
                <w:szCs w:val="16"/>
              </w:rPr>
              <w:instrText xml:space="preserve"> ADDIN ZOTERO_ITEM CSL_CITATION {"citationID":"aCNSWrl4","properties":{"formattedCitation":"(31)","plainCitation":"(31)","noteIndex":0},"citationItems":[{"id":154,"uris":["http://zotero.org/users/13596477/items/C9FUIYQ4"],"itemData":{"id":154,"type":"article-journal","container-title":"Advances in Clinical and Experimental Medicine","DOI":"10.17219/acem/153417","ISSN":"1899-5276","issue":"2","journalAbbreviation":"Adv Clin Exp Med","license":"https://creativecommons.org/licenses/by/3.0/","page":"175-183","source":"DOI.org (Crossref)","title":"Evaluation of the impact of kangaroo mother care on neonatal mortality and hospitalization: A meta-analysis","title-short":"Evaluation of the impact of kangaroo mother care on neonatal mortality and hospitalization","volume":"32","author":[{"family":"Guo","given":"Wanying"}],"issued":{"date-parts":[["2022",10,17]]}}}],"schema":"https://github.com/citation-style-language/schema/raw/master/csl-citation.json"} </w:instrText>
            </w:r>
            <w:r>
              <w:rPr>
                <w:rFonts w:ascii="Times New Roman" w:eastAsia="Calibri" w:hAnsi="Times New Roman" w:cs="Times New Roman"/>
                <w:sz w:val="16"/>
                <w:szCs w:val="16"/>
              </w:rPr>
              <w:fldChar w:fldCharType="separate"/>
            </w:r>
            <w:r>
              <w:rPr>
                <w:rFonts w:ascii="Times New Roman" w:eastAsia="Calibri" w:hAnsi="Times New Roman" w:cs="Times New Roman"/>
                <w:noProof/>
                <w:sz w:val="16"/>
                <w:szCs w:val="16"/>
              </w:rPr>
              <w:t>(31)</w:t>
            </w:r>
            <w:r>
              <w:rPr>
                <w:rFonts w:ascii="Times New Roman" w:eastAsia="Calibri" w:hAnsi="Times New Roman" w:cs="Times New Roman"/>
                <w:sz w:val="16"/>
                <w:szCs w:val="16"/>
              </w:rPr>
              <w:fldChar w:fldCharType="end"/>
            </w:r>
          </w:p>
        </w:tc>
        <w:tc>
          <w:tcPr>
            <w:tcW w:w="2286" w:type="dxa"/>
          </w:tcPr>
          <w:p w14:paraId="1AD4D731"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To evaluate the influence of KMC on neonatal mortality and length of hospitalization.</w:t>
            </w:r>
          </w:p>
        </w:tc>
        <w:tc>
          <w:tcPr>
            <w:tcW w:w="2423" w:type="dxa"/>
          </w:tcPr>
          <w:p w14:paraId="72502B72"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FA1EC2">
              <w:rPr>
                <w:rFonts w:ascii="Times New Roman" w:eastAsia="Calibri" w:hAnsi="Times New Roman" w:cs="Times New Roman"/>
                <w:sz w:val="16"/>
                <w:szCs w:val="16"/>
                <w:lang w:val="es-MX"/>
              </w:rPr>
              <w:t xml:space="preserve">UK, Colombia (2), Papua New Guinea (1), India (8), Taiwan (1), Malaysia (1), Kenya (1), Nepal (1), Indonesia (2), Bangladesh (2), USA (1), Brazil (1), Ecuador (1), Ghana (1), Ethiopia (2) , Mexico (1), Malawi (1), Nigeria (1), Tanzania (1). </w:t>
            </w:r>
            <w:r w:rsidRPr="00DD5980">
              <w:rPr>
                <w:rFonts w:ascii="Times New Roman" w:eastAsia="Calibri" w:hAnsi="Times New Roman" w:cs="Times New Roman"/>
                <w:sz w:val="16"/>
                <w:szCs w:val="16"/>
              </w:rPr>
              <w:t>N=24</w:t>
            </w:r>
          </w:p>
        </w:tc>
        <w:tc>
          <w:tcPr>
            <w:tcW w:w="1866" w:type="dxa"/>
          </w:tcPr>
          <w:p w14:paraId="089F9A8C"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Participants: preterm/LBW neonates </w:t>
            </w:r>
            <w:r w:rsidRPr="00DD5980">
              <w:rPr>
                <w:rFonts w:ascii="Times New Roman" w:eastAsia="Calibri" w:hAnsi="Times New Roman" w:cs="Times New Roman"/>
                <w:sz w:val="16"/>
                <w:szCs w:val="16"/>
              </w:rPr>
              <w:br/>
              <w:t>Sample size:  19,980 (10,354 KMC, 9,626 control)</w:t>
            </w:r>
          </w:p>
        </w:tc>
        <w:tc>
          <w:tcPr>
            <w:tcW w:w="1812" w:type="dxa"/>
          </w:tcPr>
          <w:p w14:paraId="6DF89026" w14:textId="77777777" w:rsidR="004E7DD3" w:rsidRPr="005322BC"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KMC vs Conventional car</w:t>
            </w:r>
            <w:r>
              <w:rPr>
                <w:rFonts w:ascii="Times New Roman" w:eastAsia="Calibri" w:hAnsi="Times New Roman" w:cs="Times New Roman"/>
                <w:sz w:val="16"/>
                <w:szCs w:val="16"/>
              </w:rPr>
              <w:t>e</w:t>
            </w:r>
          </w:p>
        </w:tc>
        <w:tc>
          <w:tcPr>
            <w:tcW w:w="1823" w:type="dxa"/>
          </w:tcPr>
          <w:p w14:paraId="73BEF0D8" w14:textId="77777777" w:rsidR="004E7DD3" w:rsidRPr="005322BC"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Pr>
                <w:rFonts w:ascii="Times New Roman" w:eastAsia="Calibri" w:hAnsi="Times New Roman" w:cs="Times New Roman"/>
                <w:sz w:val="16"/>
                <w:szCs w:val="16"/>
              </w:rPr>
              <w:t>M</w:t>
            </w:r>
            <w:r w:rsidRPr="00DD5980">
              <w:rPr>
                <w:rFonts w:ascii="Times New Roman" w:eastAsia="Calibri" w:hAnsi="Times New Roman" w:cs="Times New Roman"/>
                <w:sz w:val="16"/>
                <w:szCs w:val="16"/>
              </w:rPr>
              <w:t xml:space="preserve">ortality, morbidity. </w:t>
            </w:r>
          </w:p>
        </w:tc>
        <w:tc>
          <w:tcPr>
            <w:tcW w:w="1187" w:type="dxa"/>
          </w:tcPr>
          <w:p w14:paraId="7F2A9603"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Yes - Cochrane Risk of Bias tool</w:t>
            </w:r>
          </w:p>
        </w:tc>
        <w:tc>
          <w:tcPr>
            <w:tcW w:w="1864" w:type="dxa"/>
          </w:tcPr>
          <w:p w14:paraId="1FC9E18F" w14:textId="77777777" w:rsidR="004E7DD3" w:rsidRPr="005322BC"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Two-stage meta-analysis</w:t>
            </w:r>
          </w:p>
        </w:tc>
      </w:tr>
      <w:tr w:rsidR="004E7DD3" w:rsidRPr="00DD5980" w14:paraId="73C63CC8" w14:textId="77777777" w:rsidTr="004E7DD3">
        <w:trPr>
          <w:cnfStyle w:val="000000100000" w:firstRow="0" w:lastRow="0" w:firstColumn="0" w:lastColumn="0" w:oddVBand="0" w:evenVBand="0" w:oddHBand="1" w:evenHBand="0" w:firstRowFirstColumn="0" w:firstRowLastColumn="0" w:lastRowFirstColumn="0" w:lastRowLastColumn="0"/>
          <w:trHeight w:val="980"/>
        </w:trPr>
        <w:tc>
          <w:tcPr>
            <w:cnfStyle w:val="001000000000" w:firstRow="0" w:lastRow="0" w:firstColumn="1" w:lastColumn="0" w:oddVBand="0" w:evenVBand="0" w:oddHBand="0" w:evenHBand="0" w:firstRowFirstColumn="0" w:firstRowLastColumn="0" w:lastRowFirstColumn="0" w:lastRowLastColumn="0"/>
            <w:tcW w:w="1319" w:type="dxa"/>
            <w:tcBorders>
              <w:top w:val="single" w:sz="4" w:space="0" w:color="auto"/>
              <w:left w:val="single" w:sz="4" w:space="0" w:color="auto"/>
              <w:bottom w:val="single" w:sz="4" w:space="0" w:color="auto"/>
            </w:tcBorders>
          </w:tcPr>
          <w:p w14:paraId="6ABC6297" w14:textId="77777777" w:rsidR="004E7DD3" w:rsidRPr="00DD5980" w:rsidRDefault="004E7DD3" w:rsidP="000B6948">
            <w:pPr>
              <w:spacing w:after="160" w:line="259" w:lineRule="auto"/>
              <w:jc w:val="left"/>
              <w:rPr>
                <w:rFonts w:ascii="Times New Roman" w:eastAsia="Calibri" w:hAnsi="Times New Roman" w:cs="Times New Roman"/>
                <w:sz w:val="16"/>
                <w:szCs w:val="16"/>
              </w:rPr>
            </w:pPr>
            <w:r w:rsidRPr="00DD5980">
              <w:rPr>
                <w:rFonts w:ascii="Times New Roman" w:eastAsia="Calibri" w:hAnsi="Times New Roman" w:cs="Times New Roman"/>
                <w:sz w:val="16"/>
                <w:szCs w:val="16"/>
              </w:rPr>
              <w:t>Hansen et al., 2023</w:t>
            </w:r>
            <w:r>
              <w:rPr>
                <w:rFonts w:ascii="Times New Roman" w:eastAsia="Calibri" w:hAnsi="Times New Roman" w:cs="Times New Roman"/>
                <w:sz w:val="16"/>
                <w:szCs w:val="16"/>
              </w:rPr>
              <w:fldChar w:fldCharType="begin"/>
            </w:r>
            <w:r>
              <w:rPr>
                <w:rFonts w:ascii="Times New Roman" w:eastAsia="Calibri" w:hAnsi="Times New Roman" w:cs="Times New Roman"/>
                <w:sz w:val="16"/>
                <w:szCs w:val="16"/>
              </w:rPr>
              <w:instrText xml:space="preserve"> ADDIN ZOTERO_ITEM CSL_CITATION {"citationID":"DLerjtfR","properties":{"formattedCitation":"(14)","plainCitation":"(14)","noteIndex":0},"citationItems":[{"id":118,"uris":["http://zotero.org/users/13596477/items/KJ9CQ3UY"],"itemData":{"id":118,"type":"article-journal","abstract":"Abstract\n            \n              Introduction\n              Effects of daily iron supplementation in iron replete pregnancy are unclear. This systematic review aimed to assess benefits and harms of oral iron supplements in pregnant women without anemia and iron deficiency.\n            \n            \n              Material and methods\n              \n                We predefined and registered a protocol in PROSPERO (CRD42020186210) and performed the review following the Preferred Reporting Items for Systematic Reviews and Meta‐Analyses (PRISMA) methodology. We searched for randomized clinical trials (RCTs) and observational studies comparing daily oral iron supplementation with no iron supplements in non‐anemic iron replete pregnant women. Searches were conducted in MEDLINE (by PubMed), EMBASE (by OVID), Cochrane Library, and\n                ClinicalTrials.gov\n                from inception to September 2022 without language restrictions. Two authors independently screened records, extracted data, and assessed risk of bias using the revised Cochrane risk of bias tool (RoB2). One author read full‐texts, assessed certainty of evidence by GRADE and conducted meta‐analyses using a random‐effects model. Primary outcomes included iron deficiency anemia, iron deficiency, hemoglobin &gt;130 g/L, elevated iron status, small for gestational age newborns, low birthweight newborns, preterm birth, and congenital anomalies.\n              \n            \n            \n              Results\n              \n                Eight RCTs (2822 women) but no observational studies were eligible for inclusion. Daily oral iron supplementation in pregnancy probably reduces iron deficiency anemia at term (risk ratio [RR]: 0.51, 95% confidence interval [CI]: 0.38\n                –\n                0.70; 4 RCTs, 1670 women;\n                I\n                2\n                 = 13%; moderate‐certainty evidence) and the incidence of low birthweight babies (RR: 0.30, 95% CI: 0.13\n                –\n                0.68; 2 RCTs, 361 infants;\n                I\n                2\n                 = 0%; moderate‐certainty evidence). In addition, it may reduce iron deficiency at term (RR: 0.74, 95% CI: 0.60\n                –\n                0.92; 4 RCTs, 1663 women;\n                I\n                2\n                 = 58%; low‐certainty evidence) and the incidence of small for gestational age babies (RR: 0.39, 95% CI: 0.17\n                –\n                0.86; 1 RCT, 213 infants;\n                I\n                2\n                not estimable; low‐certainty evidence).\n              \n            \n            \n              Conclusions\n              Daily iron supplementation in iron replete non‐anemic pregnant women probably reduces the risk of maternal iron deficiency anemia at term and low birthweight.","container-title":"Acta Obstetricia et Gynecologica Scandinavica","DOI":"10.1111/aogs.14607","ISSN":"0001-6349, 1600-0412","issue":"9","journalAbbreviation":"Acta Obstet Gynecol Scand","language":"en","page":"1147-1158","source":"DOI.org (Crossref)","title":"Iron supplements in pregnant women with normal iron status: A systematic review and meta‐analysis","title-short":"Iron supplements in pregnant women with normal iron status","volume":"102","author":[{"family":"Hansen","given":"Rebecka"},{"family":"Sejer","given":"Emilie P. F."},{"family":"Holm","given":"Charlotte"},{"family":"Schroll","given":"Jeppe B."}],"issued":{"date-parts":[["2023",9]]}}}],"schema":"https://github.com/citation-style-language/schema/raw/master/csl-citation.json"} </w:instrText>
            </w:r>
            <w:r>
              <w:rPr>
                <w:rFonts w:ascii="Times New Roman" w:eastAsia="Calibri" w:hAnsi="Times New Roman" w:cs="Times New Roman"/>
                <w:sz w:val="16"/>
                <w:szCs w:val="16"/>
              </w:rPr>
              <w:fldChar w:fldCharType="separate"/>
            </w:r>
            <w:r>
              <w:rPr>
                <w:rFonts w:ascii="Times New Roman" w:eastAsia="Calibri" w:hAnsi="Times New Roman" w:cs="Times New Roman"/>
                <w:noProof/>
                <w:sz w:val="16"/>
                <w:szCs w:val="16"/>
              </w:rPr>
              <w:t>(14)</w:t>
            </w:r>
            <w:r>
              <w:rPr>
                <w:rFonts w:ascii="Times New Roman" w:eastAsia="Calibri" w:hAnsi="Times New Roman" w:cs="Times New Roman"/>
                <w:sz w:val="16"/>
                <w:szCs w:val="16"/>
              </w:rPr>
              <w:fldChar w:fldCharType="end"/>
            </w:r>
          </w:p>
        </w:tc>
        <w:tc>
          <w:tcPr>
            <w:tcW w:w="2286" w:type="dxa"/>
          </w:tcPr>
          <w:p w14:paraId="581F2960"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To assess benefits and harms of oral iron supplements in pregnant women without anemia and iron deficiency.</w:t>
            </w:r>
          </w:p>
        </w:tc>
        <w:tc>
          <w:tcPr>
            <w:tcW w:w="2423" w:type="dxa"/>
          </w:tcPr>
          <w:p w14:paraId="3E831EA4"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Iran (3), Finland (1), Italy (1), Sweden (1), USA (1), and China (1). N=8</w:t>
            </w:r>
          </w:p>
        </w:tc>
        <w:tc>
          <w:tcPr>
            <w:tcW w:w="1866" w:type="dxa"/>
          </w:tcPr>
          <w:p w14:paraId="473B6074"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Participants: pregnant women without anemia and iron deficiency.</w:t>
            </w:r>
            <w:r w:rsidRPr="00DD5980">
              <w:rPr>
                <w:rFonts w:ascii="Times New Roman" w:eastAsia="Calibri" w:hAnsi="Times New Roman" w:cs="Times New Roman"/>
                <w:sz w:val="16"/>
                <w:szCs w:val="16"/>
              </w:rPr>
              <w:br/>
              <w:t>Sample size: 2,822</w:t>
            </w:r>
          </w:p>
        </w:tc>
        <w:tc>
          <w:tcPr>
            <w:tcW w:w="1812" w:type="dxa"/>
          </w:tcPr>
          <w:p w14:paraId="4BF02B0A"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I/IFA vs Placebo/FA</w:t>
            </w:r>
          </w:p>
        </w:tc>
        <w:tc>
          <w:tcPr>
            <w:tcW w:w="1823" w:type="dxa"/>
          </w:tcPr>
          <w:p w14:paraId="57B003DC"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Maternal iron deficiency anemia at term, </w:t>
            </w:r>
            <w:r>
              <w:rPr>
                <w:rFonts w:ascii="Times New Roman" w:eastAsia="Calibri" w:hAnsi="Times New Roman" w:cs="Times New Roman"/>
                <w:sz w:val="16"/>
                <w:szCs w:val="16"/>
              </w:rPr>
              <w:t>SGA</w:t>
            </w:r>
            <w:r w:rsidRPr="00DD5980">
              <w:rPr>
                <w:rFonts w:ascii="Times New Roman" w:eastAsia="Calibri" w:hAnsi="Times New Roman" w:cs="Times New Roman"/>
                <w:sz w:val="16"/>
                <w:szCs w:val="16"/>
              </w:rPr>
              <w:t xml:space="preserve">, </w:t>
            </w:r>
            <w:r>
              <w:rPr>
                <w:rFonts w:ascii="Times New Roman" w:eastAsia="Calibri" w:hAnsi="Times New Roman" w:cs="Times New Roman"/>
                <w:sz w:val="16"/>
                <w:szCs w:val="16"/>
              </w:rPr>
              <w:t>LBW</w:t>
            </w:r>
            <w:r w:rsidRPr="00DD5980">
              <w:rPr>
                <w:rFonts w:ascii="Times New Roman" w:eastAsia="Calibri" w:hAnsi="Times New Roman" w:cs="Times New Roman"/>
                <w:sz w:val="16"/>
                <w:szCs w:val="16"/>
              </w:rPr>
              <w:t>, preterm birth.</w:t>
            </w:r>
          </w:p>
        </w:tc>
        <w:tc>
          <w:tcPr>
            <w:tcW w:w="1187" w:type="dxa"/>
          </w:tcPr>
          <w:p w14:paraId="1690F7F9"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Yes – GRADE; RoB2</w:t>
            </w:r>
          </w:p>
        </w:tc>
        <w:tc>
          <w:tcPr>
            <w:tcW w:w="1864" w:type="dxa"/>
          </w:tcPr>
          <w:p w14:paraId="5285D842"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Random effects model</w:t>
            </w:r>
            <w:r w:rsidRPr="00DD5980">
              <w:rPr>
                <w:rFonts w:ascii="Times New Roman" w:eastAsia="Calibri" w:hAnsi="Times New Roman" w:cs="Times New Roman"/>
                <w:sz w:val="16"/>
                <w:szCs w:val="16"/>
              </w:rPr>
              <w:br/>
            </w:r>
          </w:p>
        </w:tc>
      </w:tr>
      <w:tr w:rsidR="004E7DD3" w:rsidRPr="00DD5980" w14:paraId="2F23DBCD" w14:textId="77777777" w:rsidTr="004E7DD3">
        <w:trPr>
          <w:trHeight w:val="1340"/>
        </w:trPr>
        <w:tc>
          <w:tcPr>
            <w:cnfStyle w:val="001000000000" w:firstRow="0" w:lastRow="0" w:firstColumn="1" w:lastColumn="0" w:oddVBand="0" w:evenVBand="0" w:oddHBand="0" w:evenHBand="0" w:firstRowFirstColumn="0" w:firstRowLastColumn="0" w:lastRowFirstColumn="0" w:lastRowLastColumn="0"/>
            <w:tcW w:w="1319" w:type="dxa"/>
            <w:tcBorders>
              <w:top w:val="none" w:sz="0" w:space="0" w:color="auto"/>
              <w:left w:val="none" w:sz="0" w:space="0" w:color="auto"/>
              <w:bottom w:val="single" w:sz="4" w:space="0" w:color="auto"/>
            </w:tcBorders>
          </w:tcPr>
          <w:p w14:paraId="1716B893" w14:textId="77777777" w:rsidR="004E7DD3" w:rsidRPr="00DD5980" w:rsidRDefault="004E7DD3" w:rsidP="000B6948">
            <w:pPr>
              <w:spacing w:after="160" w:line="259" w:lineRule="auto"/>
              <w:jc w:val="left"/>
              <w:rPr>
                <w:rFonts w:ascii="Times New Roman" w:eastAsia="Calibri" w:hAnsi="Times New Roman" w:cs="Times New Roman"/>
                <w:sz w:val="16"/>
                <w:szCs w:val="16"/>
              </w:rPr>
            </w:pPr>
            <w:r w:rsidRPr="00DD5980">
              <w:rPr>
                <w:rFonts w:ascii="Times New Roman" w:eastAsia="Calibri" w:hAnsi="Times New Roman" w:cs="Times New Roman"/>
                <w:sz w:val="16"/>
                <w:szCs w:val="16"/>
              </w:rPr>
              <w:lastRenderedPageBreak/>
              <w:t>Hofmeyr et al., 2023</w:t>
            </w:r>
            <w:r>
              <w:rPr>
                <w:rFonts w:ascii="Times New Roman" w:eastAsia="Calibri" w:hAnsi="Times New Roman" w:cs="Times New Roman"/>
                <w:sz w:val="16"/>
                <w:szCs w:val="16"/>
              </w:rPr>
              <w:t xml:space="preserve"> </w:t>
            </w:r>
            <w:r>
              <w:rPr>
                <w:rFonts w:ascii="Times New Roman" w:eastAsia="Calibri" w:hAnsi="Times New Roman" w:cs="Times New Roman"/>
                <w:sz w:val="16"/>
                <w:szCs w:val="16"/>
              </w:rPr>
              <w:fldChar w:fldCharType="begin"/>
            </w:r>
            <w:r>
              <w:rPr>
                <w:rFonts w:ascii="Times New Roman" w:eastAsia="Calibri" w:hAnsi="Times New Roman" w:cs="Times New Roman"/>
                <w:sz w:val="16"/>
                <w:szCs w:val="16"/>
              </w:rPr>
              <w:instrText xml:space="preserve"> ADDIN ZOTERO_ITEM CSL_CITATION {"citationID":"oHNb0428","properties":{"formattedCitation":"(16)","plainCitation":"(16)","noteIndex":0},"citationItems":[{"id":124,"uris":["http://zotero.org/users/13596477/items/4DK65IBR"],"itemData":{"id":124,"type":"article-journal","container-title":"The Lancet","DOI":"10.1016/S0140-6736(23)00355-0","ISSN":"01406736","issue":"10389","journalAbbreviation":"The Lancet","language":"en","page":"1733-1744","source":"DOI.org (Crossref)","title":"Evidence-based antenatal interventions to reduce the incidence of small vulnerable newborns and their associated poor outcomes","volume":"401","author":[{"family":"Hofmeyr","given":"G Justus"},{"family":"Black","given":"Robert E"},{"family":"Rogozińska","given":"Ewelina"},{"family":"Heuer","given":"Austin"},{"family":"Walker","given":"Neff"},{"family":"Ashorn","given":"Per"},{"family":"Ashorn","given":"Ulla"},{"family":"Bhandari","given":"Nita"},{"family":"Bhutta","given":"Zulfiqar A"},{"family":"Koivu","given":"Annariina"},{"family":"Kumar","given":"Somesh"},{"family":"Lawn","given":"Joy E"},{"family":"Munjanja","given":"Stephen"},{"family":"Näsänen-Gilmore","given":"Pieta"},{"family":"Ramogola-Masire","given":"Doreen"},{"family":"Temmerman","given":"Marleen"},{"family":"Ashorn","given":"Per"},{"family":"Black","given":"Robert E"},{"family":"Lawn","given":"Joy E"},{"family":"Ashorn","given":"Ulla"},{"family":"Klein","given":"Nigel"},{"family":"Hofmeyr","given":"G Justus"},{"family":"Temmerman","given":"Marleen"},{"family":"Askari","given":"Sufia"}],"issued":{"date-parts":[["2023",5]]}}}],"schema":"https://github.com/citation-style-language/schema/raw/master/csl-citation.json"} </w:instrText>
            </w:r>
            <w:r>
              <w:rPr>
                <w:rFonts w:ascii="Times New Roman" w:eastAsia="Calibri" w:hAnsi="Times New Roman" w:cs="Times New Roman"/>
                <w:sz w:val="16"/>
                <w:szCs w:val="16"/>
              </w:rPr>
              <w:fldChar w:fldCharType="separate"/>
            </w:r>
            <w:r>
              <w:rPr>
                <w:rFonts w:ascii="Times New Roman" w:eastAsia="Calibri" w:hAnsi="Times New Roman" w:cs="Times New Roman"/>
                <w:noProof/>
                <w:sz w:val="16"/>
                <w:szCs w:val="16"/>
              </w:rPr>
              <w:t>(16)</w:t>
            </w:r>
            <w:r>
              <w:rPr>
                <w:rFonts w:ascii="Times New Roman" w:eastAsia="Calibri" w:hAnsi="Times New Roman" w:cs="Times New Roman"/>
                <w:sz w:val="16"/>
                <w:szCs w:val="16"/>
              </w:rPr>
              <w:fldChar w:fldCharType="end"/>
            </w:r>
          </w:p>
        </w:tc>
        <w:tc>
          <w:tcPr>
            <w:tcW w:w="2286" w:type="dxa"/>
          </w:tcPr>
          <w:p w14:paraId="5DB392E0"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To summarize evidence-based antenatal and intrapartum interventions to reduce the incidence of small vulnerable newborns (SVNs) and improve associated outcomes</w:t>
            </w:r>
          </w:p>
        </w:tc>
        <w:tc>
          <w:tcPr>
            <w:tcW w:w="2423" w:type="dxa"/>
          </w:tcPr>
          <w:p w14:paraId="4D169369" w14:textId="77777777" w:rsidR="004E7DD3" w:rsidRPr="005322BC"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81 low-income and middle-income countries (LMICs). N=62</w:t>
            </w:r>
          </w:p>
        </w:tc>
        <w:tc>
          <w:tcPr>
            <w:tcW w:w="1866" w:type="dxa"/>
          </w:tcPr>
          <w:p w14:paraId="7621FC88"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Participants: pregnant women and newborns </w:t>
            </w:r>
          </w:p>
          <w:p w14:paraId="10E1E1FF" w14:textId="77777777" w:rsidR="004E7DD3" w:rsidRPr="005322BC"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Sample size: not specified </w:t>
            </w:r>
          </w:p>
        </w:tc>
        <w:tc>
          <w:tcPr>
            <w:tcW w:w="1812" w:type="dxa"/>
          </w:tcPr>
          <w:p w14:paraId="44A7BF64"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MMS vs. I/IFA and Calcium vs. Placebo</w:t>
            </w:r>
          </w:p>
        </w:tc>
        <w:tc>
          <w:tcPr>
            <w:tcW w:w="1823" w:type="dxa"/>
          </w:tcPr>
          <w:p w14:paraId="72662B4D"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LBW, SGA, </w:t>
            </w:r>
            <w:r>
              <w:rPr>
                <w:rFonts w:ascii="Times New Roman" w:eastAsia="Calibri" w:hAnsi="Times New Roman" w:cs="Times New Roman"/>
                <w:sz w:val="16"/>
                <w:szCs w:val="16"/>
              </w:rPr>
              <w:t>p</w:t>
            </w:r>
            <w:r w:rsidRPr="00DD5980">
              <w:rPr>
                <w:rFonts w:ascii="Times New Roman" w:eastAsia="Calibri" w:hAnsi="Times New Roman" w:cs="Times New Roman"/>
                <w:sz w:val="16"/>
                <w:szCs w:val="16"/>
              </w:rPr>
              <w:t xml:space="preserve">reterm birth, </w:t>
            </w:r>
            <w:r>
              <w:rPr>
                <w:rFonts w:ascii="Times New Roman" w:eastAsia="Calibri" w:hAnsi="Times New Roman" w:cs="Times New Roman"/>
                <w:sz w:val="16"/>
                <w:szCs w:val="16"/>
              </w:rPr>
              <w:t>s</w:t>
            </w:r>
            <w:r w:rsidRPr="00DD5980">
              <w:rPr>
                <w:rFonts w:ascii="Times New Roman" w:eastAsia="Calibri" w:hAnsi="Times New Roman" w:cs="Times New Roman"/>
                <w:sz w:val="16"/>
                <w:szCs w:val="16"/>
              </w:rPr>
              <w:t>tillbirth</w:t>
            </w:r>
            <w:r w:rsidRPr="00DD5980">
              <w:rPr>
                <w:rFonts w:ascii="Times New Roman" w:eastAsia="Calibri" w:hAnsi="Times New Roman" w:cs="Times New Roman"/>
                <w:sz w:val="16"/>
                <w:szCs w:val="16"/>
              </w:rPr>
              <w:br/>
            </w:r>
          </w:p>
        </w:tc>
        <w:tc>
          <w:tcPr>
            <w:tcW w:w="1187" w:type="dxa"/>
          </w:tcPr>
          <w:p w14:paraId="54983038"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Yes – GRADE; Cochrane risk of bias tool</w:t>
            </w:r>
          </w:p>
        </w:tc>
        <w:tc>
          <w:tcPr>
            <w:tcW w:w="1864" w:type="dxa"/>
          </w:tcPr>
          <w:p w14:paraId="6D7EA8EF"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proofErr w:type="spellStart"/>
            <w:r w:rsidRPr="00DD5980">
              <w:rPr>
                <w:rFonts w:ascii="Times New Roman" w:eastAsia="Calibri" w:hAnsi="Times New Roman" w:cs="Times New Roman"/>
                <w:sz w:val="16"/>
                <w:szCs w:val="16"/>
              </w:rPr>
              <w:t>LiST</w:t>
            </w:r>
            <w:proofErr w:type="spellEnd"/>
            <w:r w:rsidRPr="00DD5980">
              <w:rPr>
                <w:rFonts w:ascii="Times New Roman" w:eastAsia="Calibri" w:hAnsi="Times New Roman" w:cs="Times New Roman"/>
                <w:sz w:val="16"/>
                <w:szCs w:val="16"/>
              </w:rPr>
              <w:t xml:space="preserve"> modeling.  Sensitivity analyses for bounds of estimated effects.</w:t>
            </w:r>
            <w:r w:rsidRPr="00DD5980">
              <w:rPr>
                <w:rFonts w:ascii="Times New Roman" w:eastAsia="Calibri" w:hAnsi="Times New Roman" w:cs="Times New Roman"/>
                <w:sz w:val="16"/>
                <w:szCs w:val="16"/>
              </w:rPr>
              <w:br/>
            </w:r>
          </w:p>
        </w:tc>
      </w:tr>
      <w:tr w:rsidR="004E7DD3" w:rsidRPr="00DD5980" w14:paraId="40ECD0EF" w14:textId="77777777" w:rsidTr="004E7DD3">
        <w:trPr>
          <w:cnfStyle w:val="000000100000" w:firstRow="0" w:lastRow="0" w:firstColumn="0" w:lastColumn="0" w:oddVBand="0" w:evenVBand="0" w:oddHBand="1" w:evenHBand="0" w:firstRowFirstColumn="0" w:firstRowLastColumn="0" w:lastRowFirstColumn="0" w:lastRowLastColumn="0"/>
          <w:trHeight w:val="1223"/>
        </w:trPr>
        <w:tc>
          <w:tcPr>
            <w:cnfStyle w:val="001000000000" w:firstRow="0" w:lastRow="0" w:firstColumn="1" w:lastColumn="0" w:oddVBand="0" w:evenVBand="0" w:oddHBand="0" w:evenHBand="0" w:firstRowFirstColumn="0" w:firstRowLastColumn="0" w:lastRowFirstColumn="0" w:lastRowLastColumn="0"/>
            <w:tcW w:w="1319" w:type="dxa"/>
            <w:tcBorders>
              <w:top w:val="single" w:sz="4" w:space="0" w:color="auto"/>
              <w:left w:val="single" w:sz="4" w:space="0" w:color="auto"/>
              <w:bottom w:val="single" w:sz="4" w:space="0" w:color="auto"/>
            </w:tcBorders>
          </w:tcPr>
          <w:p w14:paraId="0DB40E6F" w14:textId="77777777" w:rsidR="004E7DD3" w:rsidRPr="00DD5980" w:rsidRDefault="004E7DD3" w:rsidP="000B6948">
            <w:pPr>
              <w:spacing w:after="160" w:line="259" w:lineRule="auto"/>
              <w:jc w:val="left"/>
              <w:rPr>
                <w:rFonts w:ascii="Times New Roman" w:eastAsia="Calibri" w:hAnsi="Times New Roman" w:cs="Times New Roman"/>
                <w:sz w:val="16"/>
                <w:szCs w:val="16"/>
              </w:rPr>
            </w:pPr>
            <w:r w:rsidRPr="00DD5980">
              <w:rPr>
                <w:rFonts w:ascii="Times New Roman" w:eastAsia="Calibri" w:hAnsi="Times New Roman" w:cs="Times New Roman"/>
                <w:sz w:val="16"/>
                <w:szCs w:val="16"/>
              </w:rPr>
              <w:t>Hofmeyr et al., 2018</w:t>
            </w:r>
            <w:r>
              <w:rPr>
                <w:rFonts w:ascii="Times New Roman" w:eastAsia="Calibri" w:hAnsi="Times New Roman" w:cs="Times New Roman"/>
                <w:sz w:val="16"/>
                <w:szCs w:val="16"/>
              </w:rPr>
              <w:t xml:space="preserve"> </w:t>
            </w:r>
            <w:r>
              <w:rPr>
                <w:rFonts w:ascii="Times New Roman" w:eastAsia="Calibri" w:hAnsi="Times New Roman" w:cs="Times New Roman"/>
                <w:sz w:val="16"/>
                <w:szCs w:val="16"/>
              </w:rPr>
              <w:fldChar w:fldCharType="begin"/>
            </w:r>
            <w:r>
              <w:rPr>
                <w:rFonts w:ascii="Times New Roman" w:eastAsia="Calibri" w:hAnsi="Times New Roman" w:cs="Times New Roman"/>
                <w:sz w:val="16"/>
                <w:szCs w:val="16"/>
              </w:rPr>
              <w:instrText xml:space="preserve"> ADDIN ZOTERO_ITEM CSL_CITATION {"citationID":"oxi0Lxbz","properties":{"formattedCitation":"(20)","plainCitation":"(20)","noteIndex":0},"citationItems":[{"id":122,"uris":["http://zotero.org/users/13596477/items/8EJ6FU6I"],"itemData":{"id":122,"type":"article-journal","container-title":"Cochrane Database of Systematic Reviews","DOI":"10.1002/14651858.CD001059.pub5","ISSN":"14651858","issue":"10","language":"en","source":"DOI.org (Crossref)","title":"Calcium supplementation during pregnancy for preventing hypertensive disorders and related problems","URL":"http://doi.wiley.com/10.1002/14651858.CD001059.pub5","volume":"2018","author":[{"family":"Hofmeyr","given":"G Justus"},{"family":"Lawrie","given":"Theresa A"},{"family":"Atallah","given":"Álvaro N"},{"family":"Torloni","given":"Maria Regina"}],"editor":[{"literal":"Cochrane Pregnancy and Childbirth Group"}],"accessed":{"date-parts":[["2025",1,19]]},"issued":{"date-parts":[["2018",10,1]]}}}],"schema":"https://github.com/citation-style-language/schema/raw/master/csl-citation.json"} </w:instrText>
            </w:r>
            <w:r>
              <w:rPr>
                <w:rFonts w:ascii="Times New Roman" w:eastAsia="Calibri" w:hAnsi="Times New Roman" w:cs="Times New Roman"/>
                <w:sz w:val="16"/>
                <w:szCs w:val="16"/>
              </w:rPr>
              <w:fldChar w:fldCharType="separate"/>
            </w:r>
            <w:r>
              <w:rPr>
                <w:rFonts w:ascii="Times New Roman" w:eastAsia="Calibri" w:hAnsi="Times New Roman" w:cs="Times New Roman"/>
                <w:noProof/>
                <w:sz w:val="16"/>
                <w:szCs w:val="16"/>
              </w:rPr>
              <w:t>(20)</w:t>
            </w:r>
            <w:r>
              <w:rPr>
                <w:rFonts w:ascii="Times New Roman" w:eastAsia="Calibri" w:hAnsi="Times New Roman" w:cs="Times New Roman"/>
                <w:sz w:val="16"/>
                <w:szCs w:val="16"/>
              </w:rPr>
              <w:fldChar w:fldCharType="end"/>
            </w:r>
          </w:p>
        </w:tc>
        <w:tc>
          <w:tcPr>
            <w:tcW w:w="2286" w:type="dxa"/>
          </w:tcPr>
          <w:p w14:paraId="4F9A6C53"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To assess the effects of calcium supplementation during pregnancy on hypertensive disorders of pregnancy and related maternal and child outcomes.</w:t>
            </w:r>
          </w:p>
        </w:tc>
        <w:tc>
          <w:tcPr>
            <w:tcW w:w="2423" w:type="dxa"/>
          </w:tcPr>
          <w:p w14:paraId="723A883D"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Multicenter Ecuador, Peru, and South Africa (1), International (countries not specified) (1), Argentina (1), USA (3), Australia (1), Iran (1), India (2), Ecuador (3). N=13</w:t>
            </w:r>
          </w:p>
        </w:tc>
        <w:tc>
          <w:tcPr>
            <w:tcW w:w="1866" w:type="dxa"/>
          </w:tcPr>
          <w:p w14:paraId="4A896F11"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Participants: pregnant women</w:t>
            </w:r>
            <w:r w:rsidRPr="00DD5980">
              <w:rPr>
                <w:rFonts w:ascii="Times New Roman" w:eastAsia="Calibri" w:hAnsi="Times New Roman" w:cs="Times New Roman"/>
                <w:sz w:val="16"/>
                <w:szCs w:val="16"/>
              </w:rPr>
              <w:br/>
              <w:t xml:space="preserve">Sample size: 15,730 </w:t>
            </w:r>
          </w:p>
          <w:p w14:paraId="1576B007"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p>
        </w:tc>
        <w:tc>
          <w:tcPr>
            <w:tcW w:w="1812" w:type="dxa"/>
          </w:tcPr>
          <w:p w14:paraId="054BAFA6"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High‐dose calcium supplementation </w:t>
            </w:r>
            <w:proofErr w:type="gramStart"/>
            <w:r w:rsidRPr="00DD5980">
              <w:rPr>
                <w:rFonts w:ascii="Times New Roman" w:eastAsia="Calibri" w:hAnsi="Times New Roman" w:cs="Times New Roman"/>
                <w:sz w:val="16"/>
                <w:szCs w:val="16"/>
              </w:rPr>
              <w:t>( ≥</w:t>
            </w:r>
            <w:proofErr w:type="gramEnd"/>
            <w:r w:rsidRPr="00DD5980">
              <w:rPr>
                <w:rFonts w:ascii="Times New Roman" w:eastAsia="Calibri" w:hAnsi="Times New Roman" w:cs="Times New Roman"/>
                <w:sz w:val="16"/>
                <w:szCs w:val="16"/>
              </w:rPr>
              <w:t xml:space="preserve"> 1 g/day) vs Placebo</w:t>
            </w:r>
          </w:p>
        </w:tc>
        <w:tc>
          <w:tcPr>
            <w:tcW w:w="1823" w:type="dxa"/>
          </w:tcPr>
          <w:p w14:paraId="439E2223"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Pre‐eclampsia, maternal death or serious morbidity, preterm birth, and stillbirth.</w:t>
            </w:r>
          </w:p>
        </w:tc>
        <w:tc>
          <w:tcPr>
            <w:tcW w:w="1187" w:type="dxa"/>
          </w:tcPr>
          <w:p w14:paraId="24906059"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Yes – GRADE; Cochrane risk of bias tool</w:t>
            </w:r>
          </w:p>
        </w:tc>
        <w:tc>
          <w:tcPr>
            <w:tcW w:w="1864" w:type="dxa"/>
          </w:tcPr>
          <w:p w14:paraId="51CD02AF"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Fixed‐effects and random effects models</w:t>
            </w:r>
          </w:p>
        </w:tc>
      </w:tr>
      <w:tr w:rsidR="004E7DD3" w:rsidRPr="00DD5980" w14:paraId="116A6BFC" w14:textId="77777777" w:rsidTr="004E7DD3">
        <w:tc>
          <w:tcPr>
            <w:cnfStyle w:val="001000000000" w:firstRow="0" w:lastRow="0" w:firstColumn="1" w:lastColumn="0" w:oddVBand="0" w:evenVBand="0" w:oddHBand="0" w:evenHBand="0" w:firstRowFirstColumn="0" w:firstRowLastColumn="0" w:lastRowFirstColumn="0" w:lastRowLastColumn="0"/>
            <w:tcW w:w="1319" w:type="dxa"/>
            <w:tcBorders>
              <w:top w:val="single" w:sz="4" w:space="0" w:color="auto"/>
              <w:left w:val="none" w:sz="0" w:space="0" w:color="auto"/>
              <w:bottom w:val="none" w:sz="0" w:space="0" w:color="auto"/>
            </w:tcBorders>
          </w:tcPr>
          <w:p w14:paraId="5818471A" w14:textId="77777777" w:rsidR="004E7DD3" w:rsidRPr="00DD5980" w:rsidRDefault="004E7DD3" w:rsidP="000B6948">
            <w:pPr>
              <w:spacing w:after="160" w:line="259" w:lineRule="auto"/>
              <w:jc w:val="left"/>
              <w:rPr>
                <w:rFonts w:ascii="Times New Roman" w:eastAsia="Calibri" w:hAnsi="Times New Roman" w:cs="Times New Roman"/>
                <w:sz w:val="16"/>
                <w:szCs w:val="16"/>
              </w:rPr>
            </w:pPr>
            <w:r w:rsidRPr="00DD5980">
              <w:rPr>
                <w:rFonts w:ascii="Times New Roman" w:eastAsia="Calibri" w:hAnsi="Times New Roman" w:cs="Times New Roman"/>
                <w:sz w:val="16"/>
                <w:szCs w:val="16"/>
              </w:rPr>
              <w:t>Hofmeyr et al., 2019</w:t>
            </w:r>
            <w:r>
              <w:rPr>
                <w:rFonts w:ascii="Times New Roman" w:eastAsia="Calibri" w:hAnsi="Times New Roman" w:cs="Times New Roman"/>
                <w:sz w:val="16"/>
                <w:szCs w:val="16"/>
              </w:rPr>
              <w:t xml:space="preserve"> </w:t>
            </w:r>
            <w:r>
              <w:rPr>
                <w:rFonts w:ascii="Times New Roman" w:eastAsia="Calibri" w:hAnsi="Times New Roman" w:cs="Times New Roman"/>
                <w:sz w:val="16"/>
                <w:szCs w:val="16"/>
              </w:rPr>
              <w:fldChar w:fldCharType="begin"/>
            </w:r>
            <w:r>
              <w:rPr>
                <w:rFonts w:ascii="Times New Roman" w:eastAsia="Calibri" w:hAnsi="Times New Roman" w:cs="Times New Roman"/>
                <w:sz w:val="16"/>
                <w:szCs w:val="16"/>
              </w:rPr>
              <w:instrText xml:space="preserve"> ADDIN ZOTERO_ITEM CSL_CITATION {"citationID":"GegSijuW","properties":{"formattedCitation":"(51)","plainCitation":"(51)","noteIndex":0},"citationItems":[{"id":134,"uris":["http://zotero.org/users/13596477/items/496YWLUI"],"itemData":{"id":134,"type":"article-journal","container-title":"Cochrane Database of Systematic Reviews","DOI":"10.1002/14651858.CD011192.pub3","ISSN":"14651858","issue":"9","language":"en","source":"DOI.org (Crossref)","title":"Calcium supplementation commencing before or early in pregnancy, for preventing hypertensive disorders of pregnancy","URL":"http://doi.wiley.com/10.1002/14651858.CD011192.pub3","volume":"2019","author":[{"family":"Hofmeyr","given":"G Justus"},{"family":"Manyame","given":"Sarah"},{"family":"Medley","given":"Nancy"},{"family":"Williams","given":"Myfanwy J"}],"editor":[{"literal":"Cochrane Pregnancy and Childbirth Group"}],"accessed":{"date-parts":[["2025",1,19]]},"issued":{"date-parts":[["2019",9,16]]}}}],"schema":"https://github.com/citation-style-language/schema/raw/master/csl-citation.json"} </w:instrText>
            </w:r>
            <w:r>
              <w:rPr>
                <w:rFonts w:ascii="Times New Roman" w:eastAsia="Calibri" w:hAnsi="Times New Roman" w:cs="Times New Roman"/>
                <w:sz w:val="16"/>
                <w:szCs w:val="16"/>
              </w:rPr>
              <w:fldChar w:fldCharType="separate"/>
            </w:r>
            <w:r>
              <w:rPr>
                <w:rFonts w:ascii="Times New Roman" w:eastAsia="Calibri" w:hAnsi="Times New Roman" w:cs="Times New Roman"/>
                <w:noProof/>
                <w:sz w:val="16"/>
                <w:szCs w:val="16"/>
              </w:rPr>
              <w:t>(51)</w:t>
            </w:r>
            <w:r>
              <w:rPr>
                <w:rFonts w:ascii="Times New Roman" w:eastAsia="Calibri" w:hAnsi="Times New Roman" w:cs="Times New Roman"/>
                <w:sz w:val="16"/>
                <w:szCs w:val="16"/>
              </w:rPr>
              <w:fldChar w:fldCharType="end"/>
            </w:r>
          </w:p>
        </w:tc>
        <w:tc>
          <w:tcPr>
            <w:tcW w:w="2286" w:type="dxa"/>
          </w:tcPr>
          <w:p w14:paraId="366C87F6"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To determine the effect of calcium supplementation, given before or early in pregnancy and for at least the first half of pregnancy. </w:t>
            </w:r>
          </w:p>
        </w:tc>
        <w:tc>
          <w:tcPr>
            <w:tcW w:w="2423" w:type="dxa"/>
          </w:tcPr>
          <w:p w14:paraId="7CA8C832"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B27A3E">
              <w:rPr>
                <w:rFonts w:ascii="Times New Roman" w:eastAsia="Calibri" w:hAnsi="Times New Roman" w:cs="Times New Roman"/>
                <w:sz w:val="16"/>
                <w:szCs w:val="16"/>
              </w:rPr>
              <w:t>South Africa, Zimbabwe, Argentina. N=162</w:t>
            </w:r>
          </w:p>
        </w:tc>
        <w:tc>
          <w:tcPr>
            <w:tcW w:w="1866" w:type="dxa"/>
          </w:tcPr>
          <w:p w14:paraId="72153294"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Participants: </w:t>
            </w:r>
            <w:r>
              <w:rPr>
                <w:rFonts w:ascii="Times New Roman" w:eastAsia="Calibri" w:hAnsi="Times New Roman" w:cs="Times New Roman"/>
                <w:sz w:val="16"/>
                <w:szCs w:val="16"/>
              </w:rPr>
              <w:t xml:space="preserve">non-pregnant </w:t>
            </w:r>
            <w:r w:rsidRPr="00DD5980">
              <w:rPr>
                <w:rFonts w:ascii="Times New Roman" w:eastAsia="Calibri" w:hAnsi="Times New Roman" w:cs="Times New Roman"/>
                <w:sz w:val="16"/>
                <w:szCs w:val="16"/>
              </w:rPr>
              <w:t>women and women in early pregnancy</w:t>
            </w:r>
            <w:r>
              <w:rPr>
                <w:rFonts w:ascii="Times New Roman" w:eastAsia="Calibri" w:hAnsi="Times New Roman" w:cs="Times New Roman"/>
                <w:sz w:val="16"/>
                <w:szCs w:val="16"/>
              </w:rPr>
              <w:t xml:space="preserve"> </w:t>
            </w:r>
            <w:r w:rsidRPr="00DD5980">
              <w:rPr>
                <w:rFonts w:ascii="Times New Roman" w:eastAsia="Calibri" w:hAnsi="Times New Roman" w:cs="Times New Roman"/>
                <w:sz w:val="16"/>
                <w:szCs w:val="16"/>
              </w:rPr>
              <w:t>(&lt;12 weeks).</w:t>
            </w:r>
            <w:r w:rsidRPr="00DD5980">
              <w:rPr>
                <w:rFonts w:ascii="Times New Roman" w:eastAsia="Calibri" w:hAnsi="Times New Roman" w:cs="Times New Roman"/>
                <w:sz w:val="16"/>
                <w:szCs w:val="16"/>
              </w:rPr>
              <w:br/>
              <w:t>Sample size: 1</w:t>
            </w:r>
            <w:r>
              <w:rPr>
                <w:rFonts w:ascii="Times New Roman" w:eastAsia="Calibri" w:hAnsi="Times New Roman" w:cs="Times New Roman"/>
                <w:sz w:val="16"/>
                <w:szCs w:val="16"/>
              </w:rPr>
              <w:t>,</w:t>
            </w:r>
            <w:r w:rsidRPr="00DD5980">
              <w:rPr>
                <w:rFonts w:ascii="Times New Roman" w:eastAsia="Calibri" w:hAnsi="Times New Roman" w:cs="Times New Roman"/>
                <w:sz w:val="16"/>
                <w:szCs w:val="16"/>
              </w:rPr>
              <w:t>355</w:t>
            </w:r>
          </w:p>
        </w:tc>
        <w:tc>
          <w:tcPr>
            <w:tcW w:w="1812" w:type="dxa"/>
          </w:tcPr>
          <w:p w14:paraId="324240BE"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Calcium vs. Placebo</w:t>
            </w:r>
            <w:r w:rsidRPr="00DD5980">
              <w:rPr>
                <w:rFonts w:ascii="Times New Roman" w:eastAsia="Calibri" w:hAnsi="Times New Roman" w:cs="Times New Roman"/>
                <w:sz w:val="16"/>
                <w:szCs w:val="16"/>
              </w:rPr>
              <w:br/>
            </w:r>
          </w:p>
        </w:tc>
        <w:tc>
          <w:tcPr>
            <w:tcW w:w="1823" w:type="dxa"/>
          </w:tcPr>
          <w:p w14:paraId="32BA7EEF"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LBW </w:t>
            </w:r>
          </w:p>
        </w:tc>
        <w:tc>
          <w:tcPr>
            <w:tcW w:w="1187" w:type="dxa"/>
          </w:tcPr>
          <w:p w14:paraId="37A45C5C"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Yes- GRADE; Cochrane Handbook for Systematic Reviews</w:t>
            </w:r>
            <w:r w:rsidRPr="00DD5980">
              <w:rPr>
                <w:rFonts w:ascii="Times New Roman" w:eastAsia="Calibri" w:hAnsi="Times New Roman" w:cs="Times New Roman"/>
                <w:sz w:val="16"/>
                <w:szCs w:val="16"/>
              </w:rPr>
              <w:br/>
              <w:t xml:space="preserve">of Interventions    </w:t>
            </w:r>
          </w:p>
        </w:tc>
        <w:tc>
          <w:tcPr>
            <w:tcW w:w="1864" w:type="dxa"/>
          </w:tcPr>
          <w:p w14:paraId="3777FE7A"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No meta-analysis (only one study). </w:t>
            </w:r>
            <w:r>
              <w:rPr>
                <w:rFonts w:ascii="Times New Roman" w:eastAsia="Calibri" w:hAnsi="Times New Roman" w:cs="Times New Roman"/>
                <w:sz w:val="16"/>
                <w:szCs w:val="16"/>
              </w:rPr>
              <w:t>N</w:t>
            </w:r>
            <w:r w:rsidRPr="00DD5980">
              <w:rPr>
                <w:rFonts w:ascii="Times New Roman" w:eastAsia="Calibri" w:hAnsi="Times New Roman" w:cs="Times New Roman"/>
                <w:sz w:val="16"/>
                <w:szCs w:val="16"/>
              </w:rPr>
              <w:t>arrative</w:t>
            </w:r>
            <w:r>
              <w:rPr>
                <w:rFonts w:ascii="Times New Roman" w:eastAsia="Calibri" w:hAnsi="Times New Roman" w:cs="Times New Roman"/>
                <w:sz w:val="16"/>
                <w:szCs w:val="16"/>
              </w:rPr>
              <w:t xml:space="preserve"> synthesis</w:t>
            </w:r>
            <w:r w:rsidRPr="00DD5980">
              <w:rPr>
                <w:rFonts w:ascii="Times New Roman" w:eastAsia="Calibri" w:hAnsi="Times New Roman" w:cs="Times New Roman"/>
                <w:sz w:val="16"/>
                <w:szCs w:val="16"/>
              </w:rPr>
              <w:t xml:space="preserve"> with quantitative estimates.</w:t>
            </w:r>
          </w:p>
        </w:tc>
      </w:tr>
      <w:tr w:rsidR="004E7DD3" w:rsidRPr="00DD5980" w14:paraId="3E849525" w14:textId="77777777" w:rsidTr="004E7DD3">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1319" w:type="dxa"/>
            <w:tcBorders>
              <w:top w:val="single" w:sz="4" w:space="0" w:color="auto"/>
              <w:left w:val="single" w:sz="4" w:space="0" w:color="auto"/>
              <w:bottom w:val="single" w:sz="4" w:space="0" w:color="auto"/>
            </w:tcBorders>
          </w:tcPr>
          <w:p w14:paraId="3ABD57F9" w14:textId="77777777" w:rsidR="004E7DD3" w:rsidRPr="00DD5980" w:rsidRDefault="004E7DD3" w:rsidP="000B6948">
            <w:pPr>
              <w:spacing w:after="160" w:line="259" w:lineRule="auto"/>
              <w:jc w:val="left"/>
              <w:rPr>
                <w:rFonts w:ascii="Times New Roman" w:eastAsia="Calibri" w:hAnsi="Times New Roman" w:cs="Times New Roman"/>
                <w:sz w:val="16"/>
                <w:szCs w:val="16"/>
              </w:rPr>
            </w:pPr>
            <w:r w:rsidRPr="00DD5980">
              <w:rPr>
                <w:rFonts w:ascii="Times New Roman" w:eastAsia="Calibri" w:hAnsi="Times New Roman" w:cs="Times New Roman"/>
                <w:sz w:val="16"/>
                <w:szCs w:val="16"/>
              </w:rPr>
              <w:t>Hume-Nixon et al., 2021</w:t>
            </w:r>
            <w:r>
              <w:rPr>
                <w:rFonts w:ascii="Times New Roman" w:eastAsia="Calibri" w:hAnsi="Times New Roman" w:cs="Times New Roman"/>
                <w:sz w:val="16"/>
                <w:szCs w:val="16"/>
              </w:rPr>
              <w:fldChar w:fldCharType="begin"/>
            </w:r>
            <w:r>
              <w:rPr>
                <w:rFonts w:ascii="Times New Roman" w:eastAsia="Calibri" w:hAnsi="Times New Roman" w:cs="Times New Roman"/>
                <w:sz w:val="16"/>
                <w:szCs w:val="16"/>
              </w:rPr>
              <w:instrText xml:space="preserve"> ADDIN ZOTERO_ITEM CSL_CITATION {"citationID":"0lXjdm1M","properties":{"formattedCitation":"(25)","plainCitation":"(25)","noteIndex":0},"citationItems":[{"id":142,"uris":["http://zotero.org/users/13596477/items/XE6MZBIF"],"itemData":{"id":142,"type":"article-journal","container-title":"EClinicalMedicine","DOI":"10.1016/j.eclinm.2021.101123","ISSN":"25895370","journalAbbreviation":"EClinicalMedicine","language":"en","license":"https://www.elsevier.com/tdm/userlicense/1.0/","page":"101123","source":"DOI.org (Crossref)","title":"A Systematic Review and meta-analysis of the effect of administration of azithromycin during pregnancy on perinatal and neonatal outcomes","volume":"40","author":[{"family":"Hume-Nixon","given":"Maeve"},{"family":"Quach","given":"Alicia"},{"family":"Reyburn","given":"Rita"},{"family":"Nguyen","given":"Cattram"},{"family":"Steer","given":"Andrew"},{"family":"Russell","given":"Fiona"}],"issued":{"date-parts":[["2021",10]]}}}],"schema":"https://github.com/citation-style-language/schema/raw/master/csl-citation.json"} </w:instrText>
            </w:r>
            <w:r>
              <w:rPr>
                <w:rFonts w:ascii="Times New Roman" w:eastAsia="Calibri" w:hAnsi="Times New Roman" w:cs="Times New Roman"/>
                <w:sz w:val="16"/>
                <w:szCs w:val="16"/>
              </w:rPr>
              <w:fldChar w:fldCharType="separate"/>
            </w:r>
            <w:r>
              <w:rPr>
                <w:rFonts w:ascii="Times New Roman" w:eastAsia="Calibri" w:hAnsi="Times New Roman" w:cs="Times New Roman"/>
                <w:noProof/>
                <w:sz w:val="16"/>
                <w:szCs w:val="16"/>
              </w:rPr>
              <w:t>(25)</w:t>
            </w:r>
            <w:r>
              <w:rPr>
                <w:rFonts w:ascii="Times New Roman" w:eastAsia="Calibri" w:hAnsi="Times New Roman" w:cs="Times New Roman"/>
                <w:sz w:val="16"/>
                <w:szCs w:val="16"/>
              </w:rPr>
              <w:fldChar w:fldCharType="end"/>
            </w:r>
          </w:p>
        </w:tc>
        <w:tc>
          <w:tcPr>
            <w:tcW w:w="2286" w:type="dxa"/>
          </w:tcPr>
          <w:p w14:paraId="0CE4B27E"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To determine the effect of azithromycin during pregnancy on perinatal and neonatal outcomes.</w:t>
            </w:r>
          </w:p>
        </w:tc>
        <w:tc>
          <w:tcPr>
            <w:tcW w:w="2423" w:type="dxa"/>
          </w:tcPr>
          <w:p w14:paraId="3CA046BE"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FA1EC2">
              <w:rPr>
                <w:rFonts w:ascii="Times New Roman" w:eastAsia="Calibri" w:hAnsi="Times New Roman" w:cs="Times New Roman"/>
                <w:sz w:val="16"/>
                <w:szCs w:val="16"/>
                <w:lang w:val="es-MX"/>
              </w:rPr>
              <w:t xml:space="preserve">Nigeria (2), Uganda (1), Malawi (3), multicenter Benin, Kenya, Malawi, Tanzania, &amp; Uganda (1), Papua New Guinea (2), India (1), USA (2), Gambia (1), Cameroon (1). </w:t>
            </w:r>
            <w:r w:rsidRPr="00DD5980">
              <w:rPr>
                <w:rFonts w:ascii="Times New Roman" w:eastAsia="Calibri" w:hAnsi="Times New Roman" w:cs="Times New Roman"/>
                <w:sz w:val="16"/>
                <w:szCs w:val="16"/>
              </w:rPr>
              <w:t>N=14</w:t>
            </w:r>
          </w:p>
        </w:tc>
        <w:tc>
          <w:tcPr>
            <w:tcW w:w="1866" w:type="dxa"/>
          </w:tcPr>
          <w:p w14:paraId="6BC6BEFD"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Participants: pregnant women.</w:t>
            </w:r>
            <w:r w:rsidRPr="00DD5980">
              <w:rPr>
                <w:rFonts w:ascii="Times New Roman" w:eastAsia="Calibri" w:hAnsi="Times New Roman" w:cs="Times New Roman"/>
                <w:sz w:val="16"/>
                <w:szCs w:val="16"/>
              </w:rPr>
              <w:br/>
              <w:t xml:space="preserve">Sample size: 17,594 </w:t>
            </w:r>
          </w:p>
        </w:tc>
        <w:tc>
          <w:tcPr>
            <w:tcW w:w="1812" w:type="dxa"/>
          </w:tcPr>
          <w:p w14:paraId="4299D331"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Malaria chemoprevention vs Placebo</w:t>
            </w:r>
          </w:p>
        </w:tc>
        <w:tc>
          <w:tcPr>
            <w:tcW w:w="1823" w:type="dxa"/>
          </w:tcPr>
          <w:p w14:paraId="2247CC34"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Pr>
                <w:rFonts w:ascii="Times New Roman" w:eastAsia="Calibri" w:hAnsi="Times New Roman" w:cs="Times New Roman"/>
                <w:sz w:val="16"/>
                <w:szCs w:val="16"/>
              </w:rPr>
              <w:t>LBW</w:t>
            </w:r>
            <w:r w:rsidRPr="00DD5980">
              <w:rPr>
                <w:rFonts w:ascii="Times New Roman" w:eastAsia="Calibri" w:hAnsi="Times New Roman" w:cs="Times New Roman"/>
                <w:sz w:val="16"/>
                <w:szCs w:val="16"/>
              </w:rPr>
              <w:t xml:space="preserve"> and preterm birth</w:t>
            </w:r>
          </w:p>
        </w:tc>
        <w:tc>
          <w:tcPr>
            <w:tcW w:w="1187" w:type="dxa"/>
          </w:tcPr>
          <w:p w14:paraId="3771B2B8"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Yes - RoB2</w:t>
            </w:r>
          </w:p>
        </w:tc>
        <w:tc>
          <w:tcPr>
            <w:tcW w:w="1864" w:type="dxa"/>
          </w:tcPr>
          <w:p w14:paraId="1FE20FCB"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Fixed effects &amp; random effects model</w:t>
            </w:r>
          </w:p>
        </w:tc>
      </w:tr>
      <w:tr w:rsidR="004E7DD3" w:rsidRPr="00DD5980" w14:paraId="6179EE74" w14:textId="77777777" w:rsidTr="000B6948">
        <w:tc>
          <w:tcPr>
            <w:cnfStyle w:val="001000000000" w:firstRow="0" w:lastRow="0" w:firstColumn="1" w:lastColumn="0" w:oddVBand="0" w:evenVBand="0" w:oddHBand="0" w:evenHBand="0" w:firstRowFirstColumn="0" w:firstRowLastColumn="0" w:lastRowFirstColumn="0" w:lastRowLastColumn="0"/>
            <w:tcW w:w="1319" w:type="dxa"/>
            <w:tcBorders>
              <w:top w:val="none" w:sz="0" w:space="0" w:color="auto"/>
              <w:left w:val="none" w:sz="0" w:space="0" w:color="auto"/>
              <w:bottom w:val="none" w:sz="0" w:space="0" w:color="auto"/>
            </w:tcBorders>
          </w:tcPr>
          <w:p w14:paraId="7F5A8155" w14:textId="77777777" w:rsidR="004E7DD3" w:rsidRPr="00DD5980" w:rsidRDefault="004E7DD3" w:rsidP="000B6948">
            <w:pPr>
              <w:spacing w:after="160" w:line="259" w:lineRule="auto"/>
              <w:jc w:val="left"/>
              <w:rPr>
                <w:rFonts w:ascii="Times New Roman" w:eastAsia="Calibri" w:hAnsi="Times New Roman" w:cs="Times New Roman"/>
                <w:sz w:val="16"/>
                <w:szCs w:val="16"/>
              </w:rPr>
            </w:pPr>
            <w:r w:rsidRPr="00DD5980">
              <w:rPr>
                <w:rFonts w:ascii="Times New Roman" w:eastAsia="Calibri" w:hAnsi="Times New Roman" w:cs="Times New Roman"/>
                <w:sz w:val="16"/>
                <w:szCs w:val="16"/>
              </w:rPr>
              <w:t>Imdad et al., 2022</w:t>
            </w:r>
            <w:r>
              <w:rPr>
                <w:rFonts w:ascii="Times New Roman" w:eastAsia="Calibri" w:hAnsi="Times New Roman" w:cs="Times New Roman"/>
                <w:sz w:val="16"/>
                <w:szCs w:val="16"/>
              </w:rPr>
              <w:t xml:space="preserve"> </w:t>
            </w:r>
            <w:r>
              <w:rPr>
                <w:rFonts w:ascii="Times New Roman" w:eastAsia="Calibri" w:hAnsi="Times New Roman" w:cs="Times New Roman"/>
                <w:sz w:val="16"/>
                <w:szCs w:val="16"/>
              </w:rPr>
              <w:fldChar w:fldCharType="begin"/>
            </w:r>
            <w:r>
              <w:rPr>
                <w:rFonts w:ascii="Times New Roman" w:eastAsia="Calibri" w:hAnsi="Times New Roman" w:cs="Times New Roman"/>
                <w:sz w:val="16"/>
                <w:szCs w:val="16"/>
              </w:rPr>
              <w:instrText xml:space="preserve"> ADDIN ZOTERO_ITEM CSL_CITATION {"citationID":"eOQGguCY","properties":{"formattedCitation":"(33)","plainCitation":"(33)","noteIndex":0},"citationItems":[{"id":160,"uris":["http://zotero.org/users/13596477/items/Z559AZTM"],"itemData":{"id":160,"type":"article-journal","container-title":"Cochrane Database of Systematic Reviews","DOI":"10.1002/14651858.CD008524.pub4","ISSN":"14651858","issue":"3","language":"en","source":"DOI.org (Crossref)","title":"Vitamin A supplementation for preventing morbidity and mortality in children from six months to five years of age","URL":"http://doi.wiley.com/10.1002/14651858.CD008524.pub4","volume":"2022","editor":[{"literal":"Cochrane Developmental, Psychosocial and Learning Problems Group"}],"author":[{"family":"Imdad","given":"Aamer"},{"family":"Mayo-Wilson","given":"Evan"},{"family":"Haykal","given":"Maya R"},{"family":"Regan","given":"Allison"},{"family":"Sidhu","given":"Jasleen"},{"family":"Smith","given":"Abigail"},{"family":"Bhutta","given":"Zulfiqar A"}],"accessed":{"date-parts":[["2025",1,19]]},"issued":{"date-parts":[["2022",3,16]]}}}],"schema":"https://github.com/citation-style-language/schema/raw/master/csl-citation.json"} </w:instrText>
            </w:r>
            <w:r>
              <w:rPr>
                <w:rFonts w:ascii="Times New Roman" w:eastAsia="Calibri" w:hAnsi="Times New Roman" w:cs="Times New Roman"/>
                <w:sz w:val="16"/>
                <w:szCs w:val="16"/>
              </w:rPr>
              <w:fldChar w:fldCharType="separate"/>
            </w:r>
            <w:r>
              <w:rPr>
                <w:rFonts w:ascii="Times New Roman" w:eastAsia="Calibri" w:hAnsi="Times New Roman" w:cs="Times New Roman"/>
                <w:noProof/>
                <w:sz w:val="16"/>
                <w:szCs w:val="16"/>
              </w:rPr>
              <w:t>(33)</w:t>
            </w:r>
            <w:r>
              <w:rPr>
                <w:rFonts w:ascii="Times New Roman" w:eastAsia="Calibri" w:hAnsi="Times New Roman" w:cs="Times New Roman"/>
                <w:sz w:val="16"/>
                <w:szCs w:val="16"/>
              </w:rPr>
              <w:fldChar w:fldCharType="end"/>
            </w:r>
          </w:p>
        </w:tc>
        <w:tc>
          <w:tcPr>
            <w:tcW w:w="2286" w:type="dxa"/>
          </w:tcPr>
          <w:p w14:paraId="4E20925D"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To assess the effects of VAS for preventing morbidity and mortality in children aged six months to five years.</w:t>
            </w:r>
          </w:p>
        </w:tc>
        <w:tc>
          <w:tcPr>
            <w:tcW w:w="2423" w:type="dxa"/>
          </w:tcPr>
          <w:p w14:paraId="529BD69F" w14:textId="77777777" w:rsidR="004E7DD3" w:rsidRPr="00DD5980" w:rsidRDefault="004E7DD3" w:rsidP="000B6948">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19 countries</w:t>
            </w:r>
            <w:r>
              <w:rPr>
                <w:rFonts w:ascii="Times New Roman" w:eastAsia="Calibri" w:hAnsi="Times New Roman" w:cs="Times New Roman"/>
                <w:sz w:val="16"/>
                <w:szCs w:val="16"/>
              </w:rPr>
              <w:t xml:space="preserve"> in</w:t>
            </w:r>
            <w:r w:rsidRPr="00DD5980">
              <w:rPr>
                <w:rFonts w:ascii="Times New Roman" w:eastAsia="Calibri" w:hAnsi="Times New Roman" w:cs="Times New Roman"/>
                <w:sz w:val="16"/>
                <w:szCs w:val="16"/>
              </w:rPr>
              <w:t xml:space="preserve"> Asia (30 studies), Africa (8), Latin America (7), and Australia (2). N=47    </w:t>
            </w:r>
          </w:p>
          <w:p w14:paraId="3F856DA0"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p>
        </w:tc>
        <w:tc>
          <w:tcPr>
            <w:tcW w:w="1866" w:type="dxa"/>
          </w:tcPr>
          <w:p w14:paraId="7CCB611F"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Participants: children aged 6 months to 5 years </w:t>
            </w:r>
            <w:r w:rsidRPr="00DD5980">
              <w:rPr>
                <w:rFonts w:ascii="Times New Roman" w:eastAsia="Calibri" w:hAnsi="Times New Roman" w:cs="Times New Roman"/>
                <w:sz w:val="16"/>
                <w:szCs w:val="16"/>
              </w:rPr>
              <w:br/>
              <w:t xml:space="preserve">Sample size: 1,223,856 </w:t>
            </w:r>
          </w:p>
        </w:tc>
        <w:tc>
          <w:tcPr>
            <w:tcW w:w="1812" w:type="dxa"/>
          </w:tcPr>
          <w:p w14:paraId="2159E5D7"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VAS vs. Placebo or usual care</w:t>
            </w:r>
          </w:p>
        </w:tc>
        <w:tc>
          <w:tcPr>
            <w:tcW w:w="1823" w:type="dxa"/>
          </w:tcPr>
          <w:p w14:paraId="10D31B16"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Mortality</w:t>
            </w:r>
            <w:r>
              <w:rPr>
                <w:rFonts w:ascii="Times New Roman" w:eastAsia="Calibri" w:hAnsi="Times New Roman" w:cs="Times New Roman"/>
                <w:sz w:val="16"/>
                <w:szCs w:val="16"/>
              </w:rPr>
              <w:t>, m</w:t>
            </w:r>
            <w:r w:rsidRPr="00DD5980">
              <w:rPr>
                <w:rFonts w:ascii="Times New Roman" w:eastAsia="Calibri" w:hAnsi="Times New Roman" w:cs="Times New Roman"/>
                <w:sz w:val="16"/>
                <w:szCs w:val="16"/>
              </w:rPr>
              <w:t>orbidity</w:t>
            </w:r>
          </w:p>
        </w:tc>
        <w:tc>
          <w:tcPr>
            <w:tcW w:w="1187" w:type="dxa"/>
          </w:tcPr>
          <w:p w14:paraId="0DC2D464"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Yes-GRADE</w:t>
            </w:r>
          </w:p>
        </w:tc>
        <w:tc>
          <w:tcPr>
            <w:tcW w:w="1864" w:type="dxa"/>
          </w:tcPr>
          <w:p w14:paraId="065AB90D"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Random-effects models </w:t>
            </w:r>
            <w:r w:rsidRPr="00DD5980">
              <w:rPr>
                <w:rFonts w:ascii="Times New Roman" w:eastAsia="Calibri" w:hAnsi="Times New Roman" w:cs="Times New Roman"/>
                <w:sz w:val="16"/>
                <w:szCs w:val="16"/>
              </w:rPr>
              <w:br/>
            </w:r>
            <w:r w:rsidRPr="00DD5980">
              <w:rPr>
                <w:rFonts w:ascii="Times New Roman" w:eastAsia="Calibri" w:hAnsi="Times New Roman" w:cs="Times New Roman"/>
                <w:sz w:val="16"/>
                <w:szCs w:val="16"/>
              </w:rPr>
              <w:br/>
              <w:t xml:space="preserve"> </w:t>
            </w:r>
          </w:p>
        </w:tc>
      </w:tr>
      <w:tr w:rsidR="004E7DD3" w:rsidRPr="00DD5980" w14:paraId="4CDDEAC2" w14:textId="77777777" w:rsidTr="004E7D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9" w:type="dxa"/>
            <w:tcBorders>
              <w:top w:val="single" w:sz="4" w:space="0" w:color="auto"/>
              <w:left w:val="single" w:sz="4" w:space="0" w:color="auto"/>
              <w:bottom w:val="single" w:sz="4" w:space="0" w:color="auto"/>
            </w:tcBorders>
          </w:tcPr>
          <w:p w14:paraId="1DBDC3F7" w14:textId="77777777" w:rsidR="004E7DD3" w:rsidRPr="00DD5980" w:rsidRDefault="004E7DD3" w:rsidP="000B6948">
            <w:pPr>
              <w:spacing w:after="160" w:line="259" w:lineRule="auto"/>
              <w:jc w:val="left"/>
              <w:rPr>
                <w:rFonts w:ascii="Times New Roman" w:eastAsia="Calibri" w:hAnsi="Times New Roman" w:cs="Times New Roman"/>
                <w:sz w:val="16"/>
                <w:szCs w:val="16"/>
              </w:rPr>
            </w:pPr>
            <w:r w:rsidRPr="00DD5980">
              <w:rPr>
                <w:rFonts w:ascii="Times New Roman" w:eastAsia="Calibri" w:hAnsi="Times New Roman" w:cs="Times New Roman"/>
                <w:sz w:val="16"/>
                <w:szCs w:val="16"/>
              </w:rPr>
              <w:t>Imdad et al., 2023</w:t>
            </w:r>
            <w:r>
              <w:rPr>
                <w:rFonts w:ascii="Times New Roman" w:eastAsia="Calibri" w:hAnsi="Times New Roman" w:cs="Times New Roman"/>
                <w:sz w:val="16"/>
                <w:szCs w:val="16"/>
              </w:rPr>
              <w:t xml:space="preserve"> </w:t>
            </w:r>
            <w:r>
              <w:rPr>
                <w:rFonts w:ascii="Times New Roman" w:eastAsia="Calibri" w:hAnsi="Times New Roman" w:cs="Times New Roman"/>
                <w:sz w:val="16"/>
                <w:szCs w:val="16"/>
              </w:rPr>
              <w:fldChar w:fldCharType="begin"/>
            </w:r>
            <w:r>
              <w:rPr>
                <w:rFonts w:ascii="Times New Roman" w:eastAsia="Calibri" w:hAnsi="Times New Roman" w:cs="Times New Roman"/>
                <w:sz w:val="16"/>
                <w:szCs w:val="16"/>
              </w:rPr>
              <w:instrText xml:space="preserve"> ADDIN ZOTERO_ITEM CSL_CITATION {"citationID":"yhMSEQI9","properties":{"formattedCitation":"(36)","plainCitation":"(36)","noteIndex":0},"citationItems":[{"id":166,"uris":["http://zotero.org/users/13596477/items/9ZX2YDZB"],"itemData":{"id":166,"type":"article-journal","container-title":"Cochrane Database of Systematic Reviews","DOI":"10.1002/14651858.CD009384.pub3","ISSN":"14651858","issue":"3","language":"en","source":"DOI.org (Crossref)","title":"Zinc supplementation for preventing mortality, morbidity, and growth failure in children aged 6 months to 12 years","URL":"http://doi.wiley.com/10.1002/14651858.CD009384.pub3","volume":"2023","editor":[{"literal":"Cochrane Developmental, Psychosocial and Learning Problems Group"}],"author":[{"family":"Imdad","given":"Aamer"},{"family":"Rogner","given":"Jaimie"},{"family":"Sherwani","given":"Rida N"},{"family":"Sidhu","given":"Jasleen"},{"family":"Regan","given":"Allison"},{"family":"Haykal","given":"Maya R"},{"family":"Tsistinas","given":"Olivia"},{"family":"Smith","given":"Abigail"},{"family":"Chan","given":"Xin Hui S"},{"family":"Mayo-Wilson","given":"Evan"},{"family":"Bhutta","given":"Zulfiqar A"}],"accessed":{"date-parts":[["2025",1,19]]},"issued":{"date-parts":[["2023",3,30]]}}}],"schema":"https://github.com/citation-style-language/schema/raw/master/csl-citation.json"} </w:instrText>
            </w:r>
            <w:r>
              <w:rPr>
                <w:rFonts w:ascii="Times New Roman" w:eastAsia="Calibri" w:hAnsi="Times New Roman" w:cs="Times New Roman"/>
                <w:sz w:val="16"/>
                <w:szCs w:val="16"/>
              </w:rPr>
              <w:fldChar w:fldCharType="separate"/>
            </w:r>
            <w:r>
              <w:rPr>
                <w:rFonts w:ascii="Times New Roman" w:eastAsia="Calibri" w:hAnsi="Times New Roman" w:cs="Times New Roman"/>
                <w:noProof/>
                <w:sz w:val="16"/>
                <w:szCs w:val="16"/>
              </w:rPr>
              <w:t>(36)</w:t>
            </w:r>
            <w:r>
              <w:rPr>
                <w:rFonts w:ascii="Times New Roman" w:eastAsia="Calibri" w:hAnsi="Times New Roman" w:cs="Times New Roman"/>
                <w:sz w:val="16"/>
                <w:szCs w:val="16"/>
              </w:rPr>
              <w:fldChar w:fldCharType="end"/>
            </w:r>
          </w:p>
        </w:tc>
        <w:tc>
          <w:tcPr>
            <w:tcW w:w="2286" w:type="dxa"/>
          </w:tcPr>
          <w:p w14:paraId="14139CD2"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To assess the effects of zinc supplementation for preventing mortality and morbidity, and for promoting growth, in children aged 6 months</w:t>
            </w:r>
            <w:r w:rsidRPr="00DD5980">
              <w:rPr>
                <w:rFonts w:ascii="Times New Roman" w:eastAsia="Calibri" w:hAnsi="Times New Roman" w:cs="Times New Roman"/>
                <w:sz w:val="16"/>
                <w:szCs w:val="16"/>
              </w:rPr>
              <w:br/>
              <w:t>to 12 years.</w:t>
            </w:r>
          </w:p>
        </w:tc>
        <w:tc>
          <w:tcPr>
            <w:tcW w:w="2423" w:type="dxa"/>
          </w:tcPr>
          <w:p w14:paraId="4F73DFB5"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34 countries. </w:t>
            </w:r>
            <w:r>
              <w:rPr>
                <w:rFonts w:ascii="Times New Roman" w:eastAsia="Calibri" w:hAnsi="Times New Roman" w:cs="Times New Roman"/>
                <w:sz w:val="16"/>
                <w:szCs w:val="16"/>
              </w:rPr>
              <w:t>LMICs</w:t>
            </w:r>
            <w:r w:rsidRPr="00DD5980">
              <w:rPr>
                <w:rFonts w:ascii="Times New Roman" w:eastAsia="Calibri" w:hAnsi="Times New Roman" w:cs="Times New Roman"/>
                <w:sz w:val="16"/>
                <w:szCs w:val="16"/>
              </w:rPr>
              <w:t>: Asia</w:t>
            </w:r>
            <w:r>
              <w:rPr>
                <w:rFonts w:ascii="Times New Roman" w:eastAsia="Calibri" w:hAnsi="Times New Roman" w:cs="Times New Roman"/>
                <w:sz w:val="16"/>
                <w:szCs w:val="16"/>
              </w:rPr>
              <w:t xml:space="preserve"> (</w:t>
            </w:r>
            <w:r w:rsidRPr="00DD5980">
              <w:rPr>
                <w:rFonts w:ascii="Times New Roman" w:eastAsia="Calibri" w:hAnsi="Times New Roman" w:cs="Times New Roman"/>
                <w:sz w:val="16"/>
                <w:szCs w:val="16"/>
              </w:rPr>
              <w:t>47</w:t>
            </w:r>
            <w:r>
              <w:rPr>
                <w:rFonts w:ascii="Times New Roman" w:eastAsia="Calibri" w:hAnsi="Times New Roman" w:cs="Times New Roman"/>
                <w:sz w:val="16"/>
                <w:szCs w:val="16"/>
              </w:rPr>
              <w:t>)</w:t>
            </w:r>
            <w:r w:rsidRPr="00DD5980">
              <w:rPr>
                <w:rFonts w:ascii="Times New Roman" w:eastAsia="Calibri" w:hAnsi="Times New Roman" w:cs="Times New Roman"/>
                <w:sz w:val="16"/>
                <w:szCs w:val="16"/>
              </w:rPr>
              <w:t>, Latin America and the Caribbean</w:t>
            </w:r>
            <w:r>
              <w:rPr>
                <w:rFonts w:ascii="Times New Roman" w:eastAsia="Calibri" w:hAnsi="Times New Roman" w:cs="Times New Roman"/>
                <w:sz w:val="16"/>
                <w:szCs w:val="16"/>
              </w:rPr>
              <w:t xml:space="preserve"> (27)</w:t>
            </w:r>
            <w:r w:rsidRPr="00DD5980">
              <w:rPr>
                <w:rFonts w:ascii="Times New Roman" w:eastAsia="Calibri" w:hAnsi="Times New Roman" w:cs="Times New Roman"/>
                <w:sz w:val="16"/>
                <w:szCs w:val="16"/>
              </w:rPr>
              <w:t xml:space="preserve">, </w:t>
            </w:r>
            <w:r>
              <w:rPr>
                <w:rFonts w:ascii="Times New Roman" w:eastAsia="Calibri" w:hAnsi="Times New Roman" w:cs="Times New Roman"/>
                <w:sz w:val="16"/>
                <w:szCs w:val="16"/>
              </w:rPr>
              <w:t>S</w:t>
            </w:r>
            <w:r w:rsidRPr="00DD5980">
              <w:rPr>
                <w:rFonts w:ascii="Times New Roman" w:eastAsia="Calibri" w:hAnsi="Times New Roman" w:cs="Times New Roman"/>
                <w:sz w:val="16"/>
                <w:szCs w:val="16"/>
              </w:rPr>
              <w:t>ub-Saharan Africa</w:t>
            </w:r>
            <w:r>
              <w:rPr>
                <w:rFonts w:ascii="Times New Roman" w:eastAsia="Calibri" w:hAnsi="Times New Roman" w:cs="Times New Roman"/>
                <w:sz w:val="16"/>
                <w:szCs w:val="16"/>
              </w:rPr>
              <w:t xml:space="preserve"> (</w:t>
            </w:r>
            <w:r w:rsidRPr="00DD5980">
              <w:rPr>
                <w:rFonts w:ascii="Times New Roman" w:eastAsia="Calibri" w:hAnsi="Times New Roman" w:cs="Times New Roman"/>
                <w:sz w:val="16"/>
                <w:szCs w:val="16"/>
              </w:rPr>
              <w:t>12</w:t>
            </w:r>
            <w:r>
              <w:rPr>
                <w:rFonts w:ascii="Times New Roman" w:eastAsia="Calibri" w:hAnsi="Times New Roman" w:cs="Times New Roman"/>
                <w:sz w:val="16"/>
                <w:szCs w:val="16"/>
              </w:rPr>
              <w:t>)</w:t>
            </w:r>
            <w:r w:rsidRPr="00DD5980">
              <w:rPr>
                <w:rFonts w:ascii="Times New Roman" w:eastAsia="Calibri" w:hAnsi="Times New Roman" w:cs="Times New Roman"/>
                <w:sz w:val="16"/>
                <w:szCs w:val="16"/>
              </w:rPr>
              <w:t>, North Africa</w:t>
            </w:r>
            <w:r>
              <w:rPr>
                <w:rFonts w:ascii="Times New Roman" w:eastAsia="Calibri" w:hAnsi="Times New Roman" w:cs="Times New Roman"/>
                <w:sz w:val="16"/>
                <w:szCs w:val="16"/>
              </w:rPr>
              <w:t xml:space="preserve"> (1), </w:t>
            </w:r>
            <w:r w:rsidRPr="00DD5980">
              <w:rPr>
                <w:rFonts w:ascii="Times New Roman" w:eastAsia="Calibri" w:hAnsi="Times New Roman" w:cs="Times New Roman"/>
                <w:sz w:val="16"/>
                <w:szCs w:val="16"/>
              </w:rPr>
              <w:t>North America or Europe</w:t>
            </w:r>
            <w:r>
              <w:rPr>
                <w:rFonts w:ascii="Times New Roman" w:eastAsia="Calibri" w:hAnsi="Times New Roman" w:cs="Times New Roman"/>
                <w:sz w:val="16"/>
                <w:szCs w:val="16"/>
              </w:rPr>
              <w:t xml:space="preserve"> (</w:t>
            </w:r>
            <w:r w:rsidRPr="00DD5980">
              <w:rPr>
                <w:rFonts w:ascii="Times New Roman" w:eastAsia="Calibri" w:hAnsi="Times New Roman" w:cs="Times New Roman"/>
                <w:sz w:val="16"/>
                <w:szCs w:val="16"/>
              </w:rPr>
              <w:t>9</w:t>
            </w:r>
            <w:r>
              <w:rPr>
                <w:rFonts w:ascii="Times New Roman" w:eastAsia="Calibri" w:hAnsi="Times New Roman" w:cs="Times New Roman"/>
                <w:sz w:val="16"/>
                <w:szCs w:val="16"/>
              </w:rPr>
              <w:t>)</w:t>
            </w:r>
            <w:r w:rsidRPr="00DD5980">
              <w:rPr>
                <w:rFonts w:ascii="Times New Roman" w:eastAsia="Calibri" w:hAnsi="Times New Roman" w:cs="Times New Roman"/>
                <w:sz w:val="16"/>
                <w:szCs w:val="16"/>
              </w:rPr>
              <w:t>. N=96</w:t>
            </w:r>
          </w:p>
        </w:tc>
        <w:tc>
          <w:tcPr>
            <w:tcW w:w="1866" w:type="dxa"/>
          </w:tcPr>
          <w:p w14:paraId="2B59FE2B"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Participants: children 6 months to 12 years of age</w:t>
            </w:r>
            <w:r w:rsidRPr="00DD5980">
              <w:rPr>
                <w:rFonts w:ascii="Times New Roman" w:eastAsia="Calibri" w:hAnsi="Times New Roman" w:cs="Times New Roman"/>
                <w:sz w:val="16"/>
                <w:szCs w:val="16"/>
              </w:rPr>
              <w:br/>
              <w:t xml:space="preserve">Sample size: 219,584 </w:t>
            </w:r>
          </w:p>
        </w:tc>
        <w:tc>
          <w:tcPr>
            <w:tcW w:w="1812" w:type="dxa"/>
          </w:tcPr>
          <w:p w14:paraId="3678822D"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Preventive zinc supplementation vs. </w:t>
            </w:r>
            <w:r>
              <w:rPr>
                <w:rFonts w:ascii="Times New Roman" w:eastAsia="Calibri" w:hAnsi="Times New Roman" w:cs="Times New Roman"/>
                <w:sz w:val="16"/>
                <w:szCs w:val="16"/>
              </w:rPr>
              <w:t>N</w:t>
            </w:r>
            <w:r w:rsidRPr="00DD5980">
              <w:rPr>
                <w:rFonts w:ascii="Times New Roman" w:eastAsia="Calibri" w:hAnsi="Times New Roman" w:cs="Times New Roman"/>
                <w:sz w:val="16"/>
                <w:szCs w:val="16"/>
              </w:rPr>
              <w:t>o</w:t>
            </w:r>
            <w:r w:rsidRPr="00DD5980">
              <w:rPr>
                <w:rFonts w:ascii="Times New Roman" w:eastAsia="Calibri" w:hAnsi="Times New Roman" w:cs="Times New Roman"/>
                <w:sz w:val="16"/>
                <w:szCs w:val="16"/>
              </w:rPr>
              <w:br/>
              <w:t>intervention</w:t>
            </w:r>
            <w:r>
              <w:rPr>
                <w:rFonts w:ascii="Times New Roman" w:eastAsia="Calibri" w:hAnsi="Times New Roman" w:cs="Times New Roman"/>
                <w:sz w:val="16"/>
                <w:szCs w:val="16"/>
              </w:rPr>
              <w:t>/P</w:t>
            </w:r>
            <w:r w:rsidRPr="00DD5980">
              <w:rPr>
                <w:rFonts w:ascii="Times New Roman" w:eastAsia="Calibri" w:hAnsi="Times New Roman" w:cs="Times New Roman"/>
                <w:sz w:val="16"/>
                <w:szCs w:val="16"/>
              </w:rPr>
              <w:t>lacebo</w:t>
            </w:r>
          </w:p>
        </w:tc>
        <w:tc>
          <w:tcPr>
            <w:tcW w:w="1823" w:type="dxa"/>
          </w:tcPr>
          <w:p w14:paraId="4826C7EC"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Stunting, </w:t>
            </w:r>
            <w:r>
              <w:rPr>
                <w:rFonts w:ascii="Times New Roman" w:eastAsia="Calibri" w:hAnsi="Times New Roman" w:cs="Times New Roman"/>
                <w:sz w:val="16"/>
                <w:szCs w:val="16"/>
              </w:rPr>
              <w:t>a</w:t>
            </w:r>
            <w:r w:rsidRPr="00DD5980">
              <w:rPr>
                <w:rFonts w:ascii="Times New Roman" w:eastAsia="Calibri" w:hAnsi="Times New Roman" w:cs="Times New Roman"/>
                <w:sz w:val="16"/>
                <w:szCs w:val="16"/>
              </w:rPr>
              <w:t>nemia</w:t>
            </w:r>
            <w:r>
              <w:rPr>
                <w:rFonts w:ascii="Times New Roman" w:eastAsia="Calibri" w:hAnsi="Times New Roman" w:cs="Times New Roman"/>
                <w:sz w:val="16"/>
                <w:szCs w:val="16"/>
              </w:rPr>
              <w:t>, a</w:t>
            </w:r>
            <w:r w:rsidRPr="00DD5980">
              <w:rPr>
                <w:rFonts w:ascii="Times New Roman" w:eastAsia="Calibri" w:hAnsi="Times New Roman" w:cs="Times New Roman"/>
                <w:sz w:val="16"/>
                <w:szCs w:val="16"/>
              </w:rPr>
              <w:t>ll-cause mortality,</w:t>
            </w:r>
            <w:r>
              <w:rPr>
                <w:rFonts w:ascii="Times New Roman" w:eastAsia="Calibri" w:hAnsi="Times New Roman" w:cs="Times New Roman"/>
                <w:sz w:val="16"/>
                <w:szCs w:val="16"/>
              </w:rPr>
              <w:t xml:space="preserve"> morbidities (d</w:t>
            </w:r>
            <w:r w:rsidRPr="00DD5980">
              <w:rPr>
                <w:rFonts w:ascii="Times New Roman" w:eastAsia="Calibri" w:hAnsi="Times New Roman" w:cs="Times New Roman"/>
                <w:sz w:val="16"/>
                <w:szCs w:val="16"/>
              </w:rPr>
              <w:t>iarrhea</w:t>
            </w:r>
            <w:r>
              <w:rPr>
                <w:rFonts w:ascii="Times New Roman" w:eastAsia="Calibri" w:hAnsi="Times New Roman" w:cs="Times New Roman"/>
                <w:sz w:val="16"/>
                <w:szCs w:val="16"/>
              </w:rPr>
              <w:t>, l</w:t>
            </w:r>
            <w:r w:rsidRPr="00DD5980">
              <w:rPr>
                <w:rFonts w:ascii="Times New Roman" w:eastAsia="Calibri" w:hAnsi="Times New Roman" w:cs="Times New Roman"/>
                <w:sz w:val="16"/>
                <w:szCs w:val="16"/>
              </w:rPr>
              <w:t xml:space="preserve">ower respiratory infection) </w:t>
            </w:r>
          </w:p>
        </w:tc>
        <w:tc>
          <w:tcPr>
            <w:tcW w:w="1187" w:type="dxa"/>
          </w:tcPr>
          <w:p w14:paraId="12D07ED4"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Yes-GRADE</w:t>
            </w:r>
          </w:p>
        </w:tc>
        <w:tc>
          <w:tcPr>
            <w:tcW w:w="1864" w:type="dxa"/>
          </w:tcPr>
          <w:p w14:paraId="639E598A"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Pr>
                <w:rFonts w:ascii="Times New Roman" w:eastAsia="Calibri" w:hAnsi="Times New Roman" w:cs="Times New Roman"/>
                <w:sz w:val="16"/>
                <w:szCs w:val="16"/>
              </w:rPr>
              <w:t>R</w:t>
            </w:r>
            <w:r w:rsidRPr="00DD5980">
              <w:rPr>
                <w:rFonts w:ascii="Times New Roman" w:eastAsia="Calibri" w:hAnsi="Times New Roman" w:cs="Times New Roman"/>
                <w:sz w:val="16"/>
                <w:szCs w:val="16"/>
              </w:rPr>
              <w:t xml:space="preserve">andom-effects models </w:t>
            </w:r>
          </w:p>
        </w:tc>
      </w:tr>
      <w:tr w:rsidR="004E7DD3" w:rsidRPr="00DD5980" w14:paraId="224A8E0C" w14:textId="77777777" w:rsidTr="000B6948">
        <w:tc>
          <w:tcPr>
            <w:cnfStyle w:val="001000000000" w:firstRow="0" w:lastRow="0" w:firstColumn="1" w:lastColumn="0" w:oddVBand="0" w:evenVBand="0" w:oddHBand="0" w:evenHBand="0" w:firstRowFirstColumn="0" w:firstRowLastColumn="0" w:lastRowFirstColumn="0" w:lastRowLastColumn="0"/>
            <w:tcW w:w="1319" w:type="dxa"/>
            <w:tcBorders>
              <w:top w:val="none" w:sz="0" w:space="0" w:color="auto"/>
              <w:left w:val="none" w:sz="0" w:space="0" w:color="auto"/>
              <w:bottom w:val="none" w:sz="0" w:space="0" w:color="auto"/>
            </w:tcBorders>
          </w:tcPr>
          <w:p w14:paraId="7883F654" w14:textId="77777777" w:rsidR="004E7DD3" w:rsidRPr="00DD5980" w:rsidRDefault="004E7DD3" w:rsidP="000B6948">
            <w:pPr>
              <w:spacing w:after="160" w:line="259" w:lineRule="auto"/>
              <w:jc w:val="left"/>
              <w:rPr>
                <w:rFonts w:ascii="Times New Roman" w:eastAsia="Calibri" w:hAnsi="Times New Roman" w:cs="Times New Roman"/>
                <w:sz w:val="16"/>
                <w:szCs w:val="16"/>
              </w:rPr>
            </w:pPr>
            <w:r w:rsidRPr="00DD5980">
              <w:rPr>
                <w:rFonts w:ascii="Times New Roman" w:eastAsia="Calibri" w:hAnsi="Times New Roman" w:cs="Times New Roman"/>
                <w:sz w:val="16"/>
                <w:szCs w:val="16"/>
              </w:rPr>
              <w:lastRenderedPageBreak/>
              <w:t>Jasani et al., 2021</w:t>
            </w:r>
            <w:r>
              <w:rPr>
                <w:rFonts w:ascii="Times New Roman" w:eastAsia="Calibri" w:hAnsi="Times New Roman" w:cs="Times New Roman"/>
                <w:sz w:val="16"/>
                <w:szCs w:val="16"/>
              </w:rPr>
              <w:t xml:space="preserve"> </w:t>
            </w:r>
            <w:r>
              <w:rPr>
                <w:rFonts w:ascii="Times New Roman" w:eastAsia="Calibri" w:hAnsi="Times New Roman" w:cs="Times New Roman"/>
                <w:sz w:val="16"/>
                <w:szCs w:val="16"/>
              </w:rPr>
              <w:fldChar w:fldCharType="begin"/>
            </w:r>
            <w:r>
              <w:rPr>
                <w:rFonts w:ascii="Times New Roman" w:eastAsia="Calibri" w:hAnsi="Times New Roman" w:cs="Times New Roman"/>
                <w:sz w:val="16"/>
                <w:szCs w:val="16"/>
              </w:rPr>
              <w:instrText xml:space="preserve"> ADDIN ZOTERO_ITEM CSL_CITATION {"citationID":"hG0TdRSh","properties":{"formattedCitation":"(52)","plainCitation":"(52)","noteIndex":0},"citationItems":[{"id":254,"uris":["http://zotero.org/users/13596477/items/LAW2Q6MR"],"itemData":{"id":254,"type":"article-journal","container-title":"JAMA Pediatrics","DOI":"10.1001/jamapediatrics.2021.0102","ISSN":"2168-6203","issue":"4","journalAbbreviation":"JAMA Pediatr","language":"en","page":"e210102","source":"DOI.org (Crossref)","title":"Association of Umbilical Cord Management Strategies With Outcomes of Preterm Infants: A Systematic Review and Network Meta-analysis","title-short":"Association of Umbilical Cord Management Strategies With Outcomes of Preterm Infants","volume":"175","author":[{"family":"Jasani","given":"Bonny"},{"family":"Torgalkar","given":"Ranjit"},{"family":"Ye","given":"Xiang Y."},{"family":"Syed","given":"Sulaiman"},{"family":"Shah","given":"Prakesh S."}],"issued":{"date-parts":[["2021",4,5]]}}}],"schema":"https://github.com/citation-style-language/schema/raw/master/csl-citation.json"} </w:instrText>
            </w:r>
            <w:r>
              <w:rPr>
                <w:rFonts w:ascii="Times New Roman" w:eastAsia="Calibri" w:hAnsi="Times New Roman" w:cs="Times New Roman"/>
                <w:sz w:val="16"/>
                <w:szCs w:val="16"/>
              </w:rPr>
              <w:fldChar w:fldCharType="separate"/>
            </w:r>
            <w:r>
              <w:rPr>
                <w:rFonts w:ascii="Times New Roman" w:eastAsia="Calibri" w:hAnsi="Times New Roman" w:cs="Times New Roman"/>
                <w:noProof/>
                <w:sz w:val="16"/>
                <w:szCs w:val="16"/>
              </w:rPr>
              <w:t>(52)</w:t>
            </w:r>
            <w:r>
              <w:rPr>
                <w:rFonts w:ascii="Times New Roman" w:eastAsia="Calibri" w:hAnsi="Times New Roman" w:cs="Times New Roman"/>
                <w:sz w:val="16"/>
                <w:szCs w:val="16"/>
              </w:rPr>
              <w:fldChar w:fldCharType="end"/>
            </w:r>
          </w:p>
        </w:tc>
        <w:tc>
          <w:tcPr>
            <w:tcW w:w="2286" w:type="dxa"/>
          </w:tcPr>
          <w:p w14:paraId="798DFD42"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To review and compare </w:t>
            </w:r>
            <w:r>
              <w:rPr>
                <w:rFonts w:ascii="Times New Roman" w:eastAsia="Calibri" w:hAnsi="Times New Roman" w:cs="Times New Roman"/>
                <w:sz w:val="16"/>
                <w:szCs w:val="16"/>
              </w:rPr>
              <w:t xml:space="preserve">different </w:t>
            </w:r>
            <w:r w:rsidRPr="00DD5980">
              <w:rPr>
                <w:rFonts w:ascii="Times New Roman" w:eastAsia="Calibri" w:hAnsi="Times New Roman" w:cs="Times New Roman"/>
                <w:sz w:val="16"/>
                <w:szCs w:val="16"/>
              </w:rPr>
              <w:t>umbilical cord management strategies for preterm infants</w:t>
            </w:r>
          </w:p>
        </w:tc>
        <w:tc>
          <w:tcPr>
            <w:tcW w:w="2423" w:type="dxa"/>
          </w:tcPr>
          <w:p w14:paraId="5739B9D9"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Not available.  N=56</w:t>
            </w:r>
          </w:p>
        </w:tc>
        <w:tc>
          <w:tcPr>
            <w:tcW w:w="1866" w:type="dxa"/>
          </w:tcPr>
          <w:p w14:paraId="5C9B90D3"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Participants: Preterm infants</w:t>
            </w:r>
          </w:p>
          <w:p w14:paraId="570FC412"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Sample size: 6852</w:t>
            </w:r>
          </w:p>
        </w:tc>
        <w:tc>
          <w:tcPr>
            <w:tcW w:w="1812" w:type="dxa"/>
          </w:tcPr>
          <w:p w14:paraId="12E1C314"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Delayed vs. Immediate or Early Clamping</w:t>
            </w:r>
          </w:p>
        </w:tc>
        <w:tc>
          <w:tcPr>
            <w:tcW w:w="1823" w:type="dxa"/>
          </w:tcPr>
          <w:p w14:paraId="7A059640"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Mortality</w:t>
            </w:r>
          </w:p>
        </w:tc>
        <w:tc>
          <w:tcPr>
            <w:tcW w:w="1187" w:type="dxa"/>
          </w:tcPr>
          <w:p w14:paraId="43621A19"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 Yes - </w:t>
            </w:r>
            <w:proofErr w:type="spellStart"/>
            <w:r w:rsidRPr="00DD5980">
              <w:rPr>
                <w:rFonts w:ascii="Times New Roman" w:eastAsia="Calibri" w:hAnsi="Times New Roman" w:cs="Times New Roman"/>
                <w:sz w:val="16"/>
                <w:szCs w:val="16"/>
              </w:rPr>
              <w:t>CINeMA</w:t>
            </w:r>
            <w:proofErr w:type="spellEnd"/>
            <w:r w:rsidRPr="00DD5980">
              <w:rPr>
                <w:rFonts w:ascii="Times New Roman" w:eastAsia="Calibri" w:hAnsi="Times New Roman" w:cs="Times New Roman"/>
                <w:sz w:val="16"/>
                <w:szCs w:val="16"/>
              </w:rPr>
              <w:br/>
            </w:r>
          </w:p>
        </w:tc>
        <w:tc>
          <w:tcPr>
            <w:tcW w:w="1864" w:type="dxa"/>
          </w:tcPr>
          <w:p w14:paraId="25900CDF"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Network meta-analysis.</w:t>
            </w:r>
          </w:p>
        </w:tc>
      </w:tr>
      <w:tr w:rsidR="004E7DD3" w:rsidRPr="00DD5980" w14:paraId="7123EA64" w14:textId="77777777" w:rsidTr="004E7D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9" w:type="dxa"/>
            <w:tcBorders>
              <w:top w:val="single" w:sz="4" w:space="0" w:color="auto"/>
              <w:left w:val="single" w:sz="4" w:space="0" w:color="auto"/>
              <w:bottom w:val="single" w:sz="4" w:space="0" w:color="auto"/>
            </w:tcBorders>
          </w:tcPr>
          <w:p w14:paraId="21381D55" w14:textId="77777777" w:rsidR="004E7DD3" w:rsidRPr="00DD5980" w:rsidRDefault="004E7DD3" w:rsidP="000B6948">
            <w:pPr>
              <w:spacing w:after="160" w:line="259" w:lineRule="auto"/>
              <w:jc w:val="left"/>
              <w:rPr>
                <w:rFonts w:ascii="Times New Roman" w:eastAsia="Calibri" w:hAnsi="Times New Roman" w:cs="Times New Roman"/>
                <w:sz w:val="16"/>
                <w:szCs w:val="16"/>
              </w:rPr>
            </w:pPr>
            <w:r w:rsidRPr="00DD5980">
              <w:rPr>
                <w:rFonts w:ascii="Times New Roman" w:eastAsia="Calibri" w:hAnsi="Times New Roman" w:cs="Times New Roman"/>
                <w:sz w:val="16"/>
                <w:szCs w:val="16"/>
              </w:rPr>
              <w:t>Keats et al., 2019</w:t>
            </w:r>
            <w:r>
              <w:rPr>
                <w:rFonts w:ascii="Times New Roman" w:eastAsia="Calibri" w:hAnsi="Times New Roman" w:cs="Times New Roman"/>
                <w:sz w:val="16"/>
                <w:szCs w:val="16"/>
              </w:rPr>
              <w:t xml:space="preserve"> </w:t>
            </w:r>
            <w:r>
              <w:rPr>
                <w:rFonts w:ascii="Times New Roman" w:eastAsia="Calibri" w:hAnsi="Times New Roman" w:cs="Times New Roman"/>
                <w:sz w:val="16"/>
                <w:szCs w:val="16"/>
              </w:rPr>
              <w:fldChar w:fldCharType="begin"/>
            </w:r>
            <w:r>
              <w:rPr>
                <w:rFonts w:ascii="Times New Roman" w:eastAsia="Calibri" w:hAnsi="Times New Roman" w:cs="Times New Roman"/>
                <w:sz w:val="16"/>
                <w:szCs w:val="16"/>
              </w:rPr>
              <w:instrText xml:space="preserve"> ADDIN ZOTERO_ITEM CSL_CITATION {"citationID":"GqPpg2Ug","properties":{"formattedCitation":"(18)","plainCitation":"(18)","noteIndex":0},"citationItems":[{"id":203,"uris":["http://zotero.org/users/13596477/items/69N7X86L"],"itemData":{"id":203,"type":"article-journal","container-title":"Cochrane Database of Systematic Reviews","DOI":"10.1002/14651858.CD004905.pub6","ISSN":"14651858","language":"en","source":"DOI.org (Crossref)","title":"Multiple-micronutrient supplementation for women during pregnancy","URL":"https://doi.wiley.com/10.1002/14651858.CD004905.pub6","author":[{"family":"Keats","given":"Emily C"},{"family":"Haider","given":"Batool A"},{"family":"Tam","given":"Emily"},{"family":"Bhutta","given":"Zulfiqar A"}],"editor":[{"literal":"Cochrane Pregnancy and Childbirth Group"}],"accessed":{"date-parts":[["2025",1,19]]},"issued":{"date-parts":[["2019",3,15]]}}}],"schema":"https://github.com/citation-style-language/schema/raw/master/csl-citation.json"} </w:instrText>
            </w:r>
            <w:r>
              <w:rPr>
                <w:rFonts w:ascii="Times New Roman" w:eastAsia="Calibri" w:hAnsi="Times New Roman" w:cs="Times New Roman"/>
                <w:sz w:val="16"/>
                <w:szCs w:val="16"/>
              </w:rPr>
              <w:fldChar w:fldCharType="separate"/>
            </w:r>
            <w:r>
              <w:rPr>
                <w:rFonts w:ascii="Times New Roman" w:eastAsia="Calibri" w:hAnsi="Times New Roman" w:cs="Times New Roman"/>
                <w:noProof/>
                <w:sz w:val="16"/>
                <w:szCs w:val="16"/>
              </w:rPr>
              <w:t>(18)</w:t>
            </w:r>
            <w:r>
              <w:rPr>
                <w:rFonts w:ascii="Times New Roman" w:eastAsia="Calibri" w:hAnsi="Times New Roman" w:cs="Times New Roman"/>
                <w:sz w:val="16"/>
                <w:szCs w:val="16"/>
              </w:rPr>
              <w:fldChar w:fldCharType="end"/>
            </w:r>
          </w:p>
        </w:tc>
        <w:tc>
          <w:tcPr>
            <w:tcW w:w="2286" w:type="dxa"/>
          </w:tcPr>
          <w:p w14:paraId="00C9F77C"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To evaluate the benefits of oral multiple-micronutrient supplementation during pregnancy on maternal, fetal and infant health outcomes.</w:t>
            </w:r>
          </w:p>
        </w:tc>
        <w:tc>
          <w:tcPr>
            <w:tcW w:w="2423" w:type="dxa"/>
          </w:tcPr>
          <w:p w14:paraId="5F280CF6"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 </w:t>
            </w:r>
            <w:r w:rsidRPr="00FA1EC2">
              <w:rPr>
                <w:rFonts w:ascii="Times New Roman" w:eastAsia="Calibri" w:hAnsi="Times New Roman" w:cs="Times New Roman"/>
                <w:sz w:val="16"/>
                <w:szCs w:val="16"/>
                <w:lang w:val="es-MX"/>
              </w:rPr>
              <w:t xml:space="preserve">Nepal (2), China (2), Indonesia (2), Bangladesh (2), UK (1), Ghana (1), Vietnam (1), Malawi (1), Pakistan (1), Tanzania (1), Zimbabwe (1), Guinea-Bissau (1), Gambia (1), Mexico (1), Burkina Faso (1), India (1), Niger (1). </w:t>
            </w:r>
            <w:r w:rsidRPr="00DD5980">
              <w:rPr>
                <w:rFonts w:ascii="Times New Roman" w:eastAsia="Calibri" w:hAnsi="Times New Roman" w:cs="Times New Roman"/>
                <w:sz w:val="16"/>
                <w:szCs w:val="16"/>
              </w:rPr>
              <w:t>N=19</w:t>
            </w:r>
          </w:p>
        </w:tc>
        <w:tc>
          <w:tcPr>
            <w:tcW w:w="1866" w:type="dxa"/>
          </w:tcPr>
          <w:p w14:paraId="1E862D0F"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Participants: women at various gestational stages</w:t>
            </w:r>
            <w:r w:rsidRPr="00DD5980">
              <w:rPr>
                <w:rFonts w:ascii="Times New Roman" w:eastAsia="Calibri" w:hAnsi="Times New Roman" w:cs="Times New Roman"/>
                <w:sz w:val="16"/>
                <w:szCs w:val="16"/>
              </w:rPr>
              <w:br/>
              <w:t xml:space="preserve">Sample size: 141,849 </w:t>
            </w:r>
          </w:p>
        </w:tc>
        <w:tc>
          <w:tcPr>
            <w:tcW w:w="1812" w:type="dxa"/>
          </w:tcPr>
          <w:p w14:paraId="1C7B68C6" w14:textId="77777777" w:rsidR="004E7DD3"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MMN vs</w:t>
            </w:r>
            <w:r>
              <w:rPr>
                <w:rFonts w:ascii="Times New Roman" w:eastAsia="Calibri" w:hAnsi="Times New Roman" w:cs="Times New Roman"/>
                <w:sz w:val="16"/>
                <w:szCs w:val="16"/>
              </w:rPr>
              <w:t>.</w:t>
            </w:r>
            <w:r w:rsidRPr="00DD5980">
              <w:rPr>
                <w:rFonts w:ascii="Times New Roman" w:eastAsia="Calibri" w:hAnsi="Times New Roman" w:cs="Times New Roman"/>
                <w:sz w:val="16"/>
                <w:szCs w:val="16"/>
              </w:rPr>
              <w:t xml:space="preserve"> control</w:t>
            </w:r>
          </w:p>
          <w:p w14:paraId="456F42FB"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MMS vs. I/IFA</w:t>
            </w:r>
          </w:p>
        </w:tc>
        <w:tc>
          <w:tcPr>
            <w:tcW w:w="1823" w:type="dxa"/>
          </w:tcPr>
          <w:p w14:paraId="586962DC"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Maternal anemia, LBW, SGA, </w:t>
            </w:r>
            <w:r>
              <w:rPr>
                <w:rFonts w:ascii="Times New Roman" w:eastAsia="Calibri" w:hAnsi="Times New Roman" w:cs="Times New Roman"/>
                <w:sz w:val="16"/>
                <w:szCs w:val="16"/>
              </w:rPr>
              <w:t>p</w:t>
            </w:r>
            <w:r w:rsidRPr="00DD5980">
              <w:rPr>
                <w:rFonts w:ascii="Times New Roman" w:eastAsia="Calibri" w:hAnsi="Times New Roman" w:cs="Times New Roman"/>
                <w:sz w:val="16"/>
                <w:szCs w:val="16"/>
              </w:rPr>
              <w:t xml:space="preserve">reterm birth, </w:t>
            </w:r>
            <w:r>
              <w:rPr>
                <w:rFonts w:ascii="Times New Roman" w:eastAsia="Calibri" w:hAnsi="Times New Roman" w:cs="Times New Roman"/>
                <w:sz w:val="16"/>
                <w:szCs w:val="16"/>
              </w:rPr>
              <w:t>s</w:t>
            </w:r>
            <w:r w:rsidRPr="00DD5980">
              <w:rPr>
                <w:rFonts w:ascii="Times New Roman" w:eastAsia="Calibri" w:hAnsi="Times New Roman" w:cs="Times New Roman"/>
                <w:sz w:val="16"/>
                <w:szCs w:val="16"/>
              </w:rPr>
              <w:t>tillbirth</w:t>
            </w:r>
            <w:r>
              <w:rPr>
                <w:rFonts w:ascii="Times New Roman" w:eastAsia="Calibri" w:hAnsi="Times New Roman" w:cs="Times New Roman"/>
                <w:sz w:val="16"/>
                <w:szCs w:val="16"/>
              </w:rPr>
              <w:t>, maternal m</w:t>
            </w:r>
            <w:r w:rsidRPr="00DD5980">
              <w:rPr>
                <w:rFonts w:ascii="Times New Roman" w:eastAsia="Calibri" w:hAnsi="Times New Roman" w:cs="Times New Roman"/>
                <w:sz w:val="16"/>
                <w:szCs w:val="16"/>
              </w:rPr>
              <w:t>ortality</w:t>
            </w:r>
          </w:p>
        </w:tc>
        <w:tc>
          <w:tcPr>
            <w:tcW w:w="1187" w:type="dxa"/>
          </w:tcPr>
          <w:p w14:paraId="5E027D4B"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Yes-GRADE; Cochrane Risk of Bias tool</w:t>
            </w:r>
          </w:p>
        </w:tc>
        <w:tc>
          <w:tcPr>
            <w:tcW w:w="1864" w:type="dxa"/>
          </w:tcPr>
          <w:p w14:paraId="208D8B40"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Random-effects meta-analysis </w:t>
            </w:r>
          </w:p>
        </w:tc>
      </w:tr>
      <w:tr w:rsidR="004E7DD3" w:rsidRPr="00DD5980" w14:paraId="5041BED7" w14:textId="77777777" w:rsidTr="000B6948">
        <w:tc>
          <w:tcPr>
            <w:cnfStyle w:val="001000000000" w:firstRow="0" w:lastRow="0" w:firstColumn="1" w:lastColumn="0" w:oddVBand="0" w:evenVBand="0" w:oddHBand="0" w:evenHBand="0" w:firstRowFirstColumn="0" w:firstRowLastColumn="0" w:lastRowFirstColumn="0" w:lastRowLastColumn="0"/>
            <w:tcW w:w="1319" w:type="dxa"/>
            <w:tcBorders>
              <w:top w:val="none" w:sz="0" w:space="0" w:color="auto"/>
              <w:left w:val="none" w:sz="0" w:space="0" w:color="auto"/>
              <w:bottom w:val="none" w:sz="0" w:space="0" w:color="auto"/>
            </w:tcBorders>
          </w:tcPr>
          <w:p w14:paraId="09E3FDDC" w14:textId="77777777" w:rsidR="004E7DD3" w:rsidRPr="00DD5980" w:rsidRDefault="004E7DD3" w:rsidP="000B6948">
            <w:pPr>
              <w:spacing w:after="160" w:line="259" w:lineRule="auto"/>
              <w:jc w:val="left"/>
              <w:rPr>
                <w:rFonts w:ascii="Times New Roman" w:eastAsia="Calibri" w:hAnsi="Times New Roman" w:cs="Times New Roman"/>
                <w:sz w:val="16"/>
                <w:szCs w:val="16"/>
              </w:rPr>
            </w:pPr>
            <w:r w:rsidRPr="00DD5980">
              <w:rPr>
                <w:rFonts w:ascii="Times New Roman" w:eastAsia="Calibri" w:hAnsi="Times New Roman" w:cs="Times New Roman"/>
                <w:sz w:val="16"/>
                <w:szCs w:val="16"/>
              </w:rPr>
              <w:t>Keats et al., 2021</w:t>
            </w:r>
            <w:r>
              <w:rPr>
                <w:rFonts w:ascii="Times New Roman" w:eastAsia="Calibri" w:hAnsi="Times New Roman" w:cs="Times New Roman"/>
                <w:sz w:val="16"/>
                <w:szCs w:val="16"/>
              </w:rPr>
              <w:t xml:space="preserve"> </w:t>
            </w:r>
            <w:r>
              <w:rPr>
                <w:rFonts w:ascii="Times New Roman" w:eastAsia="Calibri" w:hAnsi="Times New Roman" w:cs="Times New Roman"/>
                <w:sz w:val="16"/>
                <w:szCs w:val="16"/>
              </w:rPr>
              <w:fldChar w:fldCharType="begin"/>
            </w:r>
            <w:r>
              <w:rPr>
                <w:rFonts w:ascii="Times New Roman" w:eastAsia="Calibri" w:hAnsi="Times New Roman" w:cs="Times New Roman"/>
                <w:sz w:val="16"/>
                <w:szCs w:val="16"/>
              </w:rPr>
              <w:instrText xml:space="preserve"> ADDIN ZOTERO_ITEM CSL_CITATION {"citationID":"Ve1QgIQ4","properties":{"formattedCitation":"(18)","plainCitation":"(18)","noteIndex":0},"citationItems":[{"id":203,"uris":["http://zotero.org/users/13596477/items/69N7X86L"],"itemData":{"id":203,"type":"article-journal","container-title":"Cochrane Database of Systematic Reviews","DOI":"10.1002/14651858.CD004905.pub6","ISSN":"14651858","language":"en","source":"DOI.org (Crossref)","title":"Multiple-micronutrient supplementation for women during pregnancy","URL":"https://doi.wiley.com/10.1002/14651858.CD004905.pub6","author":[{"family":"Keats","given":"Emily C"},{"family":"Haider","given":"Batool A"},{"family":"Tam","given":"Emily"},{"family":"Bhutta","given":"Zulfiqar A"}],"editor":[{"literal":"Cochrane Pregnancy and Childbirth Group"}],"accessed":{"date-parts":[["2025",1,19]]},"issued":{"date-parts":[["2019",3,15]]}}}],"schema":"https://github.com/citation-style-language/schema/raw/master/csl-citation.json"} </w:instrText>
            </w:r>
            <w:r>
              <w:rPr>
                <w:rFonts w:ascii="Times New Roman" w:eastAsia="Calibri" w:hAnsi="Times New Roman" w:cs="Times New Roman"/>
                <w:sz w:val="16"/>
                <w:szCs w:val="16"/>
              </w:rPr>
              <w:fldChar w:fldCharType="separate"/>
            </w:r>
            <w:r>
              <w:rPr>
                <w:rFonts w:ascii="Times New Roman" w:eastAsia="Calibri" w:hAnsi="Times New Roman" w:cs="Times New Roman"/>
                <w:noProof/>
                <w:sz w:val="16"/>
                <w:szCs w:val="16"/>
              </w:rPr>
              <w:t>(18)</w:t>
            </w:r>
            <w:r>
              <w:rPr>
                <w:rFonts w:ascii="Times New Roman" w:eastAsia="Calibri" w:hAnsi="Times New Roman" w:cs="Times New Roman"/>
                <w:sz w:val="16"/>
                <w:szCs w:val="16"/>
              </w:rPr>
              <w:fldChar w:fldCharType="end"/>
            </w:r>
          </w:p>
        </w:tc>
        <w:tc>
          <w:tcPr>
            <w:tcW w:w="2286" w:type="dxa"/>
          </w:tcPr>
          <w:p w14:paraId="0A8E9A3F"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To evaluate and summarize the available evidence on the effects of micronutrient supplementation during pregnancy in LMICs on maternal, fetal, child health, and child development outcomes.</w:t>
            </w:r>
          </w:p>
        </w:tc>
        <w:tc>
          <w:tcPr>
            <w:tcW w:w="2423" w:type="dxa"/>
          </w:tcPr>
          <w:p w14:paraId="1BC014A4"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Asia, Africa, and Latin America. India (12), Bangladesh (8), Iran (13), Indonesia (5), Ghana (4), Peru (4), Pakistan (7), Vietnam (4), Tanzania (3), The Gambia (3), China (3), Malawi (2), Burkina Faso (2), Niger (2), South Africa (1), Turkey (1), Argentina (1), Chile (1), Brazil (1), Ecuador (1), Mexico (1), Guinea-Bissau (1), Zimbabwe (1), Democratic Republic of Congo (1), Guatemala (1). N=64</w:t>
            </w:r>
          </w:p>
        </w:tc>
        <w:tc>
          <w:tcPr>
            <w:tcW w:w="1866" w:type="dxa"/>
          </w:tcPr>
          <w:p w14:paraId="32E4A26F"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Participants:  healthy, pregnant women in LMIC</w:t>
            </w:r>
            <w:r>
              <w:rPr>
                <w:rFonts w:ascii="Times New Roman" w:eastAsia="Calibri" w:hAnsi="Times New Roman" w:cs="Times New Roman"/>
                <w:sz w:val="16"/>
                <w:szCs w:val="16"/>
              </w:rPr>
              <w:t>s</w:t>
            </w:r>
          </w:p>
          <w:p w14:paraId="08384169"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Sample size: 4439,649  </w:t>
            </w:r>
            <w:r w:rsidRPr="00DD5980">
              <w:rPr>
                <w:rFonts w:ascii="Times New Roman" w:eastAsia="Calibri" w:hAnsi="Times New Roman" w:cs="Times New Roman"/>
                <w:sz w:val="16"/>
                <w:szCs w:val="16"/>
              </w:rPr>
              <w:tab/>
            </w:r>
          </w:p>
          <w:p w14:paraId="71321EC0"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p>
          <w:p w14:paraId="2AD2A223"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p>
          <w:p w14:paraId="6DA2F240"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p>
        </w:tc>
        <w:tc>
          <w:tcPr>
            <w:tcW w:w="1812" w:type="dxa"/>
          </w:tcPr>
          <w:p w14:paraId="1F3483C7"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I/IFA vs. Placebo, Calcium vs. Placebo</w:t>
            </w:r>
          </w:p>
        </w:tc>
        <w:tc>
          <w:tcPr>
            <w:tcW w:w="1823" w:type="dxa"/>
          </w:tcPr>
          <w:p w14:paraId="3CB02CCE"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LBW, </w:t>
            </w:r>
            <w:r>
              <w:rPr>
                <w:rFonts w:ascii="Times New Roman" w:eastAsia="Calibri" w:hAnsi="Times New Roman" w:cs="Times New Roman"/>
                <w:sz w:val="16"/>
                <w:szCs w:val="16"/>
              </w:rPr>
              <w:t>p</w:t>
            </w:r>
            <w:r w:rsidRPr="00DD5980">
              <w:rPr>
                <w:rFonts w:ascii="Times New Roman" w:eastAsia="Calibri" w:hAnsi="Times New Roman" w:cs="Times New Roman"/>
                <w:sz w:val="16"/>
                <w:szCs w:val="16"/>
              </w:rPr>
              <w:t xml:space="preserve">reterm birth, </w:t>
            </w:r>
            <w:r>
              <w:rPr>
                <w:rFonts w:ascii="Times New Roman" w:eastAsia="Calibri" w:hAnsi="Times New Roman" w:cs="Times New Roman"/>
                <w:sz w:val="16"/>
                <w:szCs w:val="16"/>
              </w:rPr>
              <w:t>s</w:t>
            </w:r>
            <w:r w:rsidRPr="00DD5980">
              <w:rPr>
                <w:rFonts w:ascii="Times New Roman" w:eastAsia="Calibri" w:hAnsi="Times New Roman" w:cs="Times New Roman"/>
                <w:sz w:val="16"/>
                <w:szCs w:val="16"/>
              </w:rPr>
              <w:t xml:space="preserve">tillbirth, </w:t>
            </w:r>
            <w:r>
              <w:rPr>
                <w:rFonts w:ascii="Times New Roman" w:eastAsia="Calibri" w:hAnsi="Times New Roman" w:cs="Times New Roman"/>
                <w:sz w:val="16"/>
                <w:szCs w:val="16"/>
              </w:rPr>
              <w:t>perinatal m</w:t>
            </w:r>
            <w:r w:rsidRPr="00DD5980">
              <w:rPr>
                <w:rFonts w:ascii="Times New Roman" w:eastAsia="Calibri" w:hAnsi="Times New Roman" w:cs="Times New Roman"/>
                <w:sz w:val="16"/>
                <w:szCs w:val="16"/>
              </w:rPr>
              <w:t xml:space="preserve">ortality, </w:t>
            </w:r>
            <w:r>
              <w:rPr>
                <w:rFonts w:ascii="Times New Roman" w:eastAsia="Calibri" w:hAnsi="Times New Roman" w:cs="Times New Roman"/>
                <w:sz w:val="16"/>
                <w:szCs w:val="16"/>
              </w:rPr>
              <w:t>p</w:t>
            </w:r>
            <w:r w:rsidRPr="00DD5980">
              <w:rPr>
                <w:rFonts w:ascii="Times New Roman" w:eastAsia="Calibri" w:hAnsi="Times New Roman" w:cs="Times New Roman"/>
                <w:sz w:val="16"/>
                <w:szCs w:val="16"/>
              </w:rPr>
              <w:t>reeclampsia</w:t>
            </w:r>
          </w:p>
        </w:tc>
        <w:tc>
          <w:tcPr>
            <w:tcW w:w="1187" w:type="dxa"/>
          </w:tcPr>
          <w:p w14:paraId="4DB3A790"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Yes-GRADE</w:t>
            </w:r>
          </w:p>
        </w:tc>
        <w:tc>
          <w:tcPr>
            <w:tcW w:w="1864" w:type="dxa"/>
          </w:tcPr>
          <w:p w14:paraId="00301928"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Random-effects meta-analysis</w:t>
            </w:r>
          </w:p>
        </w:tc>
      </w:tr>
      <w:tr w:rsidR="004E7DD3" w:rsidRPr="00DD5980" w14:paraId="7C8D94F9" w14:textId="77777777" w:rsidTr="004E7D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9" w:type="dxa"/>
            <w:tcBorders>
              <w:top w:val="single" w:sz="4" w:space="0" w:color="auto"/>
              <w:left w:val="single" w:sz="4" w:space="0" w:color="auto"/>
              <w:bottom w:val="single" w:sz="4" w:space="0" w:color="auto"/>
            </w:tcBorders>
          </w:tcPr>
          <w:p w14:paraId="05431780" w14:textId="77777777" w:rsidR="004E7DD3" w:rsidRPr="00DD5980" w:rsidRDefault="004E7DD3" w:rsidP="000B6948">
            <w:pPr>
              <w:spacing w:after="160" w:line="259" w:lineRule="auto"/>
              <w:jc w:val="left"/>
              <w:rPr>
                <w:rFonts w:ascii="Times New Roman" w:eastAsia="Calibri" w:hAnsi="Times New Roman" w:cs="Times New Roman"/>
                <w:sz w:val="16"/>
                <w:szCs w:val="16"/>
              </w:rPr>
            </w:pPr>
            <w:proofErr w:type="spellStart"/>
            <w:r w:rsidRPr="00DD5980">
              <w:rPr>
                <w:rFonts w:ascii="Times New Roman" w:eastAsia="Calibri" w:hAnsi="Times New Roman" w:cs="Times New Roman"/>
                <w:sz w:val="16"/>
                <w:szCs w:val="16"/>
              </w:rPr>
              <w:t>Kinshella</w:t>
            </w:r>
            <w:proofErr w:type="spellEnd"/>
            <w:r w:rsidRPr="00DD5980">
              <w:rPr>
                <w:rFonts w:ascii="Times New Roman" w:eastAsia="Calibri" w:hAnsi="Times New Roman" w:cs="Times New Roman"/>
                <w:sz w:val="16"/>
                <w:szCs w:val="16"/>
              </w:rPr>
              <w:t xml:space="preserve"> et al., 2021</w:t>
            </w:r>
            <w:r>
              <w:rPr>
                <w:rFonts w:ascii="Times New Roman" w:eastAsia="Calibri" w:hAnsi="Times New Roman" w:cs="Times New Roman"/>
                <w:sz w:val="16"/>
                <w:szCs w:val="16"/>
              </w:rPr>
              <w:t xml:space="preserve"> </w:t>
            </w:r>
            <w:r>
              <w:rPr>
                <w:rFonts w:ascii="Times New Roman" w:eastAsia="Calibri" w:hAnsi="Times New Roman" w:cs="Times New Roman"/>
                <w:sz w:val="16"/>
                <w:szCs w:val="16"/>
              </w:rPr>
              <w:fldChar w:fldCharType="begin"/>
            </w:r>
            <w:r>
              <w:rPr>
                <w:rFonts w:ascii="Times New Roman" w:eastAsia="Calibri" w:hAnsi="Times New Roman" w:cs="Times New Roman"/>
                <w:sz w:val="16"/>
                <w:szCs w:val="16"/>
              </w:rPr>
              <w:instrText xml:space="preserve"> ADDIN ZOTERO_ITEM CSL_CITATION {"citationID":"4Cn4J6yX","properties":{"formattedCitation":"(17)","plainCitation":"(17)","noteIndex":0},"citationItems":[{"id":126,"uris":["http://zotero.org/users/13596477/items/DMKFVRMW"],"itemData":{"id":126,"type":"article-journal","abstract":"The placenta is a vital, multi-functional organ that acts as an interface between maternal and fetal circulation during pregnancy. Nutritional deficiencies during pregnancy alter placental development and function, leading to adverse pregnancy outcomes, such as pre-eclampsia, infants with small for gestational age and low birthweight, preterm birth, stillbirths and maternal mortality. Maternal nutritional supplementation may help to mitigate the risks, but the evidence base is difficult to navigate. The primary purpose of this umbrella review is to map the evidence on the effects of maternal nutritional supplements and dietary interventions on pregnancy outcomes related to placental disorders and maternal mortality. A systematic search was performed on seven electronic databases, the PROSPERO register and references lists of identified papers. The results were screened in a three-stage process based on title, abstract and full-text by two independent reviewers. Randomized controlled trial meta-analyses on the efficacy of maternal nutritional supplements or dietary interventions were included. There were 91 meta-analyses included, covering 23 types of supplements and three types of dietary interventions. We found evidence that supports supplementary vitamin D and/or calcium, omega-3, multiple micronutrients, lipid-based nutrients, and balanced protein energy in reducing the risks of adverse maternal and fetal health outcomes. However, these findings are limited by poor quality of evidence. Nutrient combinations show promise and support a paradigm shift to maternal dietary balance, rather than single micronutrient deficiencies, to improve maternal and fetal health. The review is registered at PROSPERO (CRD42020160887).","container-title":"Nutrients","DOI":"10.3390/nu13020472","ISSN":"2072-6643","issue":"2","journalAbbreviation":"Nutrients","language":"en","license":"https://creativecommons.org/licenses/by/4.0/","page":"472","source":"DOI.org (Crossref)","title":"Effects of Maternal Nutritional Supplements and Dietary Interventions on Placental Complications: An Umbrella Review, Meta-Analysis and Evidence Map","title-short":"Effects of Maternal Nutritional Supplements and Dietary Interventions on Placental Complications","volume":"13","author":[{"family":"Kinshella","given":"Mai-Lei"},{"family":"Omar","given":"Shazmeen"},{"family":"Scherbinsky","given":"Kerri"},{"family":"Vidler","given":"Marianne"},{"family":"Magee","given":"Laura"},{"family":"Von Dadelszen","given":"Peter"},{"family":"Moore","given":"Sophie"},{"family":"Elango","given":"Rajavel"},{"literal":"The PRECISE Conceptual Framework Working Group"}],"issued":{"date-parts":[["2021",1,30]]}}}],"schema":"https://github.com/citation-style-language/schema/raw/master/csl-citation.json"} </w:instrText>
            </w:r>
            <w:r>
              <w:rPr>
                <w:rFonts w:ascii="Times New Roman" w:eastAsia="Calibri" w:hAnsi="Times New Roman" w:cs="Times New Roman"/>
                <w:sz w:val="16"/>
                <w:szCs w:val="16"/>
              </w:rPr>
              <w:fldChar w:fldCharType="separate"/>
            </w:r>
            <w:r>
              <w:rPr>
                <w:rFonts w:ascii="Times New Roman" w:eastAsia="Calibri" w:hAnsi="Times New Roman" w:cs="Times New Roman"/>
                <w:noProof/>
                <w:sz w:val="16"/>
                <w:szCs w:val="16"/>
              </w:rPr>
              <w:t>(17)</w:t>
            </w:r>
            <w:r>
              <w:rPr>
                <w:rFonts w:ascii="Times New Roman" w:eastAsia="Calibri" w:hAnsi="Times New Roman" w:cs="Times New Roman"/>
                <w:sz w:val="16"/>
                <w:szCs w:val="16"/>
              </w:rPr>
              <w:fldChar w:fldCharType="end"/>
            </w:r>
          </w:p>
        </w:tc>
        <w:tc>
          <w:tcPr>
            <w:tcW w:w="2286" w:type="dxa"/>
          </w:tcPr>
          <w:p w14:paraId="79E93FBF"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To map the evidence on the effects of maternal nutritional supplements and dietary interventions on pregnancy outcomes related to placental disorders and maternal mortality.</w:t>
            </w:r>
          </w:p>
        </w:tc>
        <w:tc>
          <w:tcPr>
            <w:tcW w:w="2423" w:type="dxa"/>
          </w:tcPr>
          <w:p w14:paraId="043F6FB6"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bCs/>
                <w:sz w:val="16"/>
                <w:szCs w:val="16"/>
              </w:rPr>
              <w:t>MMS:</w:t>
            </w:r>
            <w:r w:rsidRPr="00DD5980">
              <w:rPr>
                <w:rFonts w:ascii="Times New Roman" w:eastAsia="Calibri" w:hAnsi="Times New Roman" w:cs="Times New Roman"/>
                <w:sz w:val="16"/>
                <w:szCs w:val="16"/>
              </w:rPr>
              <w:t xml:space="preserve"> </w:t>
            </w:r>
            <w:r w:rsidRPr="00DD5980">
              <w:rPr>
                <w:rFonts w:ascii="Times New Roman" w:eastAsia="Calibri" w:hAnsi="Times New Roman" w:cs="Times New Roman"/>
                <w:sz w:val="16"/>
                <w:szCs w:val="16"/>
              </w:rPr>
              <w:br/>
              <w:t xml:space="preserve">Ghana (1), Malawi (1), Pakistan (1), UK (1), Nepal (2), </w:t>
            </w:r>
            <w:proofErr w:type="gramStart"/>
            <w:r w:rsidRPr="00DD5980">
              <w:rPr>
                <w:rFonts w:ascii="Times New Roman" w:eastAsia="Calibri" w:hAnsi="Times New Roman" w:cs="Times New Roman"/>
                <w:sz w:val="16"/>
                <w:szCs w:val="16"/>
              </w:rPr>
              <w:t>Tanzania(</w:t>
            </w:r>
            <w:proofErr w:type="gramEnd"/>
            <w:r w:rsidRPr="00DD5980">
              <w:rPr>
                <w:rFonts w:ascii="Times New Roman" w:eastAsia="Calibri" w:hAnsi="Times New Roman" w:cs="Times New Roman"/>
                <w:sz w:val="16"/>
                <w:szCs w:val="16"/>
              </w:rPr>
              <w:t xml:space="preserve">2), </w:t>
            </w:r>
            <w:proofErr w:type="spellStart"/>
            <w:r w:rsidRPr="00DD5980">
              <w:rPr>
                <w:rFonts w:ascii="Times New Roman" w:eastAsia="Calibri" w:hAnsi="Times New Roman" w:cs="Times New Roman"/>
                <w:sz w:val="16"/>
                <w:szCs w:val="16"/>
              </w:rPr>
              <w:t>Zimbawe</w:t>
            </w:r>
            <w:proofErr w:type="spellEnd"/>
            <w:r w:rsidRPr="00DD5980">
              <w:rPr>
                <w:rFonts w:ascii="Times New Roman" w:eastAsia="Calibri" w:hAnsi="Times New Roman" w:cs="Times New Roman"/>
                <w:sz w:val="16"/>
                <w:szCs w:val="16"/>
              </w:rPr>
              <w:t xml:space="preserve"> (1), India (2), The Gambia (1), Guinea-Bissau (1), Ireland (1), China (2), Mexico (2), Burkina Faso (1), Indonesia (3), Bangladesh (2), and Niger (1). N=25 </w:t>
            </w:r>
            <w:r w:rsidRPr="00DD5980">
              <w:rPr>
                <w:rFonts w:ascii="Times New Roman" w:eastAsia="Calibri" w:hAnsi="Times New Roman" w:cs="Times New Roman"/>
                <w:bCs/>
                <w:sz w:val="16"/>
                <w:szCs w:val="16"/>
              </w:rPr>
              <w:t>Calcium:</w:t>
            </w:r>
            <w:r w:rsidRPr="00DD5980">
              <w:rPr>
                <w:rFonts w:ascii="Times New Roman" w:eastAsia="Calibri" w:hAnsi="Times New Roman" w:cs="Times New Roman"/>
                <w:sz w:val="16"/>
                <w:szCs w:val="16"/>
              </w:rPr>
              <w:br/>
              <w:t xml:space="preserve">Iran (2), Philippines (1), Trinidad (1), Argentina (1), USA (4), China (2), Australia (1), The Gambia (1), Multicenter Argentina, South </w:t>
            </w:r>
            <w:r w:rsidRPr="00DD5980">
              <w:rPr>
                <w:rFonts w:ascii="Times New Roman" w:eastAsia="Calibri" w:hAnsi="Times New Roman" w:cs="Times New Roman"/>
                <w:sz w:val="16"/>
                <w:szCs w:val="16"/>
              </w:rPr>
              <w:lastRenderedPageBreak/>
              <w:t xml:space="preserve">Africa, and </w:t>
            </w:r>
            <w:proofErr w:type="spellStart"/>
            <w:r w:rsidRPr="00DD5980">
              <w:rPr>
                <w:rFonts w:ascii="Times New Roman" w:eastAsia="Calibri" w:hAnsi="Times New Roman" w:cs="Times New Roman"/>
                <w:sz w:val="16"/>
                <w:szCs w:val="16"/>
              </w:rPr>
              <w:t>Zimbawe</w:t>
            </w:r>
            <w:proofErr w:type="spellEnd"/>
            <w:r w:rsidRPr="00DD5980">
              <w:rPr>
                <w:rFonts w:ascii="Times New Roman" w:eastAsia="Calibri" w:hAnsi="Times New Roman" w:cs="Times New Roman"/>
                <w:sz w:val="16"/>
                <w:szCs w:val="16"/>
              </w:rPr>
              <w:t xml:space="preserve"> (1), India (3), Ecuador (3), Serbia (1), Multicenter USA and Argentina (1), Multicenter Argentina, Egypt, India, Peru, South Africa, and Vietnam (1). N=23</w:t>
            </w:r>
          </w:p>
        </w:tc>
        <w:tc>
          <w:tcPr>
            <w:tcW w:w="1866" w:type="dxa"/>
          </w:tcPr>
          <w:p w14:paraId="10AD4D32"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lastRenderedPageBreak/>
              <w:t xml:space="preserve">Participants: pregnant women or those planning on becoming pregnant </w:t>
            </w:r>
            <w:r w:rsidRPr="00DD5980">
              <w:rPr>
                <w:rFonts w:ascii="Times New Roman" w:eastAsia="Calibri" w:hAnsi="Times New Roman" w:cs="Times New Roman"/>
                <w:sz w:val="16"/>
                <w:szCs w:val="16"/>
              </w:rPr>
              <w:br/>
              <w:t>Sample size:</w:t>
            </w:r>
            <w:r>
              <w:rPr>
                <w:rFonts w:ascii="Times New Roman" w:eastAsia="Calibri" w:hAnsi="Times New Roman" w:cs="Times New Roman"/>
                <w:sz w:val="16"/>
                <w:szCs w:val="16"/>
              </w:rPr>
              <w:t xml:space="preserve"> not specified</w:t>
            </w:r>
            <w:r w:rsidRPr="00DD5980">
              <w:rPr>
                <w:rFonts w:ascii="Times New Roman" w:eastAsia="Calibri" w:hAnsi="Times New Roman" w:cs="Times New Roman"/>
                <w:sz w:val="16"/>
                <w:szCs w:val="16"/>
              </w:rPr>
              <w:br/>
              <w:t xml:space="preserve">MMS: 140,732 Calciums:33,891 </w:t>
            </w:r>
          </w:p>
        </w:tc>
        <w:tc>
          <w:tcPr>
            <w:tcW w:w="1812" w:type="dxa"/>
          </w:tcPr>
          <w:p w14:paraId="637733DB"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MMS vs. I/IFA</w:t>
            </w:r>
            <w:r w:rsidRPr="00DD5980">
              <w:rPr>
                <w:rFonts w:ascii="Times New Roman" w:eastAsia="Calibri" w:hAnsi="Times New Roman" w:cs="Times New Roman"/>
                <w:sz w:val="16"/>
                <w:szCs w:val="16"/>
              </w:rPr>
              <w:br/>
              <w:t>Calcium vs. Placebo</w:t>
            </w:r>
          </w:p>
        </w:tc>
        <w:tc>
          <w:tcPr>
            <w:tcW w:w="1823" w:type="dxa"/>
          </w:tcPr>
          <w:p w14:paraId="6F0D3757"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Pre-eclampsia, maternal mortality, </w:t>
            </w:r>
            <w:r>
              <w:rPr>
                <w:rFonts w:ascii="Times New Roman" w:eastAsia="Calibri" w:hAnsi="Times New Roman" w:cs="Times New Roman"/>
                <w:sz w:val="16"/>
                <w:szCs w:val="16"/>
              </w:rPr>
              <w:t>SGA</w:t>
            </w:r>
            <w:r w:rsidRPr="00DD5980">
              <w:rPr>
                <w:rFonts w:ascii="Times New Roman" w:eastAsia="Calibri" w:hAnsi="Times New Roman" w:cs="Times New Roman"/>
                <w:sz w:val="16"/>
                <w:szCs w:val="16"/>
              </w:rPr>
              <w:t xml:space="preserve">, </w:t>
            </w:r>
            <w:r>
              <w:rPr>
                <w:rFonts w:ascii="Times New Roman" w:eastAsia="Calibri" w:hAnsi="Times New Roman" w:cs="Times New Roman"/>
                <w:sz w:val="16"/>
                <w:szCs w:val="16"/>
              </w:rPr>
              <w:t>LBW</w:t>
            </w:r>
            <w:r w:rsidRPr="00DD5980">
              <w:rPr>
                <w:rFonts w:ascii="Times New Roman" w:eastAsia="Calibri" w:hAnsi="Times New Roman" w:cs="Times New Roman"/>
                <w:sz w:val="16"/>
                <w:szCs w:val="16"/>
              </w:rPr>
              <w:t>, and preterm birth</w:t>
            </w:r>
          </w:p>
        </w:tc>
        <w:tc>
          <w:tcPr>
            <w:tcW w:w="1187" w:type="dxa"/>
          </w:tcPr>
          <w:p w14:paraId="6910FC30"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Yes – GRADE; AMSTAR 2</w:t>
            </w:r>
          </w:p>
        </w:tc>
        <w:tc>
          <w:tcPr>
            <w:tcW w:w="1864" w:type="dxa"/>
          </w:tcPr>
          <w:p w14:paraId="4BA7B9BE"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Random-effects model </w:t>
            </w:r>
          </w:p>
        </w:tc>
      </w:tr>
      <w:tr w:rsidR="004E7DD3" w:rsidRPr="00DD5980" w14:paraId="1DBBCC43" w14:textId="77777777" w:rsidTr="000B6948">
        <w:tc>
          <w:tcPr>
            <w:cnfStyle w:val="001000000000" w:firstRow="0" w:lastRow="0" w:firstColumn="1" w:lastColumn="0" w:oddVBand="0" w:evenVBand="0" w:oddHBand="0" w:evenHBand="0" w:firstRowFirstColumn="0" w:firstRowLastColumn="0" w:lastRowFirstColumn="0" w:lastRowLastColumn="0"/>
            <w:tcW w:w="1319" w:type="dxa"/>
            <w:tcBorders>
              <w:top w:val="none" w:sz="0" w:space="0" w:color="auto"/>
              <w:left w:val="none" w:sz="0" w:space="0" w:color="auto"/>
              <w:bottom w:val="none" w:sz="0" w:space="0" w:color="auto"/>
            </w:tcBorders>
          </w:tcPr>
          <w:p w14:paraId="5E990453" w14:textId="77777777" w:rsidR="004E7DD3" w:rsidRPr="00DD5980" w:rsidRDefault="004E7DD3" w:rsidP="000B6948">
            <w:pPr>
              <w:spacing w:after="160" w:line="259" w:lineRule="auto"/>
              <w:jc w:val="left"/>
              <w:rPr>
                <w:rFonts w:ascii="Times New Roman" w:eastAsia="Calibri" w:hAnsi="Times New Roman" w:cs="Times New Roman"/>
                <w:sz w:val="16"/>
                <w:szCs w:val="16"/>
              </w:rPr>
            </w:pPr>
            <w:r w:rsidRPr="00DD5980">
              <w:rPr>
                <w:rFonts w:ascii="Times New Roman" w:eastAsia="Calibri" w:hAnsi="Times New Roman" w:cs="Times New Roman"/>
                <w:sz w:val="16"/>
                <w:szCs w:val="16"/>
              </w:rPr>
              <w:t>Kuma et al., 2022</w:t>
            </w:r>
            <w:r>
              <w:rPr>
                <w:rFonts w:ascii="Times New Roman" w:eastAsia="Calibri" w:hAnsi="Times New Roman" w:cs="Times New Roman"/>
                <w:sz w:val="16"/>
                <w:szCs w:val="16"/>
              </w:rPr>
              <w:t xml:space="preserve"> </w:t>
            </w:r>
            <w:r>
              <w:rPr>
                <w:rFonts w:ascii="Times New Roman" w:eastAsia="Calibri" w:hAnsi="Times New Roman" w:cs="Times New Roman"/>
                <w:sz w:val="16"/>
                <w:szCs w:val="16"/>
              </w:rPr>
              <w:fldChar w:fldCharType="begin"/>
            </w:r>
            <w:r>
              <w:rPr>
                <w:rFonts w:ascii="Times New Roman" w:eastAsia="Calibri" w:hAnsi="Times New Roman" w:cs="Times New Roman"/>
                <w:sz w:val="16"/>
                <w:szCs w:val="16"/>
              </w:rPr>
              <w:instrText xml:space="preserve"> ADDIN ZOTERO_ITEM CSL_CITATION {"citationID":"Hh0qSzHJ","properties":{"formattedCitation":"(53)","plainCitation":"(53)","noteIndex":0},"citationItems":[{"id":261,"uris":["http://zotero.org/users/13596477/items/NYFHCKWM"],"itemData":{"id":261,"type":"article-journal","abstract":"Background:\n              This review aimed at synthesizing evidence on the effectiveness of nutritional interventions that were carried out before and/or during early pregnancy versus the control groups on reducing the risk of low weight at birth in sub-Saharan Africa.\n            \n            \n              Methods:\n              \n                We have searched on MEDLINE, SCOPUS, CINAHL, HINARI, and Cochrane Library of systematic review databases for published articles in English language from 2010 to 2021 years. For unpublished studies, we searched on Google scholar. Randomized controlled trial studies of nutritional interventions carried out before/or during early pregnancy in sub-Saharan Africa to improve low birth weight were considered. The data were extracted and pooled using the Joanna Briggs Institute software. The effect size was calculated using fixed-effect models. Mantel-Haenszel method was used to calculate the relative risk with their respective 95% CI. Heterogeneity was assessed using the standard chi-square and I\n                2\n                tests.\n              \n            \n            \n              Results:\n              Seven studies were included in the review with a total of 5934 participants. Three types of nutritional interventions were identified: iron supplementations, lipid-based supplementations, and nutritional education and counseling. We have identified only one intervention started during preconception. The meta-analysis showed that none of the identified nutrition interventions had a statistically significant effect on low birth weight.\n            \n            \n              Conclusions:\n              Based on the review evidence, nutritional interventions before and/or during early pregnancy in sub-Saharan Africa had no significant effect on low birth weight. However, since our evidence was derived from a small number of trials and participants, a large-scale randomized controlled trials review might be required to elucidate the finding.","container-title":"Food and Nutrition Bulletin","DOI":"10.1177/03795721221078351","ISSN":"0379-5721, 1564-8265","issue":"3","journalAbbreviation":"Food Nutr Bull","language":"en","page":"351-363","source":"DOI.org (Crossref)","title":"Effect of Nutrition Interventions Before and/or During Early Pregnancy on Low Birth Weight in Sub-Saharan Africa: A Systematic Review and Meta-Analysis","title-short":"Effect of Nutrition Interventions Before and/or During Early Pregnancy on Low Birth Weight in Sub-Saharan Africa","volume":"43","author":[{"family":"Kuma","given":"Melesse Niguse"},{"family":"Tamiru","given":"Dessalegn"},{"family":"Beressa","given":"Girma"},{"family":"Belachew","given":"Tefera"}],"issued":{"date-parts":[["2022",9]]}}}],"schema":"https://github.com/citation-style-language/schema/raw/master/csl-citation.json"} </w:instrText>
            </w:r>
            <w:r>
              <w:rPr>
                <w:rFonts w:ascii="Times New Roman" w:eastAsia="Calibri" w:hAnsi="Times New Roman" w:cs="Times New Roman"/>
                <w:sz w:val="16"/>
                <w:szCs w:val="16"/>
              </w:rPr>
              <w:fldChar w:fldCharType="separate"/>
            </w:r>
            <w:r>
              <w:rPr>
                <w:rFonts w:ascii="Times New Roman" w:eastAsia="Calibri" w:hAnsi="Times New Roman" w:cs="Times New Roman"/>
                <w:noProof/>
                <w:sz w:val="16"/>
                <w:szCs w:val="16"/>
              </w:rPr>
              <w:t>(53)</w:t>
            </w:r>
            <w:r>
              <w:rPr>
                <w:rFonts w:ascii="Times New Roman" w:eastAsia="Calibri" w:hAnsi="Times New Roman" w:cs="Times New Roman"/>
                <w:sz w:val="16"/>
                <w:szCs w:val="16"/>
              </w:rPr>
              <w:fldChar w:fldCharType="end"/>
            </w:r>
          </w:p>
        </w:tc>
        <w:tc>
          <w:tcPr>
            <w:tcW w:w="2286" w:type="dxa"/>
          </w:tcPr>
          <w:p w14:paraId="2F47C556"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To synthesize evidence on the effectiveness of nutritional interventions carried out before and/or during early pregnancy on reducing low birth weight in Sub-Saharan Africa.</w:t>
            </w:r>
          </w:p>
        </w:tc>
        <w:tc>
          <w:tcPr>
            <w:tcW w:w="2423" w:type="dxa"/>
          </w:tcPr>
          <w:p w14:paraId="6F6A3E45" w14:textId="77777777" w:rsidR="004E7DD3" w:rsidRPr="005C7EB2"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5C7EB2">
              <w:rPr>
                <w:rFonts w:ascii="Times New Roman" w:eastAsia="Calibri" w:hAnsi="Times New Roman" w:cs="Times New Roman"/>
                <w:sz w:val="16"/>
                <w:szCs w:val="16"/>
              </w:rPr>
              <w:t>Sub-Saharan Africa: Ghana (1), Kenya (1), Malawi (1), Ethiopia (1), Nigeria (1), Burkina Faso (</w:t>
            </w:r>
            <w:proofErr w:type="gramStart"/>
            <w:r w:rsidRPr="005C7EB2">
              <w:rPr>
                <w:rFonts w:ascii="Times New Roman" w:eastAsia="Calibri" w:hAnsi="Times New Roman" w:cs="Times New Roman"/>
                <w:sz w:val="16"/>
                <w:szCs w:val="16"/>
              </w:rPr>
              <w:t>2 )</w:t>
            </w:r>
            <w:proofErr w:type="gramEnd"/>
            <w:r w:rsidRPr="005C7EB2">
              <w:rPr>
                <w:rFonts w:ascii="Times New Roman" w:eastAsia="Calibri" w:hAnsi="Times New Roman" w:cs="Times New Roman"/>
                <w:sz w:val="16"/>
                <w:szCs w:val="16"/>
              </w:rPr>
              <w:t xml:space="preserve">    N=7</w:t>
            </w:r>
          </w:p>
        </w:tc>
        <w:tc>
          <w:tcPr>
            <w:tcW w:w="1866" w:type="dxa"/>
          </w:tcPr>
          <w:p w14:paraId="59E3C896" w14:textId="77777777" w:rsidR="004E7DD3" w:rsidRPr="00DD5980" w:rsidRDefault="004E7DD3" w:rsidP="000B6948">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Participants: women at ≤28 weeks gestation</w:t>
            </w:r>
            <w:r w:rsidRPr="00DD5980">
              <w:rPr>
                <w:rFonts w:ascii="Times New Roman" w:eastAsia="Calibri" w:hAnsi="Times New Roman" w:cs="Times New Roman"/>
                <w:sz w:val="16"/>
                <w:szCs w:val="16"/>
              </w:rPr>
              <w:br/>
              <w:t xml:space="preserve">Sample size: 5,934 </w:t>
            </w:r>
          </w:p>
          <w:p w14:paraId="12931583"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p>
        </w:tc>
        <w:tc>
          <w:tcPr>
            <w:tcW w:w="1812" w:type="dxa"/>
          </w:tcPr>
          <w:p w14:paraId="2FACEF19"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I/IFA vs. Placebo</w:t>
            </w:r>
            <w:r w:rsidRPr="00DD5980">
              <w:rPr>
                <w:rFonts w:ascii="Times New Roman" w:eastAsia="Calibri" w:hAnsi="Times New Roman" w:cs="Times New Roman"/>
                <w:sz w:val="16"/>
                <w:szCs w:val="16"/>
              </w:rPr>
              <w:br/>
              <w:t xml:space="preserve"> </w:t>
            </w:r>
          </w:p>
        </w:tc>
        <w:tc>
          <w:tcPr>
            <w:tcW w:w="1823" w:type="dxa"/>
          </w:tcPr>
          <w:p w14:paraId="185D67E1"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LBW</w:t>
            </w:r>
          </w:p>
        </w:tc>
        <w:tc>
          <w:tcPr>
            <w:tcW w:w="1187" w:type="dxa"/>
          </w:tcPr>
          <w:p w14:paraId="5266D564"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Yes-GRADE and JBI critical</w:t>
            </w:r>
            <w:r w:rsidRPr="00DD5980">
              <w:rPr>
                <w:rFonts w:ascii="Times New Roman" w:eastAsia="Calibri" w:hAnsi="Times New Roman" w:cs="Times New Roman"/>
                <w:sz w:val="16"/>
                <w:szCs w:val="16"/>
              </w:rPr>
              <w:br/>
              <w:t>appraisal tool</w:t>
            </w:r>
          </w:p>
        </w:tc>
        <w:tc>
          <w:tcPr>
            <w:tcW w:w="1864" w:type="dxa"/>
          </w:tcPr>
          <w:p w14:paraId="4E152F13"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Fixed-effects meta-analysis</w:t>
            </w:r>
            <w:r>
              <w:rPr>
                <w:rFonts w:ascii="Times New Roman" w:eastAsia="Calibri" w:hAnsi="Times New Roman" w:cs="Times New Roman"/>
                <w:sz w:val="16"/>
                <w:szCs w:val="16"/>
              </w:rPr>
              <w:t>, h</w:t>
            </w:r>
            <w:r w:rsidRPr="00DD5980">
              <w:rPr>
                <w:rFonts w:ascii="Times New Roman" w:eastAsia="Calibri" w:hAnsi="Times New Roman" w:cs="Times New Roman"/>
                <w:sz w:val="16"/>
                <w:szCs w:val="16"/>
              </w:rPr>
              <w:t xml:space="preserve">eterogeneity tests. </w:t>
            </w:r>
          </w:p>
        </w:tc>
      </w:tr>
      <w:tr w:rsidR="004E7DD3" w:rsidRPr="00DD5980" w14:paraId="589DFF4D" w14:textId="77777777" w:rsidTr="004E7D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9" w:type="dxa"/>
            <w:tcBorders>
              <w:top w:val="single" w:sz="4" w:space="0" w:color="auto"/>
              <w:left w:val="single" w:sz="4" w:space="0" w:color="auto"/>
              <w:bottom w:val="single" w:sz="4" w:space="0" w:color="auto"/>
            </w:tcBorders>
          </w:tcPr>
          <w:p w14:paraId="4897F072" w14:textId="77777777" w:rsidR="004E7DD3" w:rsidRPr="00DD5980" w:rsidRDefault="004E7DD3" w:rsidP="000B6948">
            <w:pPr>
              <w:spacing w:after="160" w:line="259" w:lineRule="auto"/>
              <w:jc w:val="left"/>
              <w:rPr>
                <w:rFonts w:ascii="Times New Roman" w:eastAsia="Calibri" w:hAnsi="Times New Roman" w:cs="Times New Roman"/>
                <w:sz w:val="16"/>
                <w:szCs w:val="16"/>
              </w:rPr>
            </w:pPr>
            <w:r w:rsidRPr="00DD5980">
              <w:rPr>
                <w:rFonts w:ascii="Times New Roman" w:eastAsia="Calibri" w:hAnsi="Times New Roman" w:cs="Times New Roman"/>
                <w:sz w:val="16"/>
                <w:szCs w:val="16"/>
              </w:rPr>
              <w:t>Lassi et al., 2021</w:t>
            </w:r>
            <w:r>
              <w:rPr>
                <w:rFonts w:ascii="Times New Roman" w:eastAsia="Calibri" w:hAnsi="Times New Roman" w:cs="Times New Roman"/>
                <w:sz w:val="16"/>
                <w:szCs w:val="16"/>
              </w:rPr>
              <w:t xml:space="preserve"> </w:t>
            </w:r>
            <w:r>
              <w:rPr>
                <w:rFonts w:ascii="Times New Roman" w:eastAsia="Calibri" w:hAnsi="Times New Roman" w:cs="Times New Roman"/>
                <w:sz w:val="16"/>
                <w:szCs w:val="16"/>
              </w:rPr>
              <w:fldChar w:fldCharType="begin"/>
            </w:r>
            <w:r>
              <w:rPr>
                <w:rFonts w:ascii="Times New Roman" w:eastAsia="Calibri" w:hAnsi="Times New Roman" w:cs="Times New Roman"/>
                <w:sz w:val="16"/>
                <w:szCs w:val="16"/>
              </w:rPr>
              <w:instrText xml:space="preserve"> ADDIN ZOTERO_ITEM CSL_CITATION {"citationID":"J7DjsZ4x","properties":{"formattedCitation":"(12)","plainCitation":"(12)","noteIndex":0},"citationItems":[{"id":115,"uris":["http://zotero.org/users/13596477/items/PPDWD5RP"],"itemData":{"id":115,"type":"article-journal","container-title":"The Lancet Child &amp; Adolescent Health","DOI":"10.1016/S2352-4642(20)30274-1","ISSN":"23524642","issue":"5","journalAbbreviation":"The Lancet Child &amp; Adolescent Health","language":"en","page":"367-384","source":"DOI.org (Crossref)","title":"Effective interventions to address maternal and child malnutrition: an update of the evidence","title-short":"Effective interventions to address maternal and child malnutrition","volume":"5","author":[{"family":"Keats","given":"Emily C"},{"family":"Das","given":"Jai K"},{"family":"Salam","given":"Rehana A"},{"family":"Lassi","given":"Zohra S"},{"family":"Imdad","given":"Aamer"},{"family":"Black","given":"Robert E"},{"family":"Bhutta","given":"Zulfiqar A"}],"issued":{"date-parts":[["2021",5]]}}}],"schema":"https://github.com/citation-style-language/schema/raw/master/csl-citation.json"} </w:instrText>
            </w:r>
            <w:r>
              <w:rPr>
                <w:rFonts w:ascii="Times New Roman" w:eastAsia="Calibri" w:hAnsi="Times New Roman" w:cs="Times New Roman"/>
                <w:sz w:val="16"/>
                <w:szCs w:val="16"/>
              </w:rPr>
              <w:fldChar w:fldCharType="separate"/>
            </w:r>
            <w:r>
              <w:rPr>
                <w:rFonts w:ascii="Times New Roman" w:eastAsia="Calibri" w:hAnsi="Times New Roman" w:cs="Times New Roman"/>
                <w:noProof/>
                <w:sz w:val="16"/>
                <w:szCs w:val="16"/>
              </w:rPr>
              <w:t>(12)</w:t>
            </w:r>
            <w:r>
              <w:rPr>
                <w:rFonts w:ascii="Times New Roman" w:eastAsia="Calibri" w:hAnsi="Times New Roman" w:cs="Times New Roman"/>
                <w:sz w:val="16"/>
                <w:szCs w:val="16"/>
              </w:rPr>
              <w:fldChar w:fldCharType="end"/>
            </w:r>
          </w:p>
        </w:tc>
        <w:tc>
          <w:tcPr>
            <w:tcW w:w="2286" w:type="dxa"/>
          </w:tcPr>
          <w:p w14:paraId="07F0118C"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To evaluate the effects of nutritional interventions during pregnancy on birth outcomes and infant health in low- and middle-income countries.</w:t>
            </w:r>
            <w:r w:rsidRPr="00DD5980">
              <w:rPr>
                <w:rFonts w:ascii="Times New Roman" w:eastAsia="Calibri" w:hAnsi="Times New Roman" w:cs="Times New Roman"/>
                <w:sz w:val="16"/>
                <w:szCs w:val="16"/>
              </w:rPr>
              <w:tab/>
            </w:r>
          </w:p>
        </w:tc>
        <w:tc>
          <w:tcPr>
            <w:tcW w:w="2423" w:type="dxa"/>
          </w:tcPr>
          <w:p w14:paraId="1FDDC9F4"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Pr>
                <w:rFonts w:ascii="Times New Roman" w:eastAsia="Calibri" w:hAnsi="Times New Roman" w:cs="Times New Roman"/>
                <w:sz w:val="16"/>
                <w:szCs w:val="16"/>
              </w:rPr>
              <w:t>LMICs</w:t>
            </w:r>
            <w:r w:rsidRPr="00DD5980">
              <w:rPr>
                <w:rFonts w:ascii="Times New Roman" w:eastAsia="Calibri" w:hAnsi="Times New Roman" w:cs="Times New Roman"/>
                <w:sz w:val="16"/>
                <w:szCs w:val="16"/>
              </w:rPr>
              <w:t xml:space="preserve"> across Asia (7), Africa (6), and Latin America.</w:t>
            </w:r>
            <w:r w:rsidRPr="00DD5980">
              <w:rPr>
                <w:rFonts w:ascii="Times New Roman" w:eastAsia="Calibri" w:hAnsi="Times New Roman" w:cs="Times New Roman"/>
                <w:sz w:val="16"/>
                <w:szCs w:val="16"/>
              </w:rPr>
              <w:tab/>
            </w:r>
          </w:p>
          <w:p w14:paraId="1A9961EC"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N=15</w:t>
            </w:r>
          </w:p>
        </w:tc>
        <w:tc>
          <w:tcPr>
            <w:tcW w:w="1866" w:type="dxa"/>
          </w:tcPr>
          <w:p w14:paraId="094E4AC4"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Participants: healthy pregnant women of any age living in LMICs</w:t>
            </w:r>
            <w:r w:rsidRPr="00DD5980">
              <w:rPr>
                <w:rFonts w:ascii="Times New Roman" w:eastAsia="Calibri" w:hAnsi="Times New Roman" w:cs="Times New Roman"/>
                <w:sz w:val="16"/>
                <w:szCs w:val="16"/>
              </w:rPr>
              <w:br/>
              <w:t>Sample size: 27,996.</w:t>
            </w:r>
          </w:p>
        </w:tc>
        <w:tc>
          <w:tcPr>
            <w:tcW w:w="1812" w:type="dxa"/>
          </w:tcPr>
          <w:p w14:paraId="1B97053E"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BEP vs. Routine Care</w:t>
            </w:r>
            <w:r w:rsidRPr="00DD5980">
              <w:rPr>
                <w:rFonts w:ascii="Times New Roman" w:eastAsia="Calibri" w:hAnsi="Times New Roman" w:cs="Times New Roman"/>
                <w:sz w:val="16"/>
                <w:szCs w:val="16"/>
              </w:rPr>
              <w:br/>
            </w:r>
          </w:p>
        </w:tc>
        <w:tc>
          <w:tcPr>
            <w:tcW w:w="1823" w:type="dxa"/>
          </w:tcPr>
          <w:p w14:paraId="0BB0CC4E"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LBW, SGA, Preterm birth, Mortality (Perinatal and neonatal), Stillbirth</w:t>
            </w:r>
            <w:r w:rsidRPr="00DD5980">
              <w:rPr>
                <w:rFonts w:ascii="Times New Roman" w:eastAsia="Calibri" w:hAnsi="Times New Roman" w:cs="Times New Roman"/>
                <w:sz w:val="16"/>
                <w:szCs w:val="16"/>
              </w:rPr>
              <w:br/>
            </w:r>
          </w:p>
        </w:tc>
        <w:tc>
          <w:tcPr>
            <w:tcW w:w="1187" w:type="dxa"/>
          </w:tcPr>
          <w:p w14:paraId="189A8955"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Yes-GRADE </w:t>
            </w:r>
          </w:p>
        </w:tc>
        <w:tc>
          <w:tcPr>
            <w:tcW w:w="1864" w:type="dxa"/>
          </w:tcPr>
          <w:p w14:paraId="7B932FCF"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Random-effects meta-analysis</w:t>
            </w:r>
            <w:r>
              <w:rPr>
                <w:rFonts w:ascii="Times New Roman" w:eastAsia="Calibri" w:hAnsi="Times New Roman" w:cs="Times New Roman"/>
                <w:sz w:val="16"/>
                <w:szCs w:val="16"/>
              </w:rPr>
              <w:t>, h</w:t>
            </w:r>
            <w:r w:rsidRPr="00DD5980">
              <w:rPr>
                <w:rFonts w:ascii="Times New Roman" w:eastAsia="Calibri" w:hAnsi="Times New Roman" w:cs="Times New Roman"/>
                <w:sz w:val="16"/>
                <w:szCs w:val="16"/>
              </w:rPr>
              <w:t>eterogeneity tests.</w:t>
            </w:r>
          </w:p>
        </w:tc>
      </w:tr>
      <w:tr w:rsidR="004E7DD3" w:rsidRPr="00DD5980" w14:paraId="2F919FEC" w14:textId="77777777" w:rsidTr="000B6948">
        <w:tc>
          <w:tcPr>
            <w:cnfStyle w:val="001000000000" w:firstRow="0" w:lastRow="0" w:firstColumn="1" w:lastColumn="0" w:oddVBand="0" w:evenVBand="0" w:oddHBand="0" w:evenHBand="0" w:firstRowFirstColumn="0" w:firstRowLastColumn="0" w:lastRowFirstColumn="0" w:lastRowLastColumn="0"/>
            <w:tcW w:w="1319" w:type="dxa"/>
            <w:tcBorders>
              <w:top w:val="none" w:sz="0" w:space="0" w:color="auto"/>
              <w:left w:val="none" w:sz="0" w:space="0" w:color="auto"/>
              <w:bottom w:val="none" w:sz="0" w:space="0" w:color="auto"/>
            </w:tcBorders>
          </w:tcPr>
          <w:p w14:paraId="4058046A" w14:textId="77777777" w:rsidR="004E7DD3" w:rsidRPr="00DD5980" w:rsidRDefault="004E7DD3" w:rsidP="000B6948">
            <w:pPr>
              <w:spacing w:after="160" w:line="259" w:lineRule="auto"/>
              <w:jc w:val="left"/>
              <w:rPr>
                <w:rFonts w:ascii="Times New Roman" w:eastAsia="Calibri" w:hAnsi="Times New Roman" w:cs="Times New Roman"/>
                <w:sz w:val="16"/>
                <w:szCs w:val="16"/>
              </w:rPr>
            </w:pPr>
            <w:r w:rsidRPr="00DD5980">
              <w:rPr>
                <w:rFonts w:ascii="Times New Roman" w:eastAsia="Calibri" w:hAnsi="Times New Roman" w:cs="Times New Roman"/>
                <w:sz w:val="16"/>
                <w:szCs w:val="16"/>
              </w:rPr>
              <w:t>Lassi et al., 2019</w:t>
            </w:r>
            <w:r>
              <w:rPr>
                <w:rFonts w:ascii="Times New Roman" w:eastAsia="Calibri" w:hAnsi="Times New Roman" w:cs="Times New Roman"/>
                <w:sz w:val="16"/>
                <w:szCs w:val="16"/>
              </w:rPr>
              <w:t xml:space="preserve"> </w:t>
            </w:r>
            <w:r>
              <w:rPr>
                <w:rFonts w:ascii="Times New Roman" w:eastAsia="Calibri" w:hAnsi="Times New Roman" w:cs="Times New Roman"/>
                <w:sz w:val="16"/>
                <w:szCs w:val="16"/>
              </w:rPr>
              <w:fldChar w:fldCharType="begin"/>
            </w:r>
            <w:r>
              <w:rPr>
                <w:rFonts w:ascii="Times New Roman" w:eastAsia="Calibri" w:hAnsi="Times New Roman" w:cs="Times New Roman"/>
                <w:sz w:val="16"/>
                <w:szCs w:val="16"/>
              </w:rPr>
              <w:instrText xml:space="preserve"> ADDIN ZOTERO_ITEM CSL_CITATION {"citationID":"ZIqJTpfZ","properties":{"formattedCitation":"(21)","plainCitation":"(21)","noteIndex":0},"citationItems":[{"id":136,"uris":["http://zotero.org/users/13596477/items/PG63TEZX"],"itemData":{"id":136,"type":"article-journal","container-title":"Cochrane Database of Systematic Reviews","DOI":"10.1002/14651858.CD007647.pub2","ISSN":"14651858","language":"en","source":"DOI.org (Crossref)","title":"Community-based maternal and newborn educational care packages for improving neonatal health and survival in low- and middle-income countries","URL":"https://doi.wiley.com/10.1002/14651858.CD007647.pub2","author":[{"family":"Lassi","given":"Zohra S"},{"family":"Kedzior","given":"Sophie Ge"},{"family":"Bhutta","given":"Zulfiqar A"}],"editor":[{"literal":"Cochrane Neonatal Group"}],"accessed":{"date-parts":[["2025",1,19]]},"issued":{"date-parts":[["2019",11,5]]}}}],"schema":"https://github.com/citation-style-language/schema/raw/master/csl-citation.json"} </w:instrText>
            </w:r>
            <w:r>
              <w:rPr>
                <w:rFonts w:ascii="Times New Roman" w:eastAsia="Calibri" w:hAnsi="Times New Roman" w:cs="Times New Roman"/>
                <w:sz w:val="16"/>
                <w:szCs w:val="16"/>
              </w:rPr>
              <w:fldChar w:fldCharType="separate"/>
            </w:r>
            <w:r>
              <w:rPr>
                <w:rFonts w:ascii="Times New Roman" w:eastAsia="Calibri" w:hAnsi="Times New Roman" w:cs="Times New Roman"/>
                <w:noProof/>
                <w:sz w:val="16"/>
                <w:szCs w:val="16"/>
              </w:rPr>
              <w:t>(21)</w:t>
            </w:r>
            <w:r>
              <w:rPr>
                <w:rFonts w:ascii="Times New Roman" w:eastAsia="Calibri" w:hAnsi="Times New Roman" w:cs="Times New Roman"/>
                <w:sz w:val="16"/>
                <w:szCs w:val="16"/>
              </w:rPr>
              <w:fldChar w:fldCharType="end"/>
            </w:r>
          </w:p>
        </w:tc>
        <w:tc>
          <w:tcPr>
            <w:tcW w:w="2286" w:type="dxa"/>
          </w:tcPr>
          <w:p w14:paraId="0BAE2F60"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To evaluate the effectiveness of community-based educational interventions on maternal and newborn care in improving neonatal health and survival in low- and middle-income countries.</w:t>
            </w:r>
          </w:p>
        </w:tc>
        <w:tc>
          <w:tcPr>
            <w:tcW w:w="2423" w:type="dxa"/>
          </w:tcPr>
          <w:p w14:paraId="345C39B0"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29 countries: Africa, Central and South America, Asia (notably India, Pakistan, and Bangladesh) N=62</w:t>
            </w:r>
          </w:p>
        </w:tc>
        <w:tc>
          <w:tcPr>
            <w:tcW w:w="1866" w:type="dxa"/>
          </w:tcPr>
          <w:p w14:paraId="511DD72C"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Participants: Mothers and family members in community settings</w:t>
            </w:r>
            <w:r w:rsidRPr="00DD5980">
              <w:rPr>
                <w:rFonts w:ascii="Times New Roman" w:eastAsia="Calibri" w:hAnsi="Times New Roman" w:cs="Times New Roman"/>
                <w:sz w:val="16"/>
                <w:szCs w:val="16"/>
              </w:rPr>
              <w:br/>
              <w:t>Sample size: 1,961,206</w:t>
            </w:r>
          </w:p>
        </w:tc>
        <w:tc>
          <w:tcPr>
            <w:tcW w:w="1812" w:type="dxa"/>
          </w:tcPr>
          <w:p w14:paraId="00D4A2B5"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Infant and Young Child Nutrition Education and Counseling</w:t>
            </w:r>
          </w:p>
        </w:tc>
        <w:tc>
          <w:tcPr>
            <w:tcW w:w="1823" w:type="dxa"/>
          </w:tcPr>
          <w:p w14:paraId="7872A68F"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Pr>
                <w:rFonts w:ascii="Times New Roman" w:eastAsia="Calibri" w:hAnsi="Times New Roman" w:cs="Times New Roman"/>
                <w:sz w:val="16"/>
                <w:szCs w:val="16"/>
              </w:rPr>
              <w:t>E</w:t>
            </w:r>
            <w:r w:rsidRPr="00DD5980">
              <w:rPr>
                <w:rFonts w:ascii="Times New Roman" w:eastAsia="Calibri" w:hAnsi="Times New Roman" w:cs="Times New Roman"/>
                <w:sz w:val="16"/>
                <w:szCs w:val="16"/>
              </w:rPr>
              <w:t>arly initiation of breastfeeding</w:t>
            </w:r>
          </w:p>
        </w:tc>
        <w:tc>
          <w:tcPr>
            <w:tcW w:w="1187" w:type="dxa"/>
          </w:tcPr>
          <w:p w14:paraId="616CAD9D"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Yes-GRADE; Cochrane Risk of Bias tool}</w:t>
            </w:r>
          </w:p>
        </w:tc>
        <w:tc>
          <w:tcPr>
            <w:tcW w:w="1864" w:type="dxa"/>
          </w:tcPr>
          <w:p w14:paraId="214D5A65"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Random-effects meta-analysis. Subgroup analyses based on intervention characteristics. Assessment of heterogeneity using I² statistics.</w:t>
            </w:r>
          </w:p>
        </w:tc>
      </w:tr>
      <w:tr w:rsidR="004E7DD3" w:rsidRPr="00DD5980" w14:paraId="31EE1634" w14:textId="77777777" w:rsidTr="004E7D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9" w:type="dxa"/>
            <w:tcBorders>
              <w:top w:val="single" w:sz="4" w:space="0" w:color="auto"/>
              <w:left w:val="single" w:sz="4" w:space="0" w:color="auto"/>
              <w:bottom w:val="single" w:sz="4" w:space="0" w:color="auto"/>
            </w:tcBorders>
          </w:tcPr>
          <w:p w14:paraId="00B0E24D" w14:textId="77777777" w:rsidR="004E7DD3" w:rsidRPr="00DD5980" w:rsidRDefault="004E7DD3" w:rsidP="000B6948">
            <w:pPr>
              <w:spacing w:after="160" w:line="259" w:lineRule="auto"/>
              <w:jc w:val="left"/>
              <w:rPr>
                <w:rFonts w:ascii="Times New Roman" w:eastAsia="Calibri" w:hAnsi="Times New Roman" w:cs="Times New Roman"/>
                <w:sz w:val="16"/>
                <w:szCs w:val="16"/>
              </w:rPr>
            </w:pPr>
            <w:r w:rsidRPr="00DD5980">
              <w:rPr>
                <w:rFonts w:ascii="Times New Roman" w:eastAsia="Calibri" w:hAnsi="Times New Roman" w:cs="Times New Roman"/>
                <w:sz w:val="16"/>
                <w:szCs w:val="16"/>
              </w:rPr>
              <w:t>Lassi et al., 2020</w:t>
            </w:r>
            <w:r>
              <w:rPr>
                <w:rFonts w:ascii="Times New Roman" w:eastAsia="Calibri" w:hAnsi="Times New Roman" w:cs="Times New Roman"/>
                <w:sz w:val="16"/>
                <w:szCs w:val="16"/>
              </w:rPr>
              <w:t xml:space="preserve"> </w:t>
            </w:r>
            <w:r>
              <w:rPr>
                <w:rFonts w:ascii="Times New Roman" w:eastAsia="Calibri" w:hAnsi="Times New Roman" w:cs="Times New Roman"/>
                <w:sz w:val="16"/>
                <w:szCs w:val="16"/>
              </w:rPr>
              <w:fldChar w:fldCharType="begin"/>
            </w:r>
            <w:r>
              <w:rPr>
                <w:rFonts w:ascii="Times New Roman" w:eastAsia="Calibri" w:hAnsi="Times New Roman" w:cs="Times New Roman"/>
                <w:sz w:val="16"/>
                <w:szCs w:val="16"/>
              </w:rPr>
              <w:instrText xml:space="preserve"> ADDIN ZOTERO_ITEM CSL_CITATION {"citationID":"VT1WWxSe","properties":{"formattedCitation":"(35)","plainCitation":"(35)","noteIndex":0},"citationItems":[{"id":164,"uris":["http://zotero.org/users/13596477/items/PZINQL27"],"itemData":{"id":164,"type":"article-journal","abstract":"Undernutrition is associated with 45% of total infant deaths, totalling 2.7 million globally per year. The vast majority of the burden is felt in low- and middle-income countries (LMICs). This review aims to assess the effectiveness of infant and young child feeding (IYCF) interventions. We searched multiple databases including Cochrane Controlled Trials Register (CENTRAL), MEDLINE, EMBASE. Title/abstract screening and full-text screening and data extraction filtered 77 studies for inclusion. Breastfeeding education interventions (n = 38) showed 20% increase in rates of early initiation of breastfeeding, 102% increase in exclusive breastfeeding (EBF) at 3 months and 53% increase in EBF at 6 months and 24% decreases in diarrheal diseases. Complementary feeding education intervention (n=12) showed a 0.41 standard deviation (SD) increase in WAZ, and 0.25 SD in HAZ in food secure setting. Complementary food provision with or without education (n=17) showed a 0.14 SD increase in HAZ and 36% decrease in stunting. Supplementary food interventions (n=12) showed a significant 0.15 SD increase in WHZ. Subgroup analyses showed healthcare professional led interventions were largely more effective, especially on breastfeeding outcomes. We believe this is a comprehensive review of the existing literature on IYCF studies in LMICs. Though breastfeeding education is well supported in its effectiveness on breastfeeding practices, limited evidence exists for growth outcomes. Supplementation interventions seem to have better effects at improving growth. However, more research is required to reach more substantial conclusions.","container-title":"Nutrients","DOI":"10.3390/nu12030722","ISSN":"2072-6643","issue":"3","journalAbbreviation":"Nutrients","language":"en","license":"https://creativecommons.org/licenses/by/4.0/","page":"722","source":"DOI.org (Crossref)","title":"Impact of Infant and Young Child Feeding (IYCF) Nutrition Interventions on Breastfeeding Practices, Growth and Mortality in Low- and Middle-Income Countries: Systematic Review","title-short":"Impact of Infant and Young Child Feeding (IYCF) Nutrition Interventions on Breastfeeding Practices, Growth and Mortality in Low- and Middle-Income Countries","volume":"12","author":[{"family":"Lassi","given":"Zohra S."},{"family":"Rind","given":"Fahad"},{"family":"Irfan","given":"Omar"},{"family":"Hadi","given":"Rabia"},{"family":"Das","given":"Jai K."},{"family":"Bhutta","given":"Zulfiqar A."}],"issued":{"date-parts":[["2020",3,10]]}}}],"schema":"https://github.com/citation-style-language/schema/raw/master/csl-citation.json"} </w:instrText>
            </w:r>
            <w:r>
              <w:rPr>
                <w:rFonts w:ascii="Times New Roman" w:eastAsia="Calibri" w:hAnsi="Times New Roman" w:cs="Times New Roman"/>
                <w:sz w:val="16"/>
                <w:szCs w:val="16"/>
              </w:rPr>
              <w:fldChar w:fldCharType="separate"/>
            </w:r>
            <w:r>
              <w:rPr>
                <w:rFonts w:ascii="Times New Roman" w:eastAsia="Calibri" w:hAnsi="Times New Roman" w:cs="Times New Roman"/>
                <w:noProof/>
                <w:sz w:val="16"/>
                <w:szCs w:val="16"/>
              </w:rPr>
              <w:t>(35)</w:t>
            </w:r>
            <w:r>
              <w:rPr>
                <w:rFonts w:ascii="Times New Roman" w:eastAsia="Calibri" w:hAnsi="Times New Roman" w:cs="Times New Roman"/>
                <w:sz w:val="16"/>
                <w:szCs w:val="16"/>
              </w:rPr>
              <w:fldChar w:fldCharType="end"/>
            </w:r>
          </w:p>
        </w:tc>
        <w:tc>
          <w:tcPr>
            <w:tcW w:w="2286" w:type="dxa"/>
            <w:tcBorders>
              <w:bottom w:val="single" w:sz="4" w:space="0" w:color="auto"/>
            </w:tcBorders>
          </w:tcPr>
          <w:p w14:paraId="1CE654FA"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To assess the effectiveness of infant and young child feeding (IYCF) interventions.</w:t>
            </w:r>
          </w:p>
        </w:tc>
        <w:tc>
          <w:tcPr>
            <w:tcW w:w="2423" w:type="dxa"/>
          </w:tcPr>
          <w:p w14:paraId="4B56CCB8"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Egypt (1), Ghana (2), Uganda (2), Nigeria (1), Tanzania (2), Kenya (2), South Africa (1), multicenter Burkina Faso, Uganda and South Africa (1), Bangladesh (6), India (3), Nepal (1), Iran (2), China (1), Jordan (1), Thailand (1), Pakistan (1), Malaysia (1), Turkey (2), Philippines (1), Mexico (1), and Brazil (5). N=38</w:t>
            </w:r>
          </w:p>
        </w:tc>
        <w:tc>
          <w:tcPr>
            <w:tcW w:w="1866" w:type="dxa"/>
          </w:tcPr>
          <w:p w14:paraId="5BF88246"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Participants: mothers/nursing mothers of children under 2 years of age</w:t>
            </w:r>
            <w:r w:rsidRPr="00DD5980">
              <w:rPr>
                <w:rFonts w:ascii="Times New Roman" w:eastAsia="Calibri" w:hAnsi="Times New Roman" w:cs="Times New Roman"/>
                <w:sz w:val="16"/>
                <w:szCs w:val="16"/>
              </w:rPr>
              <w:br/>
              <w:t>Sample sizes: vary by outcomes, EIBF 84,092 participants (14 studies), EBF 6 months 13,926 participants (19 studies), stunting (6 studies), wasting (2 studies)</w:t>
            </w:r>
          </w:p>
        </w:tc>
        <w:tc>
          <w:tcPr>
            <w:tcW w:w="1812" w:type="dxa"/>
          </w:tcPr>
          <w:p w14:paraId="67AAAE57"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Breastfeeding education vs Standard of care</w:t>
            </w:r>
          </w:p>
        </w:tc>
        <w:tc>
          <w:tcPr>
            <w:tcW w:w="1823" w:type="dxa"/>
          </w:tcPr>
          <w:p w14:paraId="19EF2390"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Early initiation of breastfeeding, exclusive breastfeeding, stunting, wasting, HAZ, WHZ. </w:t>
            </w:r>
            <w:r w:rsidRPr="00DD5980">
              <w:rPr>
                <w:rFonts w:ascii="Times New Roman" w:eastAsia="Calibri" w:hAnsi="Times New Roman" w:cs="Times New Roman"/>
                <w:sz w:val="16"/>
                <w:szCs w:val="16"/>
              </w:rPr>
              <w:br/>
              <w:t>All-cause neonatal mortality, diarrhea.</w:t>
            </w:r>
          </w:p>
        </w:tc>
        <w:tc>
          <w:tcPr>
            <w:tcW w:w="1187" w:type="dxa"/>
          </w:tcPr>
          <w:p w14:paraId="06340AA1"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Yes - GRADE, Cochrane Collaboration Risk of Bias tool, and EPOC methods</w:t>
            </w:r>
          </w:p>
        </w:tc>
        <w:tc>
          <w:tcPr>
            <w:tcW w:w="1864" w:type="dxa"/>
          </w:tcPr>
          <w:p w14:paraId="158888A0"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Fixed-effects model</w:t>
            </w:r>
          </w:p>
        </w:tc>
      </w:tr>
      <w:tr w:rsidR="004E7DD3" w:rsidRPr="00DD5980" w14:paraId="32E171EF" w14:textId="77777777" w:rsidTr="000B6948">
        <w:tc>
          <w:tcPr>
            <w:cnfStyle w:val="001000000000" w:firstRow="0" w:lastRow="0" w:firstColumn="1" w:lastColumn="0" w:oddVBand="0" w:evenVBand="0" w:oddHBand="0" w:evenHBand="0" w:firstRowFirstColumn="0" w:firstRowLastColumn="0" w:lastRowFirstColumn="0" w:lastRowLastColumn="0"/>
            <w:tcW w:w="1319" w:type="dxa"/>
            <w:tcBorders>
              <w:top w:val="single" w:sz="4" w:space="0" w:color="auto"/>
              <w:left w:val="single" w:sz="4" w:space="0" w:color="auto"/>
              <w:bottom w:val="single" w:sz="4" w:space="0" w:color="auto"/>
            </w:tcBorders>
            <w:shd w:val="clear" w:color="auto" w:fill="auto"/>
          </w:tcPr>
          <w:p w14:paraId="15D68596" w14:textId="456B125C" w:rsidR="004E7DD3" w:rsidRPr="00DD5980" w:rsidRDefault="004E7DD3" w:rsidP="000B6948">
            <w:pPr>
              <w:rPr>
                <w:rFonts w:ascii="Times New Roman" w:eastAsia="Calibri" w:hAnsi="Times New Roman" w:cs="Times New Roman"/>
                <w:sz w:val="16"/>
                <w:szCs w:val="16"/>
              </w:rPr>
            </w:pPr>
            <w:r w:rsidRPr="00DD5980">
              <w:rPr>
                <w:rFonts w:ascii="Times New Roman" w:eastAsia="Calibri" w:hAnsi="Times New Roman" w:cs="Times New Roman"/>
                <w:sz w:val="16"/>
                <w:szCs w:val="16"/>
              </w:rPr>
              <w:lastRenderedPageBreak/>
              <w:t>Lassi et al., 2020</w:t>
            </w:r>
            <w:r w:rsidR="00881F8B">
              <w:rPr>
                <w:rFonts w:ascii="Times New Roman" w:eastAsia="Calibri" w:hAnsi="Times New Roman" w:cs="Times New Roman"/>
                <w:sz w:val="16"/>
                <w:szCs w:val="16"/>
              </w:rPr>
              <w:t xml:space="preserve"> (62)</w:t>
            </w:r>
          </w:p>
        </w:tc>
        <w:tc>
          <w:tcPr>
            <w:tcW w:w="2286" w:type="dxa"/>
            <w:tcBorders>
              <w:top w:val="single" w:sz="4" w:space="0" w:color="auto"/>
              <w:bottom w:val="single" w:sz="4" w:space="0" w:color="auto"/>
            </w:tcBorders>
            <w:shd w:val="clear" w:color="auto" w:fill="auto"/>
          </w:tcPr>
          <w:p w14:paraId="61CF83E9" w14:textId="77777777" w:rsidR="004E7DD3" w:rsidRPr="00DD5980" w:rsidRDefault="004E7DD3" w:rsidP="000B6948">
            <w:pPr>
              <w:tabs>
                <w:tab w:val="left" w:pos="487"/>
              </w:tab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5E5533">
              <w:rPr>
                <w:rFonts w:ascii="Times New Roman" w:eastAsia="Calibri" w:hAnsi="Times New Roman" w:cs="Times New Roman"/>
                <w:b/>
                <w:bCs/>
                <w:sz w:val="16"/>
                <w:szCs w:val="16"/>
              </w:rPr>
              <w:t> </w:t>
            </w:r>
            <w:r w:rsidRPr="005E5533">
              <w:rPr>
                <w:rFonts w:ascii="Times New Roman" w:eastAsia="Calibri" w:hAnsi="Times New Roman" w:cs="Times New Roman"/>
                <w:sz w:val="16"/>
                <w:szCs w:val="16"/>
              </w:rPr>
              <w:t>To assess the effectiveness of zinc supplementation for the promotion of growth, reduction in mortality, and the prevention of infections</w:t>
            </w:r>
            <w:r>
              <w:rPr>
                <w:rFonts w:ascii="Times New Roman" w:eastAsia="Calibri" w:hAnsi="Times New Roman" w:cs="Times New Roman"/>
                <w:sz w:val="16"/>
                <w:szCs w:val="16"/>
              </w:rPr>
              <w:t xml:space="preserve">. </w:t>
            </w:r>
          </w:p>
        </w:tc>
        <w:tc>
          <w:tcPr>
            <w:tcW w:w="2423" w:type="dxa"/>
            <w:shd w:val="clear" w:color="auto" w:fill="auto"/>
          </w:tcPr>
          <w:p w14:paraId="7104793A" w14:textId="77777777" w:rsidR="004E7DD3" w:rsidRDefault="004E7DD3" w:rsidP="000B6948">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FA1EC2">
              <w:rPr>
                <w:rFonts w:ascii="Times New Roman" w:eastAsia="Calibri" w:hAnsi="Times New Roman" w:cs="Times New Roman"/>
                <w:sz w:val="16"/>
                <w:szCs w:val="16"/>
              </w:rPr>
              <w:t>India</w:t>
            </w:r>
            <w:r>
              <w:rPr>
                <w:rFonts w:ascii="Times New Roman" w:eastAsia="Calibri" w:hAnsi="Times New Roman" w:cs="Times New Roman"/>
                <w:sz w:val="16"/>
                <w:szCs w:val="16"/>
              </w:rPr>
              <w:t xml:space="preserve"> (1)</w:t>
            </w:r>
            <w:r w:rsidRPr="00FA1EC2">
              <w:rPr>
                <w:rFonts w:ascii="Times New Roman" w:eastAsia="Calibri" w:hAnsi="Times New Roman" w:cs="Times New Roman"/>
                <w:sz w:val="16"/>
                <w:szCs w:val="16"/>
              </w:rPr>
              <w:t>, Indonesia</w:t>
            </w:r>
            <w:r>
              <w:rPr>
                <w:rFonts w:ascii="Times New Roman" w:eastAsia="Calibri" w:hAnsi="Times New Roman" w:cs="Times New Roman"/>
                <w:sz w:val="16"/>
                <w:szCs w:val="16"/>
              </w:rPr>
              <w:t xml:space="preserve"> (2)</w:t>
            </w:r>
            <w:r w:rsidRPr="00FA1EC2">
              <w:rPr>
                <w:rFonts w:ascii="Times New Roman" w:eastAsia="Calibri" w:hAnsi="Times New Roman" w:cs="Times New Roman"/>
                <w:sz w:val="16"/>
                <w:szCs w:val="16"/>
              </w:rPr>
              <w:t xml:space="preserve">, Nepal </w:t>
            </w:r>
            <w:r>
              <w:rPr>
                <w:rFonts w:ascii="Times New Roman" w:eastAsia="Calibri" w:hAnsi="Times New Roman" w:cs="Times New Roman"/>
                <w:sz w:val="16"/>
                <w:szCs w:val="16"/>
              </w:rPr>
              <w:t xml:space="preserve">(1), </w:t>
            </w:r>
            <w:r w:rsidRPr="00FA1EC2">
              <w:rPr>
                <w:rFonts w:ascii="Times New Roman" w:eastAsia="Calibri" w:hAnsi="Times New Roman" w:cs="Times New Roman"/>
                <w:sz w:val="16"/>
                <w:szCs w:val="16"/>
              </w:rPr>
              <w:t>Thailand</w:t>
            </w:r>
            <w:r>
              <w:rPr>
                <w:rFonts w:ascii="Times New Roman" w:eastAsia="Calibri" w:hAnsi="Times New Roman" w:cs="Times New Roman"/>
                <w:sz w:val="16"/>
                <w:szCs w:val="16"/>
              </w:rPr>
              <w:t xml:space="preserve"> (1)</w:t>
            </w:r>
            <w:r w:rsidRPr="00FA1EC2">
              <w:rPr>
                <w:rFonts w:ascii="Times New Roman" w:eastAsia="Calibri" w:hAnsi="Times New Roman" w:cs="Times New Roman"/>
                <w:sz w:val="16"/>
                <w:szCs w:val="16"/>
              </w:rPr>
              <w:t xml:space="preserve">, </w:t>
            </w:r>
            <w:proofErr w:type="gramStart"/>
            <w:r w:rsidRPr="00FA1EC2">
              <w:rPr>
                <w:rFonts w:ascii="Times New Roman" w:eastAsia="Calibri" w:hAnsi="Times New Roman" w:cs="Times New Roman"/>
                <w:sz w:val="16"/>
                <w:szCs w:val="16"/>
              </w:rPr>
              <w:t>USA</w:t>
            </w:r>
            <w:r>
              <w:rPr>
                <w:rFonts w:ascii="Times New Roman" w:eastAsia="Calibri" w:hAnsi="Times New Roman" w:cs="Times New Roman"/>
                <w:sz w:val="16"/>
                <w:szCs w:val="16"/>
              </w:rPr>
              <w:t>(</w:t>
            </w:r>
            <w:proofErr w:type="gramEnd"/>
            <w:r>
              <w:rPr>
                <w:rFonts w:ascii="Times New Roman" w:eastAsia="Calibri" w:hAnsi="Times New Roman" w:cs="Times New Roman"/>
                <w:sz w:val="16"/>
                <w:szCs w:val="16"/>
              </w:rPr>
              <w:t>1)</w:t>
            </w:r>
            <w:r w:rsidRPr="00FA1EC2">
              <w:rPr>
                <w:rFonts w:ascii="Times New Roman" w:eastAsia="Calibri" w:hAnsi="Times New Roman" w:cs="Times New Roman"/>
                <w:sz w:val="16"/>
                <w:szCs w:val="16"/>
              </w:rPr>
              <w:t>, Vietnam</w:t>
            </w:r>
            <w:r>
              <w:rPr>
                <w:rFonts w:ascii="Times New Roman" w:eastAsia="Calibri" w:hAnsi="Times New Roman" w:cs="Times New Roman"/>
                <w:sz w:val="16"/>
                <w:szCs w:val="16"/>
              </w:rPr>
              <w:t xml:space="preserve"> (1)</w:t>
            </w:r>
            <w:r w:rsidRPr="00FA1EC2">
              <w:rPr>
                <w:rFonts w:ascii="Times New Roman" w:eastAsia="Calibri" w:hAnsi="Times New Roman" w:cs="Times New Roman"/>
                <w:sz w:val="16"/>
                <w:szCs w:val="16"/>
              </w:rPr>
              <w:t>, Zanzibar</w:t>
            </w:r>
            <w:r>
              <w:rPr>
                <w:rFonts w:ascii="Times New Roman" w:eastAsia="Calibri" w:hAnsi="Times New Roman" w:cs="Times New Roman"/>
                <w:sz w:val="16"/>
                <w:szCs w:val="16"/>
              </w:rPr>
              <w:t xml:space="preserve"> (1)</w:t>
            </w:r>
          </w:p>
          <w:p w14:paraId="53ABA260" w14:textId="77777777" w:rsidR="004E7DD3" w:rsidRPr="00FA1EC2" w:rsidRDefault="004E7DD3" w:rsidP="000B6948">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Pr>
                <w:rFonts w:ascii="Times New Roman" w:eastAsia="Calibri" w:hAnsi="Times New Roman" w:cs="Times New Roman"/>
                <w:sz w:val="16"/>
                <w:szCs w:val="16"/>
              </w:rPr>
              <w:t xml:space="preserve">N= 8 </w:t>
            </w:r>
          </w:p>
        </w:tc>
        <w:tc>
          <w:tcPr>
            <w:tcW w:w="1866" w:type="dxa"/>
            <w:shd w:val="clear" w:color="auto" w:fill="auto"/>
          </w:tcPr>
          <w:p w14:paraId="7A8123E6" w14:textId="77777777" w:rsidR="004E7DD3" w:rsidRDefault="004E7DD3" w:rsidP="000B6948">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Pr>
                <w:rFonts w:ascii="Times New Roman" w:eastAsia="Calibri" w:hAnsi="Times New Roman" w:cs="Times New Roman"/>
                <w:sz w:val="16"/>
                <w:szCs w:val="16"/>
              </w:rPr>
              <w:t xml:space="preserve">Participants: </w:t>
            </w:r>
            <w:r w:rsidRPr="00C618B8">
              <w:rPr>
                <w:rFonts w:ascii="Times New Roman" w:eastAsia="Calibri" w:hAnsi="Times New Roman" w:cs="Times New Roman"/>
                <w:sz w:val="16"/>
                <w:szCs w:val="16"/>
              </w:rPr>
              <w:t>neonate, post‐neonate up to six month</w:t>
            </w:r>
            <w:r>
              <w:rPr>
                <w:rFonts w:ascii="Times New Roman" w:eastAsia="Calibri" w:hAnsi="Times New Roman" w:cs="Times New Roman"/>
                <w:sz w:val="16"/>
                <w:szCs w:val="16"/>
              </w:rPr>
              <w:t>s</w:t>
            </w:r>
          </w:p>
          <w:p w14:paraId="474B2564" w14:textId="77777777" w:rsidR="004E7DD3" w:rsidRPr="00DD5980" w:rsidRDefault="004E7DD3" w:rsidP="000B6948">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Pr>
                <w:rFonts w:ascii="Times New Roman" w:eastAsia="Calibri" w:hAnsi="Times New Roman" w:cs="Times New Roman"/>
                <w:sz w:val="16"/>
                <w:szCs w:val="16"/>
              </w:rPr>
              <w:t xml:space="preserve">Sample sizes: </w:t>
            </w:r>
            <w:r w:rsidRPr="00FE111C">
              <w:rPr>
                <w:rFonts w:ascii="Times New Roman" w:eastAsia="Calibri" w:hAnsi="Times New Roman" w:cs="Times New Roman"/>
                <w:sz w:val="16"/>
                <w:szCs w:val="16"/>
              </w:rPr>
              <w:t xml:space="preserve">85,629 </w:t>
            </w:r>
          </w:p>
        </w:tc>
        <w:tc>
          <w:tcPr>
            <w:tcW w:w="1812" w:type="dxa"/>
            <w:shd w:val="clear" w:color="auto" w:fill="auto"/>
          </w:tcPr>
          <w:p w14:paraId="28E64A51" w14:textId="77777777" w:rsidR="004E7DD3" w:rsidRDefault="004E7DD3" w:rsidP="000B6948">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Pr>
                <w:rFonts w:ascii="Times New Roman" w:eastAsia="Calibri" w:hAnsi="Times New Roman" w:cs="Times New Roman"/>
                <w:sz w:val="16"/>
                <w:szCs w:val="16"/>
              </w:rPr>
              <w:t xml:space="preserve">Zinc vs Placebo </w:t>
            </w:r>
          </w:p>
          <w:p w14:paraId="25BDC8DD" w14:textId="77777777" w:rsidR="004E7DD3" w:rsidRPr="00FE111C" w:rsidRDefault="004E7DD3" w:rsidP="000B694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p>
        </w:tc>
        <w:tc>
          <w:tcPr>
            <w:tcW w:w="1823" w:type="dxa"/>
            <w:shd w:val="clear" w:color="auto" w:fill="auto"/>
          </w:tcPr>
          <w:p w14:paraId="7CCF8C0A" w14:textId="77777777" w:rsidR="004E7DD3" w:rsidRDefault="004E7DD3" w:rsidP="000B6948">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Pr>
                <w:rFonts w:ascii="Times New Roman" w:eastAsia="Calibri" w:hAnsi="Times New Roman" w:cs="Times New Roman"/>
                <w:sz w:val="16"/>
                <w:szCs w:val="16"/>
              </w:rPr>
              <w:t xml:space="preserve">Incidence of stunting and wasting after 6 months, LAZ 6 MONTHS, WLZ 6 months, </w:t>
            </w:r>
            <w:proofErr w:type="spellStart"/>
            <w:r w:rsidRPr="00B63EB4">
              <w:rPr>
                <w:rFonts w:ascii="Times New Roman" w:eastAsia="Calibri" w:hAnsi="Times New Roman" w:cs="Times New Roman"/>
                <w:sz w:val="16"/>
                <w:szCs w:val="16"/>
              </w:rPr>
              <w:t>Diarrhoea</w:t>
            </w:r>
            <w:proofErr w:type="spellEnd"/>
            <w:r w:rsidRPr="00B63EB4">
              <w:rPr>
                <w:rFonts w:ascii="Times New Roman" w:eastAsia="Calibri" w:hAnsi="Times New Roman" w:cs="Times New Roman"/>
                <w:sz w:val="16"/>
                <w:szCs w:val="16"/>
              </w:rPr>
              <w:t>‐specific mortality rate</w:t>
            </w:r>
          </w:p>
          <w:p w14:paraId="413C5FF5" w14:textId="77777777" w:rsidR="004E7DD3" w:rsidRPr="00FE111C" w:rsidRDefault="004E7DD3" w:rsidP="000B694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p>
        </w:tc>
        <w:tc>
          <w:tcPr>
            <w:tcW w:w="1187" w:type="dxa"/>
            <w:shd w:val="clear" w:color="auto" w:fill="auto"/>
          </w:tcPr>
          <w:p w14:paraId="443A0B4D" w14:textId="77777777" w:rsidR="004E7DD3" w:rsidRPr="00B63EB4" w:rsidRDefault="004E7DD3" w:rsidP="000B6948">
            <w:pPr>
              <w:tabs>
                <w:tab w:val="left" w:pos="466"/>
              </w:tab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Yes-GRADE</w:t>
            </w:r>
          </w:p>
        </w:tc>
        <w:tc>
          <w:tcPr>
            <w:tcW w:w="1864" w:type="dxa"/>
            <w:shd w:val="clear" w:color="auto" w:fill="auto"/>
          </w:tcPr>
          <w:p w14:paraId="01D065E3" w14:textId="77777777" w:rsidR="004E7DD3" w:rsidRPr="00B63EB4" w:rsidRDefault="004E7DD3" w:rsidP="000B6948">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Pr>
                <w:rFonts w:ascii="Times New Roman" w:eastAsia="Calibri" w:hAnsi="Times New Roman" w:cs="Times New Roman"/>
                <w:sz w:val="16"/>
                <w:szCs w:val="16"/>
              </w:rPr>
              <w:t>F</w:t>
            </w:r>
            <w:r w:rsidRPr="00FA1EC2">
              <w:rPr>
                <w:rFonts w:ascii="Times New Roman" w:eastAsia="Calibri" w:hAnsi="Times New Roman" w:cs="Times New Roman"/>
                <w:sz w:val="16"/>
                <w:szCs w:val="16"/>
              </w:rPr>
              <w:t xml:space="preserve">ixed‐effect meta‐analysis model </w:t>
            </w:r>
            <w:r>
              <w:rPr>
                <w:rFonts w:ascii="Times New Roman" w:eastAsia="Calibri" w:hAnsi="Times New Roman" w:cs="Times New Roman"/>
                <w:sz w:val="16"/>
                <w:szCs w:val="16"/>
              </w:rPr>
              <w:t xml:space="preserve">or </w:t>
            </w:r>
            <w:r w:rsidRPr="00FA1EC2">
              <w:rPr>
                <w:rFonts w:ascii="Times New Roman" w:eastAsia="Calibri" w:hAnsi="Times New Roman" w:cs="Times New Roman"/>
                <w:sz w:val="16"/>
                <w:szCs w:val="16"/>
              </w:rPr>
              <w:t>random‐effects meta‐analysis model.</w:t>
            </w:r>
          </w:p>
        </w:tc>
      </w:tr>
      <w:tr w:rsidR="004E7DD3" w:rsidRPr="00DD5980" w14:paraId="0F6FC2AB" w14:textId="77777777" w:rsidTr="000B69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9" w:type="dxa"/>
            <w:tcBorders>
              <w:top w:val="single" w:sz="4" w:space="0" w:color="auto"/>
              <w:left w:val="single" w:sz="4" w:space="0" w:color="auto"/>
              <w:bottom w:val="single" w:sz="4" w:space="0" w:color="auto"/>
            </w:tcBorders>
          </w:tcPr>
          <w:p w14:paraId="0DDCA7B6" w14:textId="77777777" w:rsidR="004E7DD3" w:rsidRPr="00DD5980" w:rsidRDefault="004E7DD3" w:rsidP="000B6948">
            <w:pPr>
              <w:spacing w:after="160" w:line="259" w:lineRule="auto"/>
              <w:jc w:val="left"/>
              <w:rPr>
                <w:rFonts w:ascii="Times New Roman" w:eastAsia="Calibri" w:hAnsi="Times New Roman" w:cs="Times New Roman"/>
                <w:sz w:val="16"/>
                <w:szCs w:val="16"/>
              </w:rPr>
            </w:pPr>
            <w:r w:rsidRPr="00DD5980">
              <w:rPr>
                <w:rFonts w:ascii="Times New Roman" w:eastAsia="Calibri" w:hAnsi="Times New Roman" w:cs="Times New Roman"/>
                <w:sz w:val="16"/>
                <w:szCs w:val="16"/>
              </w:rPr>
              <w:t>Lazzerini et al., 2016</w:t>
            </w:r>
            <w:r>
              <w:rPr>
                <w:rFonts w:ascii="Times New Roman" w:eastAsia="Calibri" w:hAnsi="Times New Roman" w:cs="Times New Roman"/>
                <w:sz w:val="16"/>
                <w:szCs w:val="16"/>
              </w:rPr>
              <w:t xml:space="preserve"> </w:t>
            </w:r>
            <w:r>
              <w:rPr>
                <w:rFonts w:ascii="Times New Roman" w:eastAsia="Calibri" w:hAnsi="Times New Roman" w:cs="Times New Roman"/>
                <w:sz w:val="16"/>
                <w:szCs w:val="16"/>
              </w:rPr>
              <w:fldChar w:fldCharType="begin"/>
            </w:r>
            <w:r>
              <w:rPr>
                <w:rFonts w:ascii="Times New Roman" w:eastAsia="Calibri" w:hAnsi="Times New Roman" w:cs="Times New Roman"/>
                <w:sz w:val="16"/>
                <w:szCs w:val="16"/>
              </w:rPr>
              <w:instrText xml:space="preserve"> ADDIN ZOTERO_ITEM CSL_CITATION {"citationID":"s8nTNYzP","properties":{"formattedCitation":"(37)","plainCitation":"(37)","noteIndex":0},"citationItems":[{"id":170,"uris":["http://zotero.org/users/13596477/items/IJERRNL2"],"itemData":{"id":170,"type":"article-journal","container-title":"Cochrane Database of Systematic Reviews","DOI":"10.1002/14651858.CD005436.pub5","ISSN":"14651858","issue":"4","language":"en","source":"DOI.org (Crossref)","title":"Oral zinc for treating diarrhoea in children","URL":"http://doi.wiley.com/10.1002/14651858.CD005436.pub5","volume":"2017","author":[{"family":"Lazzerini","given":"Marzia"},{"family":"Wanzira","given":"Humphrey"}],"editor":[{"literal":"Cochrane Infectious Diseases Group"}],"accessed":{"date-parts":[["2025",1,19]]},"issued":{"date-parts":[["2016",12,20]]}}}],"schema":"https://github.com/citation-style-language/schema/raw/master/csl-citation.json"} </w:instrText>
            </w:r>
            <w:r>
              <w:rPr>
                <w:rFonts w:ascii="Times New Roman" w:eastAsia="Calibri" w:hAnsi="Times New Roman" w:cs="Times New Roman"/>
                <w:sz w:val="16"/>
                <w:szCs w:val="16"/>
              </w:rPr>
              <w:fldChar w:fldCharType="separate"/>
            </w:r>
            <w:r>
              <w:rPr>
                <w:rFonts w:ascii="Times New Roman" w:eastAsia="Calibri" w:hAnsi="Times New Roman" w:cs="Times New Roman"/>
                <w:noProof/>
                <w:sz w:val="16"/>
                <w:szCs w:val="16"/>
              </w:rPr>
              <w:t>(37)</w:t>
            </w:r>
            <w:r>
              <w:rPr>
                <w:rFonts w:ascii="Times New Roman" w:eastAsia="Calibri" w:hAnsi="Times New Roman" w:cs="Times New Roman"/>
                <w:sz w:val="16"/>
                <w:szCs w:val="16"/>
              </w:rPr>
              <w:fldChar w:fldCharType="end"/>
            </w:r>
          </w:p>
        </w:tc>
        <w:tc>
          <w:tcPr>
            <w:tcW w:w="2286" w:type="dxa"/>
            <w:tcBorders>
              <w:top w:val="single" w:sz="4" w:space="0" w:color="auto"/>
            </w:tcBorders>
          </w:tcPr>
          <w:p w14:paraId="651A98FA"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To evaluate oral zinc supplementation for treating children with acute or persistent </w:t>
            </w:r>
            <w:proofErr w:type="spellStart"/>
            <w:r w:rsidRPr="00DD5980">
              <w:rPr>
                <w:rFonts w:ascii="Times New Roman" w:eastAsia="Calibri" w:hAnsi="Times New Roman" w:cs="Times New Roman"/>
                <w:sz w:val="16"/>
                <w:szCs w:val="16"/>
              </w:rPr>
              <w:t>diarrhoea</w:t>
            </w:r>
            <w:proofErr w:type="spellEnd"/>
            <w:r w:rsidRPr="00DD5980">
              <w:rPr>
                <w:rFonts w:ascii="Times New Roman" w:eastAsia="Calibri" w:hAnsi="Times New Roman" w:cs="Times New Roman"/>
                <w:sz w:val="16"/>
                <w:szCs w:val="16"/>
              </w:rPr>
              <w:t>.</w:t>
            </w:r>
          </w:p>
        </w:tc>
        <w:tc>
          <w:tcPr>
            <w:tcW w:w="2423" w:type="dxa"/>
          </w:tcPr>
          <w:p w14:paraId="486BA0F0"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FA1EC2">
              <w:rPr>
                <w:rFonts w:ascii="Times New Roman" w:eastAsia="Calibri" w:hAnsi="Times New Roman" w:cs="Times New Roman"/>
                <w:sz w:val="16"/>
                <w:szCs w:val="16"/>
                <w:lang w:val="es-MX"/>
              </w:rPr>
              <w:t xml:space="preserve">Bangladesh (7), India (9), Pakistan (2), Nepal (1), China (2), Turkey (3), Brazil (1), Peru (1), Ethiopia (2), Nigeria (1), Australia (1), Multiregional (1). </w:t>
            </w:r>
            <w:r w:rsidRPr="00DD5980">
              <w:rPr>
                <w:rFonts w:ascii="Times New Roman" w:eastAsia="Calibri" w:hAnsi="Times New Roman" w:cs="Times New Roman"/>
                <w:sz w:val="16"/>
                <w:szCs w:val="16"/>
              </w:rPr>
              <w:t>N=33</w:t>
            </w:r>
          </w:p>
        </w:tc>
        <w:tc>
          <w:tcPr>
            <w:tcW w:w="1866" w:type="dxa"/>
          </w:tcPr>
          <w:p w14:paraId="6409E32A"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Participants: children aged one month to five years with acute or persistent </w:t>
            </w:r>
            <w:proofErr w:type="spellStart"/>
            <w:r w:rsidRPr="00DD5980">
              <w:rPr>
                <w:rFonts w:ascii="Times New Roman" w:eastAsia="Calibri" w:hAnsi="Times New Roman" w:cs="Times New Roman"/>
                <w:sz w:val="16"/>
                <w:szCs w:val="16"/>
              </w:rPr>
              <w:t>diarrhoea</w:t>
            </w:r>
            <w:proofErr w:type="spellEnd"/>
            <w:r w:rsidRPr="00DD5980">
              <w:rPr>
                <w:rFonts w:ascii="Times New Roman" w:eastAsia="Calibri" w:hAnsi="Times New Roman" w:cs="Times New Roman"/>
                <w:sz w:val="16"/>
                <w:szCs w:val="16"/>
              </w:rPr>
              <w:t>, including dysentery.</w:t>
            </w:r>
            <w:r w:rsidRPr="00DD5980">
              <w:rPr>
                <w:rFonts w:ascii="Times New Roman" w:eastAsia="Calibri" w:hAnsi="Times New Roman" w:cs="Times New Roman"/>
                <w:sz w:val="16"/>
                <w:szCs w:val="16"/>
              </w:rPr>
              <w:br/>
              <w:t>Sample size: 10841</w:t>
            </w:r>
          </w:p>
        </w:tc>
        <w:tc>
          <w:tcPr>
            <w:tcW w:w="1812" w:type="dxa"/>
          </w:tcPr>
          <w:p w14:paraId="6A5CA323" w14:textId="77777777" w:rsidR="004E7DD3" w:rsidRPr="005322BC"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Therapeutic zinc vs. Placebo</w:t>
            </w:r>
            <w:r>
              <w:rPr>
                <w:rFonts w:ascii="Times New Roman" w:eastAsia="Calibri" w:hAnsi="Times New Roman" w:cs="Times New Roman"/>
                <w:sz w:val="16"/>
                <w:szCs w:val="16"/>
              </w:rPr>
              <w:t>/No supplement</w:t>
            </w:r>
          </w:p>
        </w:tc>
        <w:tc>
          <w:tcPr>
            <w:tcW w:w="1823" w:type="dxa"/>
          </w:tcPr>
          <w:p w14:paraId="7EEB7098"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Diarrhea </w:t>
            </w:r>
            <w:r w:rsidRPr="00DD5980">
              <w:rPr>
                <w:rFonts w:ascii="Times New Roman" w:eastAsia="Calibri" w:hAnsi="Times New Roman" w:cs="Times New Roman"/>
                <w:sz w:val="16"/>
                <w:szCs w:val="16"/>
              </w:rPr>
              <w:br/>
            </w:r>
          </w:p>
        </w:tc>
        <w:tc>
          <w:tcPr>
            <w:tcW w:w="1187" w:type="dxa"/>
          </w:tcPr>
          <w:p w14:paraId="294B733A"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Yes-GRADE </w:t>
            </w:r>
          </w:p>
        </w:tc>
        <w:tc>
          <w:tcPr>
            <w:tcW w:w="1864" w:type="dxa"/>
          </w:tcPr>
          <w:p w14:paraId="4E904339"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Random-effects meta-analysis</w:t>
            </w:r>
            <w:r>
              <w:rPr>
                <w:rFonts w:ascii="Times New Roman" w:eastAsia="Calibri" w:hAnsi="Times New Roman" w:cs="Times New Roman"/>
                <w:sz w:val="16"/>
                <w:szCs w:val="16"/>
              </w:rPr>
              <w:t>, h</w:t>
            </w:r>
            <w:r w:rsidRPr="00DD5980">
              <w:rPr>
                <w:rFonts w:ascii="Times New Roman" w:eastAsia="Calibri" w:hAnsi="Times New Roman" w:cs="Times New Roman"/>
                <w:sz w:val="16"/>
                <w:szCs w:val="16"/>
              </w:rPr>
              <w:t xml:space="preserve">eterogeneity test. </w:t>
            </w:r>
            <w:r w:rsidRPr="00DD5980">
              <w:rPr>
                <w:rFonts w:ascii="Times New Roman" w:eastAsia="Calibri" w:hAnsi="Times New Roman" w:cs="Times New Roman"/>
                <w:sz w:val="16"/>
                <w:szCs w:val="16"/>
              </w:rPr>
              <w:br/>
            </w:r>
          </w:p>
        </w:tc>
      </w:tr>
      <w:tr w:rsidR="004E7DD3" w:rsidRPr="00DD5980" w14:paraId="44E93967" w14:textId="77777777" w:rsidTr="000B6948">
        <w:tc>
          <w:tcPr>
            <w:cnfStyle w:val="001000000000" w:firstRow="0" w:lastRow="0" w:firstColumn="1" w:lastColumn="0" w:oddVBand="0" w:evenVBand="0" w:oddHBand="0" w:evenHBand="0" w:firstRowFirstColumn="0" w:firstRowLastColumn="0" w:lastRowFirstColumn="0" w:lastRowLastColumn="0"/>
            <w:tcW w:w="1319" w:type="dxa"/>
            <w:tcBorders>
              <w:top w:val="single" w:sz="4" w:space="0" w:color="auto"/>
              <w:left w:val="single" w:sz="4" w:space="0" w:color="auto"/>
              <w:bottom w:val="single" w:sz="4" w:space="0" w:color="auto"/>
            </w:tcBorders>
          </w:tcPr>
          <w:p w14:paraId="4D8BCF3F" w14:textId="77777777" w:rsidR="004E7DD3" w:rsidRPr="00DD5980" w:rsidRDefault="004E7DD3" w:rsidP="000B6948">
            <w:pPr>
              <w:spacing w:after="160" w:line="259" w:lineRule="auto"/>
              <w:jc w:val="left"/>
              <w:rPr>
                <w:rFonts w:ascii="Times New Roman" w:eastAsia="Calibri" w:hAnsi="Times New Roman" w:cs="Times New Roman"/>
                <w:sz w:val="16"/>
                <w:szCs w:val="16"/>
              </w:rPr>
            </w:pPr>
            <w:r w:rsidRPr="00741B9B">
              <w:rPr>
                <w:rFonts w:ascii="Times New Roman" w:eastAsia="Calibri" w:hAnsi="Times New Roman" w:cs="Times New Roman"/>
                <w:sz w:val="16"/>
                <w:szCs w:val="16"/>
              </w:rPr>
              <w:t>Li et al., 2021</w:t>
            </w:r>
          </w:p>
        </w:tc>
        <w:tc>
          <w:tcPr>
            <w:tcW w:w="2286" w:type="dxa"/>
          </w:tcPr>
          <w:p w14:paraId="079A756A"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To compare and evaluate the efficacy and safety of immediate cord clamping (ICC) and delayed cord clamping (DCC) in preterm infants.</w:t>
            </w:r>
          </w:p>
        </w:tc>
        <w:tc>
          <w:tcPr>
            <w:tcW w:w="2423" w:type="dxa"/>
          </w:tcPr>
          <w:p w14:paraId="4B970899"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USA (7), India (3), China (3), Switzerland (1), Turkey (1), UK (1), Israel (1), Australia (1), Germany (1), and Netherlands (1). N=20</w:t>
            </w:r>
          </w:p>
        </w:tc>
        <w:tc>
          <w:tcPr>
            <w:tcW w:w="1866" w:type="dxa"/>
          </w:tcPr>
          <w:p w14:paraId="7C31AC0C"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Participants: preterm infants</w:t>
            </w:r>
            <w:r w:rsidRPr="00DD5980">
              <w:rPr>
                <w:rFonts w:ascii="Times New Roman" w:eastAsia="Calibri" w:hAnsi="Times New Roman" w:cs="Times New Roman"/>
                <w:sz w:val="16"/>
                <w:szCs w:val="16"/>
              </w:rPr>
              <w:br/>
              <w:t>Sample size: 1,807</w:t>
            </w:r>
          </w:p>
        </w:tc>
        <w:tc>
          <w:tcPr>
            <w:tcW w:w="1812" w:type="dxa"/>
          </w:tcPr>
          <w:p w14:paraId="18A239BB"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Delayed vs. Immediate or early clamping</w:t>
            </w:r>
          </w:p>
        </w:tc>
        <w:tc>
          <w:tcPr>
            <w:tcW w:w="1823" w:type="dxa"/>
          </w:tcPr>
          <w:p w14:paraId="228D67AB"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Hemoglobin levels at 24 hours of life, anemia, and mortality.</w:t>
            </w:r>
          </w:p>
        </w:tc>
        <w:tc>
          <w:tcPr>
            <w:tcW w:w="1187" w:type="dxa"/>
          </w:tcPr>
          <w:p w14:paraId="25CECF75"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Yes - Cochrane Collaboration's risk of bias tool</w:t>
            </w:r>
          </w:p>
        </w:tc>
        <w:tc>
          <w:tcPr>
            <w:tcW w:w="1864" w:type="dxa"/>
          </w:tcPr>
          <w:p w14:paraId="09F98829"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Fixed-effects and random effects models</w:t>
            </w:r>
          </w:p>
        </w:tc>
      </w:tr>
      <w:tr w:rsidR="004E7DD3" w:rsidRPr="00DD5980" w14:paraId="461D25C1" w14:textId="77777777" w:rsidTr="000B69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9" w:type="dxa"/>
            <w:tcBorders>
              <w:top w:val="single" w:sz="4" w:space="0" w:color="auto"/>
              <w:left w:val="single" w:sz="4" w:space="0" w:color="auto"/>
              <w:bottom w:val="single" w:sz="4" w:space="0" w:color="auto"/>
            </w:tcBorders>
          </w:tcPr>
          <w:p w14:paraId="424BFA36" w14:textId="77777777" w:rsidR="004E7DD3" w:rsidRPr="00DD5980" w:rsidRDefault="004E7DD3" w:rsidP="000B6948">
            <w:pPr>
              <w:spacing w:after="160" w:line="259" w:lineRule="auto"/>
              <w:jc w:val="left"/>
              <w:rPr>
                <w:rFonts w:ascii="Times New Roman" w:eastAsia="Calibri" w:hAnsi="Times New Roman" w:cs="Times New Roman"/>
                <w:sz w:val="16"/>
                <w:szCs w:val="16"/>
              </w:rPr>
            </w:pPr>
            <w:proofErr w:type="spellStart"/>
            <w:r w:rsidRPr="00DD5980">
              <w:rPr>
                <w:rFonts w:ascii="Times New Roman" w:eastAsia="Calibri" w:hAnsi="Times New Roman" w:cs="Times New Roman"/>
                <w:sz w:val="16"/>
                <w:szCs w:val="16"/>
              </w:rPr>
              <w:t>Mahumud</w:t>
            </w:r>
            <w:proofErr w:type="spellEnd"/>
            <w:r w:rsidRPr="00DD5980">
              <w:rPr>
                <w:rFonts w:ascii="Times New Roman" w:eastAsia="Calibri" w:hAnsi="Times New Roman" w:cs="Times New Roman"/>
                <w:sz w:val="16"/>
                <w:szCs w:val="16"/>
              </w:rPr>
              <w:t xml:space="preserve"> et al., 2022</w:t>
            </w:r>
            <w:r>
              <w:rPr>
                <w:rFonts w:ascii="Times New Roman" w:eastAsia="Calibri" w:hAnsi="Times New Roman" w:cs="Times New Roman"/>
                <w:sz w:val="16"/>
                <w:szCs w:val="16"/>
              </w:rPr>
              <w:t xml:space="preserve"> </w:t>
            </w:r>
            <w:r>
              <w:rPr>
                <w:rFonts w:ascii="Times New Roman" w:eastAsia="Calibri" w:hAnsi="Times New Roman" w:cs="Times New Roman"/>
                <w:sz w:val="16"/>
                <w:szCs w:val="16"/>
              </w:rPr>
              <w:fldChar w:fldCharType="begin"/>
            </w:r>
            <w:r>
              <w:rPr>
                <w:rFonts w:ascii="Times New Roman" w:eastAsia="Calibri" w:hAnsi="Times New Roman" w:cs="Times New Roman"/>
                <w:sz w:val="16"/>
                <w:szCs w:val="16"/>
              </w:rPr>
              <w:instrText xml:space="preserve"> ADDIN ZOTERO_ITEM CSL_CITATION {"citationID":"KEAybrbS","properties":{"formattedCitation":"(47)","plainCitation":"(47)","noteIndex":0},"citationItems":[{"id":198,"uris":["http://zotero.org/users/13596477/items/IVGU3VMF"],"itemData":{"id":198,"type":"article-journal","abstract":"Abstract\n            \n              This systematic review and meta‐analysis aimed to assess the robustness of designs and tools used in nutrition social behaviour change communication (NSBCC) interventions and establish their effectiveness. EBSCOhost as an umbrella database including Medline (Ovid) and CINAHL, EMBASE, and ProQUEST databases were searched for peer‐reviewed articles from January 1960 to October 2018. Additional sources were searched to identify all relevant studies including grey literature. Studies' biases were assessed according to Cochrane handbook. Pooled estimate of effectiveness of interventions on infant and young child feeding (IYCF) practices and child nutritional status with 95% confidence intervals were measured using random‐effects models. Eighty studies were included in this review: Fifty‐one (64%) were cluster randomised controlled trials (RCTs), 13 (16%) were RCTs and 16 (20%) quasi‐experimental. Of the included studies, 22 (27%) measured early initiation of breastfeeding, 38 (47%) measured exclusive breastfeeding, 29 (36%) measured minimum dietary diversity, 21 (26%) measured minimum meal frequency, 26 (32%) measured height for age z‐scores (HAZ), 23 (29%) measured weight for height z‐scores (WHZ), 27 (34%) measured weight for age z‐scores (WAZ), 20 (25%) measured stunting, 14 (17%) measured wasting, and 11 (14%) measured underweight. The overall intervention's effect was significant for exclusive breastfeeding (EBF) (odds ratio = 1.73; 95% confidence interval [CI]: 1.35–2.11,\n              p\n               &lt; 0.001), HAZ (standardized mean differences [SMD] = 0.19; 95% CI: 0.17–0.21;\n              p\n               &lt; 0.001), WHZ (SMD = 0.02; 95% CI: 0.004–0.04;\n              p\n               &lt; 0.001), and WAZ (SMD = 0.04; 95% CI: 0.02–0.06;\n              p\n               &lt; 0.001). Evidence shows the effectiveness of NSBCC in improving EBF and child anthropometric outcomes. Further research should test the impact on child nutritional status with clearly specified and detailed NSBCC interventions.\n            \n          , \n            Key messages\n            \n              \n                \n                  Some nutrition social behaviour change communication (NSBCC) interventions significantly improved exclusive breastfeeding (EBF) practices and child anthropometric outcomes and need to be considered while planning child nutrition interventions.\n                \n                \n                  Studies used different intervention protocols and operational definitions. Most studies employed a mix of the NSBCC interventions often with unspecified frequency and dosage.\n                \n                \n                  Future intervention studies should provide detailed implementation strategies for NSBCC interventions and use standard indicators to measure child nutritional status outcome indicators.","container-title":"Maternal &amp; Child Nutrition","DOI":"10.1111/mcn.13286","ISSN":"1740-8695, 1740-8709","issue":"1","journalAbbreviation":"Maternal &amp; Child Nutrition","language":"en","page":"e13286","source":"DOI.org (Crossref)","title":"The effectiveness of interventions on nutrition social behaviour change communication in improving child nutritional status within the first 1000 days: Evidence from a systematic review and meta‐analysis","title-short":"The effectiveness of interventions on nutrition social behaviour change communication in improving child nutritional status within the first 1000 days","volume":"18","author":[{"family":"Mahumud","given":"Rashidul A."},{"family":"Uprety","given":"Sophiya"},{"family":"Wali","given":"Nidhi"},{"family":"Renzaho","given":"Andre M. N."},{"family":"Chitekwe","given":"Stanley"}],"issued":{"date-parts":[["2022",1]]}}}],"schema":"https://github.com/citation-style-language/schema/raw/master/csl-citation.json"} </w:instrText>
            </w:r>
            <w:r>
              <w:rPr>
                <w:rFonts w:ascii="Times New Roman" w:eastAsia="Calibri" w:hAnsi="Times New Roman" w:cs="Times New Roman"/>
                <w:sz w:val="16"/>
                <w:szCs w:val="16"/>
              </w:rPr>
              <w:fldChar w:fldCharType="separate"/>
            </w:r>
            <w:r>
              <w:rPr>
                <w:rFonts w:ascii="Times New Roman" w:eastAsia="Calibri" w:hAnsi="Times New Roman" w:cs="Times New Roman"/>
                <w:noProof/>
                <w:sz w:val="16"/>
                <w:szCs w:val="16"/>
              </w:rPr>
              <w:t>(47)</w:t>
            </w:r>
            <w:r>
              <w:rPr>
                <w:rFonts w:ascii="Times New Roman" w:eastAsia="Calibri" w:hAnsi="Times New Roman" w:cs="Times New Roman"/>
                <w:sz w:val="16"/>
                <w:szCs w:val="16"/>
              </w:rPr>
              <w:fldChar w:fldCharType="end"/>
            </w:r>
          </w:p>
        </w:tc>
        <w:tc>
          <w:tcPr>
            <w:tcW w:w="2286" w:type="dxa"/>
          </w:tcPr>
          <w:p w14:paraId="77CAC2A1"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To assess the effectiveness of nutrition SBCC interventions on child nutritional status during the first 1000 days.</w:t>
            </w:r>
          </w:p>
        </w:tc>
        <w:tc>
          <w:tcPr>
            <w:tcW w:w="2423" w:type="dxa"/>
          </w:tcPr>
          <w:p w14:paraId="38999299"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Bangladesh: (14), India: (9), Malawi: (4), Uganda (4), Belarus (1), </w:t>
            </w:r>
            <w:proofErr w:type="spellStart"/>
            <w:r w:rsidRPr="00DD5980">
              <w:rPr>
                <w:rFonts w:ascii="Times New Roman" w:eastAsia="Calibri" w:hAnsi="Times New Roman" w:cs="Times New Roman"/>
                <w:sz w:val="16"/>
                <w:szCs w:val="16"/>
              </w:rPr>
              <w:t>Multicountry</w:t>
            </w:r>
            <w:proofErr w:type="spellEnd"/>
            <w:r w:rsidRPr="00DD5980">
              <w:rPr>
                <w:rFonts w:ascii="Times New Roman" w:eastAsia="Calibri" w:hAnsi="Times New Roman" w:cs="Times New Roman"/>
                <w:sz w:val="16"/>
                <w:szCs w:val="16"/>
              </w:rPr>
              <w:t xml:space="preserve"> studies (</w:t>
            </w:r>
            <w:proofErr w:type="gramStart"/>
            <w:r w:rsidRPr="00DD5980">
              <w:rPr>
                <w:rFonts w:ascii="Times New Roman" w:eastAsia="Calibri" w:hAnsi="Times New Roman" w:cs="Times New Roman"/>
                <w:sz w:val="16"/>
                <w:szCs w:val="16"/>
              </w:rPr>
              <w:t>1.Burkina</w:t>
            </w:r>
            <w:proofErr w:type="gramEnd"/>
            <w:r w:rsidRPr="00DD5980">
              <w:rPr>
                <w:rFonts w:ascii="Times New Roman" w:eastAsia="Calibri" w:hAnsi="Times New Roman" w:cs="Times New Roman"/>
                <w:sz w:val="16"/>
                <w:szCs w:val="16"/>
              </w:rPr>
              <w:t xml:space="preserve"> Faso, 2.Uganda, 3.South Africa). N=34</w:t>
            </w:r>
          </w:p>
        </w:tc>
        <w:tc>
          <w:tcPr>
            <w:tcW w:w="1866" w:type="dxa"/>
          </w:tcPr>
          <w:p w14:paraId="7699D803"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Participants: Pregnant women, mothers, and caregivers of children under 2 years</w:t>
            </w:r>
            <w:r w:rsidRPr="00DD5980">
              <w:rPr>
                <w:rFonts w:ascii="Times New Roman" w:eastAsia="Calibri" w:hAnsi="Times New Roman" w:cs="Times New Roman"/>
                <w:sz w:val="16"/>
                <w:szCs w:val="16"/>
              </w:rPr>
              <w:br/>
              <w:t>Sample: not specified</w:t>
            </w:r>
          </w:p>
        </w:tc>
        <w:tc>
          <w:tcPr>
            <w:tcW w:w="1812" w:type="dxa"/>
          </w:tcPr>
          <w:p w14:paraId="0700E288"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Complementary feeding counseling and education vs. standard of care</w:t>
            </w:r>
          </w:p>
        </w:tc>
        <w:tc>
          <w:tcPr>
            <w:tcW w:w="1823" w:type="dxa"/>
          </w:tcPr>
          <w:p w14:paraId="47FF1D0D"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Stunting, </w:t>
            </w:r>
            <w:r>
              <w:rPr>
                <w:rFonts w:ascii="Times New Roman" w:eastAsia="Calibri" w:hAnsi="Times New Roman" w:cs="Times New Roman"/>
                <w:sz w:val="16"/>
                <w:szCs w:val="16"/>
              </w:rPr>
              <w:t>w</w:t>
            </w:r>
            <w:r w:rsidRPr="00DD5980">
              <w:rPr>
                <w:rFonts w:ascii="Times New Roman" w:eastAsia="Calibri" w:hAnsi="Times New Roman" w:cs="Times New Roman"/>
                <w:sz w:val="16"/>
                <w:szCs w:val="16"/>
              </w:rPr>
              <w:t>asting</w:t>
            </w:r>
          </w:p>
        </w:tc>
        <w:tc>
          <w:tcPr>
            <w:tcW w:w="1187" w:type="dxa"/>
          </w:tcPr>
          <w:p w14:paraId="210A448E"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proofErr w:type="gramStart"/>
            <w:r w:rsidRPr="00DD5980">
              <w:rPr>
                <w:rFonts w:ascii="Times New Roman" w:eastAsia="Calibri" w:hAnsi="Times New Roman" w:cs="Times New Roman"/>
                <w:sz w:val="16"/>
                <w:szCs w:val="16"/>
              </w:rPr>
              <w:t>Yes;</w:t>
            </w:r>
            <w:proofErr w:type="gramEnd"/>
            <w:r w:rsidRPr="00DD5980">
              <w:rPr>
                <w:rFonts w:ascii="Times New Roman" w:eastAsia="Calibri" w:hAnsi="Times New Roman" w:cs="Times New Roman"/>
                <w:sz w:val="16"/>
                <w:szCs w:val="16"/>
              </w:rPr>
              <w:t xml:space="preserve"> Cochrane Risk of Bias tool</w:t>
            </w:r>
          </w:p>
        </w:tc>
        <w:tc>
          <w:tcPr>
            <w:tcW w:w="1864" w:type="dxa"/>
          </w:tcPr>
          <w:p w14:paraId="21F4C458" w14:textId="77777777" w:rsidR="004E7DD3" w:rsidRPr="005322BC"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Random-effects meta-analysis</w:t>
            </w:r>
            <w:r>
              <w:rPr>
                <w:rFonts w:ascii="Times New Roman" w:eastAsia="Calibri" w:hAnsi="Times New Roman" w:cs="Times New Roman"/>
                <w:sz w:val="16"/>
                <w:szCs w:val="16"/>
              </w:rPr>
              <w:t>, h</w:t>
            </w:r>
            <w:r w:rsidRPr="00DD5980">
              <w:rPr>
                <w:rFonts w:ascii="Times New Roman" w:eastAsia="Calibri" w:hAnsi="Times New Roman" w:cs="Times New Roman"/>
                <w:sz w:val="16"/>
                <w:szCs w:val="16"/>
              </w:rPr>
              <w:t xml:space="preserve">eterogeneity test. </w:t>
            </w:r>
          </w:p>
        </w:tc>
      </w:tr>
      <w:tr w:rsidR="004E7DD3" w:rsidRPr="00DD5980" w14:paraId="39F9F4DC" w14:textId="77777777" w:rsidTr="000B6948">
        <w:tc>
          <w:tcPr>
            <w:cnfStyle w:val="001000000000" w:firstRow="0" w:lastRow="0" w:firstColumn="1" w:lastColumn="0" w:oddVBand="0" w:evenVBand="0" w:oddHBand="0" w:evenHBand="0" w:firstRowFirstColumn="0" w:firstRowLastColumn="0" w:lastRowFirstColumn="0" w:lastRowLastColumn="0"/>
            <w:tcW w:w="1319" w:type="dxa"/>
            <w:tcBorders>
              <w:top w:val="single" w:sz="4" w:space="0" w:color="auto"/>
              <w:left w:val="single" w:sz="4" w:space="0" w:color="auto"/>
              <w:bottom w:val="single" w:sz="4" w:space="0" w:color="auto"/>
            </w:tcBorders>
          </w:tcPr>
          <w:p w14:paraId="673E4962" w14:textId="77777777" w:rsidR="004E7DD3" w:rsidRPr="00DD5980" w:rsidRDefault="004E7DD3" w:rsidP="000B6948">
            <w:pPr>
              <w:spacing w:after="160" w:line="259" w:lineRule="auto"/>
              <w:jc w:val="left"/>
              <w:rPr>
                <w:rFonts w:ascii="Times New Roman" w:eastAsia="Calibri" w:hAnsi="Times New Roman" w:cs="Times New Roman"/>
                <w:sz w:val="16"/>
                <w:szCs w:val="16"/>
              </w:rPr>
            </w:pPr>
            <w:r w:rsidRPr="00DD5980">
              <w:rPr>
                <w:rFonts w:ascii="Times New Roman" w:eastAsia="Calibri" w:hAnsi="Times New Roman" w:cs="Times New Roman"/>
                <w:sz w:val="16"/>
                <w:szCs w:val="16"/>
              </w:rPr>
              <w:t>Mekonnen et al., 2019</w:t>
            </w:r>
            <w:r>
              <w:rPr>
                <w:rFonts w:ascii="Times New Roman" w:eastAsia="Calibri" w:hAnsi="Times New Roman" w:cs="Times New Roman"/>
                <w:sz w:val="16"/>
                <w:szCs w:val="16"/>
              </w:rPr>
              <w:t xml:space="preserve"> </w:t>
            </w:r>
            <w:r>
              <w:rPr>
                <w:rFonts w:ascii="Times New Roman" w:eastAsia="Calibri" w:hAnsi="Times New Roman" w:cs="Times New Roman"/>
                <w:sz w:val="16"/>
                <w:szCs w:val="16"/>
              </w:rPr>
              <w:fldChar w:fldCharType="begin"/>
            </w:r>
            <w:r>
              <w:rPr>
                <w:rFonts w:ascii="Times New Roman" w:eastAsia="Calibri" w:hAnsi="Times New Roman" w:cs="Times New Roman"/>
                <w:sz w:val="16"/>
                <w:szCs w:val="16"/>
              </w:rPr>
              <w:instrText xml:space="preserve"> ADDIN ZOTERO_ITEM CSL_CITATION {"citationID":"eTlXD3S4","properties":{"formattedCitation":"(54)","plainCitation":"(54)","noteIndex":0},"citationItems":[{"id":272,"uris":["http://zotero.org/users/13596477/items/4AK7V8CQ"],"itemData":{"id":272,"type":"article-journal","container-title":"International Breastfeeding Journal","DOI":"10.1186/s13006-019-0206-0","ISSN":"1746-4358","issue":"1","journalAbbreviation":"Int Breastfeed J","language":"en","page":"12","source":"DOI.org (Crossref)","title":"The effects of kangaroo mother care on the time to breastfeeding initiation among preterm and LBW infants: a meta-analysis of published studies","title-short":"The effects of kangaroo mother care on the time to breastfeeding initiation among preterm and LBW infants","volume":"14","author":[{"family":"Mekonnen","given":"Alemayehu Gonie"},{"family":"Yehualashet","given":"Sisay Shewasinad"},{"family":"Bayleyegn","given":"Alebachew Demelash"}],"issued":{"date-parts":[["2019",12]]}}}],"schema":"https://github.com/citation-style-language/schema/raw/master/csl-citation.json"} </w:instrText>
            </w:r>
            <w:r>
              <w:rPr>
                <w:rFonts w:ascii="Times New Roman" w:eastAsia="Calibri" w:hAnsi="Times New Roman" w:cs="Times New Roman"/>
                <w:sz w:val="16"/>
                <w:szCs w:val="16"/>
              </w:rPr>
              <w:fldChar w:fldCharType="separate"/>
            </w:r>
            <w:r>
              <w:rPr>
                <w:rFonts w:ascii="Times New Roman" w:eastAsia="Calibri" w:hAnsi="Times New Roman" w:cs="Times New Roman"/>
                <w:noProof/>
                <w:sz w:val="16"/>
                <w:szCs w:val="16"/>
              </w:rPr>
              <w:t>(54)</w:t>
            </w:r>
            <w:r>
              <w:rPr>
                <w:rFonts w:ascii="Times New Roman" w:eastAsia="Calibri" w:hAnsi="Times New Roman" w:cs="Times New Roman"/>
                <w:sz w:val="16"/>
                <w:szCs w:val="16"/>
              </w:rPr>
              <w:fldChar w:fldCharType="end"/>
            </w:r>
          </w:p>
        </w:tc>
        <w:tc>
          <w:tcPr>
            <w:tcW w:w="2286" w:type="dxa"/>
          </w:tcPr>
          <w:p w14:paraId="5B92207F"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To estimate the pooled mean time to initiate breastfeeding among preterm and low birthweight infants.</w:t>
            </w:r>
          </w:p>
        </w:tc>
        <w:tc>
          <w:tcPr>
            <w:tcW w:w="2423" w:type="dxa"/>
          </w:tcPr>
          <w:p w14:paraId="0FF5978F" w14:textId="77777777" w:rsidR="004E7DD3" w:rsidRPr="00DD5980" w:rsidRDefault="004E7DD3" w:rsidP="000B6948">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Bangladesh (2), Brazil (1), and India (5). N=8</w:t>
            </w:r>
          </w:p>
          <w:p w14:paraId="5BC4003F"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p>
        </w:tc>
        <w:tc>
          <w:tcPr>
            <w:tcW w:w="1866" w:type="dxa"/>
          </w:tcPr>
          <w:p w14:paraId="094A4CAD" w14:textId="77777777" w:rsidR="004E7DD3" w:rsidRPr="00DD5980" w:rsidRDefault="004E7DD3" w:rsidP="000B6948">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Participants: preterm and LBW neonates</w:t>
            </w:r>
            <w:r w:rsidRPr="00DD5980">
              <w:rPr>
                <w:rFonts w:ascii="Times New Roman" w:eastAsia="Calibri" w:hAnsi="Times New Roman" w:cs="Times New Roman"/>
                <w:sz w:val="16"/>
                <w:szCs w:val="16"/>
              </w:rPr>
              <w:br/>
              <w:t xml:space="preserve">Sample: 1,900 </w:t>
            </w:r>
          </w:p>
          <w:p w14:paraId="026C4FE2"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p>
        </w:tc>
        <w:tc>
          <w:tcPr>
            <w:tcW w:w="1812" w:type="dxa"/>
          </w:tcPr>
          <w:p w14:paraId="10414C13"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Pr>
                <w:rFonts w:ascii="Times New Roman" w:eastAsia="Calibri" w:hAnsi="Times New Roman" w:cs="Times New Roman"/>
                <w:sz w:val="16"/>
                <w:szCs w:val="16"/>
              </w:rPr>
              <w:t>KMC</w:t>
            </w:r>
            <w:r w:rsidRPr="00DD5980">
              <w:rPr>
                <w:rFonts w:ascii="Times New Roman" w:eastAsia="Calibri" w:hAnsi="Times New Roman" w:cs="Times New Roman"/>
                <w:sz w:val="16"/>
                <w:szCs w:val="16"/>
              </w:rPr>
              <w:t xml:space="preserve"> vs Conventional care</w:t>
            </w:r>
          </w:p>
        </w:tc>
        <w:tc>
          <w:tcPr>
            <w:tcW w:w="1823" w:type="dxa"/>
          </w:tcPr>
          <w:p w14:paraId="34102682"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Mean time to initiate breastfeeding</w:t>
            </w:r>
          </w:p>
        </w:tc>
        <w:tc>
          <w:tcPr>
            <w:tcW w:w="1187" w:type="dxa"/>
          </w:tcPr>
          <w:p w14:paraId="6AA21D25"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Yes </w:t>
            </w:r>
            <w:proofErr w:type="gramStart"/>
            <w:r w:rsidRPr="00DD5980">
              <w:rPr>
                <w:rFonts w:ascii="Times New Roman" w:eastAsia="Calibri" w:hAnsi="Times New Roman" w:cs="Times New Roman"/>
                <w:sz w:val="16"/>
                <w:szCs w:val="16"/>
              </w:rPr>
              <w:t>-  tool</w:t>
            </w:r>
            <w:proofErr w:type="gramEnd"/>
            <w:r w:rsidRPr="00DD5980">
              <w:rPr>
                <w:rFonts w:ascii="Times New Roman" w:eastAsia="Calibri" w:hAnsi="Times New Roman" w:cs="Times New Roman"/>
                <w:sz w:val="16"/>
                <w:szCs w:val="16"/>
              </w:rPr>
              <w:t xml:space="preserve"> not specified</w:t>
            </w:r>
          </w:p>
        </w:tc>
        <w:tc>
          <w:tcPr>
            <w:tcW w:w="1864" w:type="dxa"/>
          </w:tcPr>
          <w:p w14:paraId="6844FF10"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Random effects model</w:t>
            </w:r>
          </w:p>
        </w:tc>
      </w:tr>
      <w:tr w:rsidR="004E7DD3" w:rsidRPr="00DD5980" w14:paraId="4EC53FBE" w14:textId="77777777" w:rsidTr="000B69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9" w:type="dxa"/>
            <w:tcBorders>
              <w:top w:val="single" w:sz="4" w:space="0" w:color="auto"/>
              <w:left w:val="single" w:sz="4" w:space="0" w:color="auto"/>
              <w:bottom w:val="single" w:sz="4" w:space="0" w:color="auto"/>
            </w:tcBorders>
          </w:tcPr>
          <w:p w14:paraId="453372EA" w14:textId="77777777" w:rsidR="004E7DD3" w:rsidRPr="00DD5980" w:rsidRDefault="004E7DD3" w:rsidP="000B6948">
            <w:pPr>
              <w:spacing w:after="160" w:line="259" w:lineRule="auto"/>
              <w:jc w:val="left"/>
              <w:rPr>
                <w:rFonts w:ascii="Times New Roman" w:eastAsia="Calibri" w:hAnsi="Times New Roman" w:cs="Times New Roman"/>
                <w:sz w:val="16"/>
                <w:szCs w:val="16"/>
              </w:rPr>
            </w:pPr>
            <w:r w:rsidRPr="00DD5980">
              <w:rPr>
                <w:rFonts w:ascii="Times New Roman" w:eastAsia="Calibri" w:hAnsi="Times New Roman" w:cs="Times New Roman"/>
                <w:sz w:val="16"/>
                <w:szCs w:val="16"/>
              </w:rPr>
              <w:t>Moorthy et al., 2020</w:t>
            </w:r>
            <w:r>
              <w:rPr>
                <w:rFonts w:ascii="Times New Roman" w:eastAsia="Calibri" w:hAnsi="Times New Roman" w:cs="Times New Roman"/>
                <w:sz w:val="16"/>
                <w:szCs w:val="16"/>
              </w:rPr>
              <w:t xml:space="preserve"> </w:t>
            </w:r>
            <w:r>
              <w:rPr>
                <w:rFonts w:ascii="Times New Roman" w:eastAsia="Calibri" w:hAnsi="Times New Roman" w:cs="Times New Roman"/>
                <w:sz w:val="16"/>
                <w:szCs w:val="16"/>
              </w:rPr>
              <w:fldChar w:fldCharType="begin"/>
            </w:r>
            <w:r>
              <w:rPr>
                <w:rFonts w:ascii="Times New Roman" w:eastAsia="Calibri" w:hAnsi="Times New Roman" w:cs="Times New Roman"/>
                <w:sz w:val="16"/>
                <w:szCs w:val="16"/>
              </w:rPr>
              <w:instrText xml:space="preserve"> ADDIN ZOTERO_ITEM CSL_CITATION {"citationID":"x2l3yjeu","properties":{"formattedCitation":"(22)","plainCitation":"(22)","noteIndex":0},"citationItems":[{"id":138,"uris":["http://zotero.org/users/13596477/items/58JLUH6X"],"itemData":{"id":138,"type":"article-journal","container-title":"Advances in Nutrition","DOI":"10.1093/advances/nmaa070","ISSN":"21618313","issue":"6","journalAbbreviation":"Advances in Nutrition","language":"en","page":"1631-1645","source":"DOI.org (Crossref)","title":"The Impact of Nutrition-Specific and Nutrition-Sensitive Interventions on Hemoglobin Concentrations and Anemia: A Meta-review of Systematic Reviews","title-short":"The Impact of Nutrition-Specific and Nutrition-Sensitive Interventions on Hemoglobin Concentrations and Anemia","volume":"11","author":[{"family":"Moorthy","given":"Denish"},{"family":"Merrill","given":"Rebecca"},{"family":"Namaste","given":"Sorrel"},{"family":"Iannotti","given":"Lora"}],"issued":{"date-parts":[["2020",11]]}}}],"schema":"https://github.com/citation-style-language/schema/raw/master/csl-citation.json"} </w:instrText>
            </w:r>
            <w:r>
              <w:rPr>
                <w:rFonts w:ascii="Times New Roman" w:eastAsia="Calibri" w:hAnsi="Times New Roman" w:cs="Times New Roman"/>
                <w:sz w:val="16"/>
                <w:szCs w:val="16"/>
              </w:rPr>
              <w:fldChar w:fldCharType="separate"/>
            </w:r>
            <w:r>
              <w:rPr>
                <w:rFonts w:ascii="Times New Roman" w:eastAsia="Calibri" w:hAnsi="Times New Roman" w:cs="Times New Roman"/>
                <w:noProof/>
                <w:sz w:val="16"/>
                <w:szCs w:val="16"/>
              </w:rPr>
              <w:t>(22)</w:t>
            </w:r>
            <w:r>
              <w:rPr>
                <w:rFonts w:ascii="Times New Roman" w:eastAsia="Calibri" w:hAnsi="Times New Roman" w:cs="Times New Roman"/>
                <w:sz w:val="16"/>
                <w:szCs w:val="16"/>
              </w:rPr>
              <w:fldChar w:fldCharType="end"/>
            </w:r>
          </w:p>
        </w:tc>
        <w:tc>
          <w:tcPr>
            <w:tcW w:w="2286" w:type="dxa"/>
          </w:tcPr>
          <w:p w14:paraId="61CC506D"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To assess the impact of nutrition-specific and nutrition-sensitive interventions on hemoglobin concentrations and anemia</w:t>
            </w:r>
            <w:r>
              <w:rPr>
                <w:rFonts w:ascii="Times New Roman" w:eastAsia="Calibri" w:hAnsi="Times New Roman" w:cs="Times New Roman"/>
                <w:sz w:val="16"/>
                <w:szCs w:val="16"/>
              </w:rPr>
              <w:t>.</w:t>
            </w:r>
          </w:p>
        </w:tc>
        <w:tc>
          <w:tcPr>
            <w:tcW w:w="2423" w:type="dxa"/>
          </w:tcPr>
          <w:p w14:paraId="76364222"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Not specified. N=118</w:t>
            </w:r>
          </w:p>
        </w:tc>
        <w:tc>
          <w:tcPr>
            <w:tcW w:w="1866" w:type="dxa"/>
          </w:tcPr>
          <w:p w14:paraId="1A93F8B5"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Participants: children </w:t>
            </w:r>
            <w:r>
              <w:rPr>
                <w:rFonts w:ascii="Times New Roman" w:eastAsia="Calibri" w:hAnsi="Times New Roman" w:cs="Times New Roman"/>
                <w:sz w:val="16"/>
                <w:szCs w:val="16"/>
              </w:rPr>
              <w:t>&lt;5</w:t>
            </w:r>
            <w:r w:rsidRPr="00DD5980">
              <w:rPr>
                <w:rFonts w:ascii="Times New Roman" w:eastAsia="Calibri" w:hAnsi="Times New Roman" w:cs="Times New Roman"/>
                <w:sz w:val="16"/>
                <w:szCs w:val="16"/>
              </w:rPr>
              <w:t xml:space="preserve"> years</w:t>
            </w:r>
            <w:r>
              <w:rPr>
                <w:rFonts w:ascii="Times New Roman" w:eastAsia="Calibri" w:hAnsi="Times New Roman" w:cs="Times New Roman"/>
                <w:sz w:val="16"/>
                <w:szCs w:val="16"/>
              </w:rPr>
              <w:t xml:space="preserve"> or</w:t>
            </w:r>
            <w:r w:rsidRPr="00DD5980">
              <w:rPr>
                <w:rFonts w:ascii="Times New Roman" w:eastAsia="Calibri" w:hAnsi="Times New Roman" w:cs="Times New Roman"/>
                <w:sz w:val="16"/>
                <w:szCs w:val="16"/>
              </w:rPr>
              <w:t xml:space="preserve"> school</w:t>
            </w:r>
            <w:r>
              <w:rPr>
                <w:rFonts w:ascii="Times New Roman" w:eastAsia="Calibri" w:hAnsi="Times New Roman" w:cs="Times New Roman"/>
                <w:sz w:val="16"/>
                <w:szCs w:val="16"/>
              </w:rPr>
              <w:t xml:space="preserve"> </w:t>
            </w:r>
            <w:r w:rsidRPr="00DD5980">
              <w:rPr>
                <w:rFonts w:ascii="Times New Roman" w:eastAsia="Calibri" w:hAnsi="Times New Roman" w:cs="Times New Roman"/>
                <w:sz w:val="16"/>
                <w:szCs w:val="16"/>
              </w:rPr>
              <w:t>age</w:t>
            </w:r>
            <w:r>
              <w:rPr>
                <w:rFonts w:ascii="Times New Roman" w:eastAsia="Calibri" w:hAnsi="Times New Roman" w:cs="Times New Roman"/>
                <w:sz w:val="16"/>
                <w:szCs w:val="16"/>
              </w:rPr>
              <w:t>s</w:t>
            </w:r>
            <w:r w:rsidRPr="00DD5980">
              <w:rPr>
                <w:rFonts w:ascii="Times New Roman" w:eastAsia="Calibri" w:hAnsi="Times New Roman" w:cs="Times New Roman"/>
                <w:sz w:val="16"/>
                <w:szCs w:val="16"/>
              </w:rPr>
              <w:t xml:space="preserve">, and pregnant women. </w:t>
            </w:r>
            <w:r w:rsidRPr="00DD5980">
              <w:rPr>
                <w:rFonts w:ascii="Times New Roman" w:eastAsia="Calibri" w:hAnsi="Times New Roman" w:cs="Times New Roman"/>
                <w:sz w:val="16"/>
                <w:szCs w:val="16"/>
              </w:rPr>
              <w:br/>
              <w:t>Sample: not specified</w:t>
            </w:r>
          </w:p>
        </w:tc>
        <w:tc>
          <w:tcPr>
            <w:tcW w:w="1812" w:type="dxa"/>
          </w:tcPr>
          <w:p w14:paraId="39B8EFE0"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1. Malaria </w:t>
            </w:r>
            <w:r>
              <w:rPr>
                <w:rFonts w:ascii="Times New Roman" w:eastAsia="Calibri" w:hAnsi="Times New Roman" w:cs="Times New Roman"/>
                <w:sz w:val="16"/>
                <w:szCs w:val="16"/>
              </w:rPr>
              <w:t>c</w:t>
            </w:r>
            <w:r w:rsidRPr="00DD5980">
              <w:rPr>
                <w:rFonts w:ascii="Times New Roman" w:eastAsia="Calibri" w:hAnsi="Times New Roman" w:cs="Times New Roman"/>
                <w:sz w:val="16"/>
                <w:szCs w:val="16"/>
              </w:rPr>
              <w:t>hemoprevention vs. Placebo</w:t>
            </w:r>
            <w:r w:rsidRPr="00DD5980">
              <w:rPr>
                <w:rFonts w:ascii="Times New Roman" w:eastAsia="Calibri" w:hAnsi="Times New Roman" w:cs="Times New Roman"/>
                <w:sz w:val="16"/>
                <w:szCs w:val="16"/>
              </w:rPr>
              <w:br/>
              <w:t xml:space="preserve">2. Delayed vs. Immediate or </w:t>
            </w:r>
            <w:r>
              <w:rPr>
                <w:rFonts w:ascii="Times New Roman" w:eastAsia="Calibri" w:hAnsi="Times New Roman" w:cs="Times New Roman"/>
                <w:sz w:val="16"/>
                <w:szCs w:val="16"/>
              </w:rPr>
              <w:t>e</w:t>
            </w:r>
            <w:r w:rsidRPr="00DD5980">
              <w:rPr>
                <w:rFonts w:ascii="Times New Roman" w:eastAsia="Calibri" w:hAnsi="Times New Roman" w:cs="Times New Roman"/>
                <w:sz w:val="16"/>
                <w:szCs w:val="16"/>
              </w:rPr>
              <w:t xml:space="preserve">arly </w:t>
            </w:r>
            <w:r>
              <w:rPr>
                <w:rFonts w:ascii="Times New Roman" w:eastAsia="Calibri" w:hAnsi="Times New Roman" w:cs="Times New Roman"/>
                <w:sz w:val="16"/>
                <w:szCs w:val="16"/>
              </w:rPr>
              <w:t>c</w:t>
            </w:r>
            <w:r w:rsidRPr="00DD5980">
              <w:rPr>
                <w:rFonts w:ascii="Times New Roman" w:eastAsia="Calibri" w:hAnsi="Times New Roman" w:cs="Times New Roman"/>
                <w:sz w:val="16"/>
                <w:szCs w:val="16"/>
              </w:rPr>
              <w:t>lamping</w:t>
            </w:r>
            <w:r w:rsidRPr="00DD5980">
              <w:rPr>
                <w:rFonts w:ascii="Times New Roman" w:eastAsia="Calibri" w:hAnsi="Times New Roman" w:cs="Times New Roman"/>
                <w:sz w:val="16"/>
                <w:szCs w:val="16"/>
              </w:rPr>
              <w:br/>
              <w:t>3. MNP vs. Placebo</w:t>
            </w:r>
            <w:r>
              <w:rPr>
                <w:rFonts w:ascii="Times New Roman" w:eastAsia="Calibri" w:hAnsi="Times New Roman" w:cs="Times New Roman"/>
                <w:sz w:val="16"/>
                <w:szCs w:val="16"/>
              </w:rPr>
              <w:t>/</w:t>
            </w:r>
            <w:r w:rsidRPr="00DD5980">
              <w:rPr>
                <w:rFonts w:ascii="Times New Roman" w:eastAsia="Calibri" w:hAnsi="Times New Roman" w:cs="Times New Roman"/>
                <w:sz w:val="16"/>
                <w:szCs w:val="16"/>
              </w:rPr>
              <w:t>No Intervention</w:t>
            </w:r>
          </w:p>
        </w:tc>
        <w:tc>
          <w:tcPr>
            <w:tcW w:w="1823" w:type="dxa"/>
          </w:tcPr>
          <w:p w14:paraId="06D74017"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1.</w:t>
            </w:r>
            <w:r>
              <w:rPr>
                <w:rFonts w:ascii="Times New Roman" w:eastAsia="Calibri" w:hAnsi="Times New Roman" w:cs="Times New Roman"/>
                <w:sz w:val="16"/>
                <w:szCs w:val="16"/>
              </w:rPr>
              <w:t xml:space="preserve"> </w:t>
            </w:r>
            <w:r w:rsidRPr="00DD5980">
              <w:rPr>
                <w:rFonts w:ascii="Times New Roman" w:eastAsia="Calibri" w:hAnsi="Times New Roman" w:cs="Times New Roman"/>
                <w:sz w:val="16"/>
                <w:szCs w:val="16"/>
              </w:rPr>
              <w:t>Maternal Anemia</w:t>
            </w:r>
            <w:r w:rsidRPr="00DD5980">
              <w:rPr>
                <w:rFonts w:ascii="Times New Roman" w:eastAsia="Calibri" w:hAnsi="Times New Roman" w:cs="Times New Roman"/>
                <w:sz w:val="16"/>
                <w:szCs w:val="16"/>
              </w:rPr>
              <w:br/>
              <w:t>2.</w:t>
            </w:r>
            <w:r>
              <w:rPr>
                <w:rFonts w:ascii="Times New Roman" w:eastAsia="Calibri" w:hAnsi="Times New Roman" w:cs="Times New Roman"/>
                <w:sz w:val="16"/>
                <w:szCs w:val="16"/>
              </w:rPr>
              <w:t xml:space="preserve"> </w:t>
            </w:r>
            <w:r w:rsidRPr="00DD5980">
              <w:rPr>
                <w:rFonts w:ascii="Times New Roman" w:eastAsia="Calibri" w:hAnsi="Times New Roman" w:cs="Times New Roman"/>
                <w:sz w:val="16"/>
                <w:szCs w:val="16"/>
              </w:rPr>
              <w:t>Hemoglobin</w:t>
            </w:r>
            <w:r>
              <w:rPr>
                <w:rFonts w:ascii="Times New Roman" w:eastAsia="Calibri" w:hAnsi="Times New Roman" w:cs="Times New Roman"/>
                <w:sz w:val="16"/>
                <w:szCs w:val="16"/>
              </w:rPr>
              <w:t xml:space="preserve"> in term infants</w:t>
            </w:r>
            <w:r w:rsidRPr="00DD5980">
              <w:rPr>
                <w:rFonts w:ascii="Times New Roman" w:eastAsia="Calibri" w:hAnsi="Times New Roman" w:cs="Times New Roman"/>
                <w:sz w:val="16"/>
                <w:szCs w:val="16"/>
              </w:rPr>
              <w:br/>
              <w:t xml:space="preserve">3. Anemia in </w:t>
            </w:r>
            <w:r>
              <w:rPr>
                <w:rFonts w:ascii="Times New Roman" w:eastAsia="Calibri" w:hAnsi="Times New Roman" w:cs="Times New Roman"/>
                <w:sz w:val="16"/>
                <w:szCs w:val="16"/>
              </w:rPr>
              <w:t>c</w:t>
            </w:r>
            <w:r w:rsidRPr="00DD5980">
              <w:rPr>
                <w:rFonts w:ascii="Times New Roman" w:eastAsia="Calibri" w:hAnsi="Times New Roman" w:cs="Times New Roman"/>
                <w:sz w:val="16"/>
                <w:szCs w:val="16"/>
              </w:rPr>
              <w:t xml:space="preserve">hildren </w:t>
            </w:r>
            <w:r>
              <w:rPr>
                <w:rFonts w:ascii="Times New Roman" w:eastAsia="Calibri" w:hAnsi="Times New Roman" w:cs="Times New Roman"/>
                <w:sz w:val="16"/>
                <w:szCs w:val="16"/>
              </w:rPr>
              <w:t xml:space="preserve">&lt;5 </w:t>
            </w:r>
          </w:p>
        </w:tc>
        <w:tc>
          <w:tcPr>
            <w:tcW w:w="1187" w:type="dxa"/>
          </w:tcPr>
          <w:p w14:paraId="0AC2726C"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Yes- AMSTAR </w:t>
            </w:r>
          </w:p>
        </w:tc>
        <w:tc>
          <w:tcPr>
            <w:tcW w:w="1864" w:type="dxa"/>
          </w:tcPr>
          <w:p w14:paraId="60AC5853"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Quantitative pooling and narrative synthesis. </w:t>
            </w:r>
            <w:r w:rsidRPr="00DD5980">
              <w:rPr>
                <w:rFonts w:ascii="Times New Roman" w:eastAsia="Calibri" w:hAnsi="Times New Roman" w:cs="Times New Roman"/>
                <w:sz w:val="16"/>
                <w:szCs w:val="16"/>
              </w:rPr>
              <w:br/>
            </w:r>
            <w:r w:rsidRPr="00DD5980">
              <w:rPr>
                <w:rFonts w:ascii="Times New Roman" w:eastAsia="Calibri" w:hAnsi="Times New Roman" w:cs="Times New Roman"/>
                <w:sz w:val="16"/>
                <w:szCs w:val="16"/>
              </w:rPr>
              <w:br/>
            </w:r>
            <w:r w:rsidRPr="00DD5980">
              <w:rPr>
                <w:rFonts w:ascii="Times New Roman" w:eastAsia="Calibri" w:hAnsi="Times New Roman" w:cs="Times New Roman"/>
                <w:sz w:val="16"/>
                <w:szCs w:val="16"/>
              </w:rPr>
              <w:br/>
            </w:r>
            <w:r w:rsidRPr="00DD5980">
              <w:rPr>
                <w:rFonts w:ascii="Times New Roman" w:eastAsia="Calibri" w:hAnsi="Times New Roman" w:cs="Times New Roman"/>
                <w:sz w:val="16"/>
                <w:szCs w:val="16"/>
              </w:rPr>
              <w:br/>
            </w:r>
          </w:p>
        </w:tc>
      </w:tr>
      <w:tr w:rsidR="004E7DD3" w:rsidRPr="00DD5980" w14:paraId="2E874618" w14:textId="77777777" w:rsidTr="000B6948">
        <w:tc>
          <w:tcPr>
            <w:cnfStyle w:val="001000000000" w:firstRow="0" w:lastRow="0" w:firstColumn="1" w:lastColumn="0" w:oddVBand="0" w:evenVBand="0" w:oddHBand="0" w:evenHBand="0" w:firstRowFirstColumn="0" w:firstRowLastColumn="0" w:lastRowFirstColumn="0" w:lastRowLastColumn="0"/>
            <w:tcW w:w="1319" w:type="dxa"/>
            <w:tcBorders>
              <w:top w:val="single" w:sz="4" w:space="0" w:color="auto"/>
              <w:left w:val="single" w:sz="4" w:space="0" w:color="auto"/>
              <w:bottom w:val="single" w:sz="4" w:space="0" w:color="auto"/>
            </w:tcBorders>
          </w:tcPr>
          <w:p w14:paraId="002B42D4" w14:textId="77777777" w:rsidR="004E7DD3" w:rsidRPr="00DD5980" w:rsidRDefault="004E7DD3" w:rsidP="000B6948">
            <w:pPr>
              <w:spacing w:after="160" w:line="259" w:lineRule="auto"/>
              <w:jc w:val="left"/>
              <w:rPr>
                <w:rFonts w:ascii="Times New Roman" w:eastAsia="Calibri" w:hAnsi="Times New Roman" w:cs="Times New Roman"/>
                <w:sz w:val="16"/>
                <w:szCs w:val="16"/>
              </w:rPr>
            </w:pPr>
            <w:proofErr w:type="spellStart"/>
            <w:r w:rsidRPr="00DD5980">
              <w:rPr>
                <w:rFonts w:ascii="Times New Roman" w:eastAsia="Calibri" w:hAnsi="Times New Roman" w:cs="Times New Roman"/>
                <w:sz w:val="16"/>
                <w:szCs w:val="16"/>
              </w:rPr>
              <w:lastRenderedPageBreak/>
              <w:t>Nikooyeh</w:t>
            </w:r>
            <w:proofErr w:type="spellEnd"/>
            <w:r w:rsidRPr="00DD5980">
              <w:rPr>
                <w:rFonts w:ascii="Times New Roman" w:eastAsia="Calibri" w:hAnsi="Times New Roman" w:cs="Times New Roman"/>
                <w:sz w:val="16"/>
                <w:szCs w:val="16"/>
              </w:rPr>
              <w:t xml:space="preserve"> &amp; </w:t>
            </w:r>
            <w:proofErr w:type="spellStart"/>
            <w:r w:rsidRPr="00DD5980">
              <w:rPr>
                <w:rFonts w:ascii="Times New Roman" w:eastAsia="Calibri" w:hAnsi="Times New Roman" w:cs="Times New Roman"/>
                <w:sz w:val="16"/>
                <w:szCs w:val="16"/>
              </w:rPr>
              <w:t>Neyestani</w:t>
            </w:r>
            <w:proofErr w:type="spellEnd"/>
            <w:r w:rsidRPr="00DD5980">
              <w:rPr>
                <w:rFonts w:ascii="Times New Roman" w:eastAsia="Calibri" w:hAnsi="Times New Roman" w:cs="Times New Roman"/>
                <w:sz w:val="16"/>
                <w:szCs w:val="16"/>
              </w:rPr>
              <w:t>, 2021</w:t>
            </w:r>
            <w:r>
              <w:rPr>
                <w:rFonts w:ascii="Times New Roman" w:eastAsia="Calibri" w:hAnsi="Times New Roman" w:cs="Times New Roman"/>
                <w:sz w:val="16"/>
                <w:szCs w:val="16"/>
              </w:rPr>
              <w:fldChar w:fldCharType="begin"/>
            </w:r>
            <w:r>
              <w:rPr>
                <w:rFonts w:ascii="Times New Roman" w:eastAsia="Calibri" w:hAnsi="Times New Roman" w:cs="Times New Roman"/>
                <w:sz w:val="16"/>
                <w:szCs w:val="16"/>
              </w:rPr>
              <w:instrText xml:space="preserve"> ADDIN ZOTERO_ITEM CSL_CITATION {"citationID":"hbMchHj7","properties":{"formattedCitation":"(55)","plainCitation":"(55)","noteIndex":0},"citationItems":[{"id":276,"uris":["http://zotero.org/users/13596477/items/MG6VGCEI"],"itemData":{"id":276,"type":"article-journal","abstract":"Abstract\n            \n              Context\n              The common approaches of home fortification (HF) for prevention and/or treatment of micronutrient deficiencies are micronutrient powders (MNPs), foodlets, and lipid-based nutrient supplements (LNSs). There are mixed results for the impact of HF on growth and nutritional status of young children.\n            \n            \n              Objective\n              This systematic review was prepared in accordance with Preferred Reporting Items for Systematic Reviews and Meta-Analyses guidelines to evaluate current evidence from randomized controlled trials including children younger than 5 years to assess the effect of strategies of HF on growth and micronutrient status.\n            \n            \n              Methods\n              The MEDLINE, PubMed, Embase, Cochrane Library, and Google Scholar databases were searched to July 2018. A total of 1301 studies were found in a preliminary search. After screening of titles and abstracts, 30 studies were selected.\n            \n            \n              Results\n              Treatment with MNPs, foodlets, and LNSs effectively increased hemoglobin concentrations by at least 2.52 g/L, 4.59 g/L, and 4.4 g/dL, respectively, as compared with a control. There was a significant decrease in risk of anemia development after foodlet intervention compared with a control or iron drops (odds ratio, 0.27; 95%CI, 0.10–0.74; P = 0.01). However, these interventions did not result in any significant improvement in z-scores for changes of height for age, weight for age, and weight for height. The results indicated that MNP (7.16; 95%CI, 0.31–14.01; P = 0.04) and foodlet treatment (4.92; 95%CI, 0.28–9.57; P = 0.04) could increase serum zinc levels. However, none of the home fortification methods improved vitamin A status in the target group.\n            \n            \n              Conclusion\n              Home fortification can be used as an effective method to improve hemoglobin, iron, and zinc status, although in this study it had no effect on vitamin A or anthropometric indicators of the target population. More investigations are warranted for newer approaches of HF to improve a broader range of micronutrients as well as child growth indices and for evaluation of the coverage, compliance, and consistency of such interventions at the population level.\n            \n            \n              PROSPERO Registration No\n              CRD42018109279","container-title":"Nutrition Reviews","DOI":"10.1093/nutrit/nuaa087","ISSN":"0029-6643, 1753-4887","issue":"4","language":"en","license":"https://academic.oup.com/journals/pages/open_access/funder_policies/chorus/standard_publication_model","page":"445-461","source":"DOI.org (Crossref)","title":"Effectiveness of various methods of home fortification in under-5 children: where they work, where they do not. A systematic review and meta-analysis","title-short":"Effectiveness of various methods of home fortification in under-5 children","volume":"79","author":[{"family":"Nikooyeh","given":"Bahareh"},{"family":"Neyestani","given":"Tirang R"}],"issued":{"date-parts":[["2021",3,9]]}}}],"schema":"https://github.com/citation-style-language/schema/raw/master/csl-citation.json"} </w:instrText>
            </w:r>
            <w:r>
              <w:rPr>
                <w:rFonts w:ascii="Times New Roman" w:eastAsia="Calibri" w:hAnsi="Times New Roman" w:cs="Times New Roman"/>
                <w:sz w:val="16"/>
                <w:szCs w:val="16"/>
              </w:rPr>
              <w:fldChar w:fldCharType="separate"/>
            </w:r>
            <w:r>
              <w:rPr>
                <w:rFonts w:ascii="Times New Roman" w:eastAsia="Calibri" w:hAnsi="Times New Roman" w:cs="Times New Roman"/>
                <w:noProof/>
                <w:sz w:val="16"/>
                <w:szCs w:val="16"/>
              </w:rPr>
              <w:t>(55)</w:t>
            </w:r>
            <w:r>
              <w:rPr>
                <w:rFonts w:ascii="Times New Roman" w:eastAsia="Calibri" w:hAnsi="Times New Roman" w:cs="Times New Roman"/>
                <w:sz w:val="16"/>
                <w:szCs w:val="16"/>
              </w:rPr>
              <w:fldChar w:fldCharType="end"/>
            </w:r>
          </w:p>
        </w:tc>
        <w:tc>
          <w:tcPr>
            <w:tcW w:w="2286" w:type="dxa"/>
          </w:tcPr>
          <w:p w14:paraId="16AF7A96"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To assess the effect of strategies of home fortification on growth and micronutrient status of under-5 children.</w:t>
            </w:r>
          </w:p>
        </w:tc>
        <w:tc>
          <w:tcPr>
            <w:tcW w:w="2423" w:type="dxa"/>
          </w:tcPr>
          <w:p w14:paraId="64FE8F7A"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Ghana (2), Colombia (1), Kenya (2), Cambodia (2), India (2), Indonesia (1), Lao PDR (1), Bangladesh (1), Kyrgyz Republic (1), Haiti (1), Iran (1), and Pakistan (2). N=17</w:t>
            </w:r>
          </w:p>
        </w:tc>
        <w:tc>
          <w:tcPr>
            <w:tcW w:w="1866" w:type="dxa"/>
          </w:tcPr>
          <w:p w14:paraId="14D3325E"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Participants: infants and children aged 6</w:t>
            </w:r>
            <w:r>
              <w:rPr>
                <w:rFonts w:ascii="Times New Roman" w:eastAsia="Calibri" w:hAnsi="Times New Roman" w:cs="Times New Roman"/>
                <w:sz w:val="16"/>
                <w:szCs w:val="16"/>
              </w:rPr>
              <w:t xml:space="preserve"> - </w:t>
            </w:r>
            <w:r w:rsidRPr="00DD5980">
              <w:rPr>
                <w:rFonts w:ascii="Times New Roman" w:eastAsia="Calibri" w:hAnsi="Times New Roman" w:cs="Times New Roman"/>
                <w:sz w:val="16"/>
                <w:szCs w:val="16"/>
              </w:rPr>
              <w:t>52 </w:t>
            </w:r>
            <w:r>
              <w:rPr>
                <w:rFonts w:ascii="Times New Roman" w:eastAsia="Calibri" w:hAnsi="Times New Roman" w:cs="Times New Roman"/>
                <w:sz w:val="16"/>
                <w:szCs w:val="16"/>
              </w:rPr>
              <w:t>months</w:t>
            </w:r>
            <w:r w:rsidRPr="00DD5980">
              <w:rPr>
                <w:rFonts w:ascii="Times New Roman" w:eastAsia="Calibri" w:hAnsi="Times New Roman" w:cs="Times New Roman"/>
                <w:sz w:val="16"/>
                <w:szCs w:val="16"/>
              </w:rPr>
              <w:t xml:space="preserve"> </w:t>
            </w:r>
            <w:r w:rsidRPr="00DD5980">
              <w:rPr>
                <w:rFonts w:ascii="Times New Roman" w:eastAsia="Calibri" w:hAnsi="Times New Roman" w:cs="Times New Roman"/>
                <w:sz w:val="16"/>
                <w:szCs w:val="16"/>
              </w:rPr>
              <w:br/>
              <w:t>Sample size: 13,387</w:t>
            </w:r>
          </w:p>
        </w:tc>
        <w:tc>
          <w:tcPr>
            <w:tcW w:w="1812" w:type="dxa"/>
          </w:tcPr>
          <w:p w14:paraId="053FED2F"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Micronutrient powder (MNP) vs Placebo or no intervention</w:t>
            </w:r>
          </w:p>
        </w:tc>
        <w:tc>
          <w:tcPr>
            <w:tcW w:w="1823" w:type="dxa"/>
          </w:tcPr>
          <w:p w14:paraId="007ADDEC"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HAZ, WHZ, and anemia</w:t>
            </w:r>
          </w:p>
        </w:tc>
        <w:tc>
          <w:tcPr>
            <w:tcW w:w="1187" w:type="dxa"/>
          </w:tcPr>
          <w:p w14:paraId="04A062E8"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Yes - Cochrane risk-of-bias tool</w:t>
            </w:r>
          </w:p>
        </w:tc>
        <w:tc>
          <w:tcPr>
            <w:tcW w:w="1864" w:type="dxa"/>
          </w:tcPr>
          <w:p w14:paraId="17FF0C4B"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Random-effects and fixed-effects models </w:t>
            </w:r>
          </w:p>
        </w:tc>
      </w:tr>
      <w:tr w:rsidR="004E7DD3" w:rsidRPr="00DD5980" w14:paraId="48C76BC2" w14:textId="77777777" w:rsidTr="000B6948">
        <w:trPr>
          <w:cnfStyle w:val="000000100000" w:firstRow="0" w:lastRow="0" w:firstColumn="0" w:lastColumn="0" w:oddVBand="0" w:evenVBand="0" w:oddHBand="1" w:evenHBand="0" w:firstRowFirstColumn="0" w:firstRowLastColumn="0" w:lastRowFirstColumn="0" w:lastRowLastColumn="0"/>
          <w:trHeight w:val="2542"/>
        </w:trPr>
        <w:tc>
          <w:tcPr>
            <w:cnfStyle w:val="001000000000" w:firstRow="0" w:lastRow="0" w:firstColumn="1" w:lastColumn="0" w:oddVBand="0" w:evenVBand="0" w:oddHBand="0" w:evenHBand="0" w:firstRowFirstColumn="0" w:firstRowLastColumn="0" w:lastRowFirstColumn="0" w:lastRowLastColumn="0"/>
            <w:tcW w:w="1319" w:type="dxa"/>
            <w:tcBorders>
              <w:top w:val="single" w:sz="4" w:space="0" w:color="auto"/>
              <w:left w:val="single" w:sz="4" w:space="0" w:color="auto"/>
              <w:bottom w:val="single" w:sz="4" w:space="0" w:color="auto"/>
            </w:tcBorders>
          </w:tcPr>
          <w:p w14:paraId="1698C254" w14:textId="77777777" w:rsidR="004E7DD3" w:rsidRPr="00DD5980" w:rsidRDefault="004E7DD3" w:rsidP="000B6948">
            <w:pPr>
              <w:spacing w:after="160" w:line="259" w:lineRule="auto"/>
              <w:jc w:val="left"/>
              <w:rPr>
                <w:rFonts w:ascii="Times New Roman" w:eastAsia="Calibri" w:hAnsi="Times New Roman" w:cs="Times New Roman"/>
                <w:sz w:val="16"/>
                <w:szCs w:val="16"/>
              </w:rPr>
            </w:pPr>
            <w:r w:rsidRPr="00DD5980">
              <w:rPr>
                <w:rFonts w:ascii="Times New Roman" w:eastAsia="Calibri" w:hAnsi="Times New Roman" w:cs="Times New Roman"/>
                <w:sz w:val="16"/>
                <w:szCs w:val="16"/>
              </w:rPr>
              <w:t>Oh et al., 2020</w:t>
            </w:r>
            <w:r>
              <w:rPr>
                <w:rFonts w:ascii="Times New Roman" w:eastAsia="Calibri" w:hAnsi="Times New Roman" w:cs="Times New Roman"/>
                <w:sz w:val="16"/>
                <w:szCs w:val="16"/>
              </w:rPr>
              <w:t xml:space="preserve"> </w:t>
            </w:r>
            <w:r>
              <w:rPr>
                <w:rFonts w:ascii="Times New Roman" w:eastAsia="Calibri" w:hAnsi="Times New Roman" w:cs="Times New Roman"/>
                <w:sz w:val="16"/>
                <w:szCs w:val="16"/>
              </w:rPr>
              <w:fldChar w:fldCharType="begin"/>
            </w:r>
            <w:r>
              <w:rPr>
                <w:rFonts w:ascii="Times New Roman" w:eastAsia="Calibri" w:hAnsi="Times New Roman" w:cs="Times New Roman"/>
                <w:sz w:val="16"/>
                <w:szCs w:val="16"/>
              </w:rPr>
              <w:instrText xml:space="preserve"> ADDIN ZOTERO_ITEM CSL_CITATION {"citationID":"PA8V86oL","properties":{"formattedCitation":"(13)","plainCitation":"(13)","noteIndex":0},"citationItems":[{"id":116,"uris":["http://zotero.org/users/13596477/items/ZI8RCAIZ"],"itemData":{"id":116,"type":"article-journal","abstract":"Almost two billion people are deficient in key vitamins and minerals, mostly women and children in low- and middle-income countries (LMICs). Deficiencies worsen during pregnancy due to increased energy and nutritional demands, causing adverse outcomes in mother and child, but could be mitigated by interventions like micronutrient supplementation. To our knowledge, this is the first systematic review that aimed to compile evidence from both efficacy and effectiveness trials, evaluating different supplementation interventions on maternal, birth, child health, and developmental outcomes. We evaluated randomized controlled trials and quasi-experimental studies published since 1995 in peer-reviewed and grey literature that assessed the effects of calcium, vitamin A, iron, vitamin D, and zinc supplementation compared to placebo/no treatment; iron-folic (IFA) supplementation compared to folic acid only; multiple micronutrient (MMN) supplementation compared to IFA; and lipid-based nutrient supplementation (LNS) compared to MMN supplementation. Seventy-two studies, which collectively involved 314 papers (451,723 women), were included. Meta-analyses showed improvement in several key birth outcomes, such as preterm birth, small-for-gestational age (SGA) and low birthweight with MMN supplementation, compared to IFA. MMN also improved child outcomes, including diarrhea incidence and retinol concentration, which are findings not previously reported. Across all comparisons, micronutrient supplementation had little to no effect on mortality (maternal, neonatal, perinatal, and infant) outcomes, which is consistent with other systematic reviews. IFA supplementation showed notable improvement in maternal anemia and the reduction in low birthweight, whereas LNS supplementation had no apparent effect on outcomes; further research that compares LNS and MMN supplementation could help understand differences with these commodities. For single micronutrient supplementation, improvements were noted in only a few outcomes, mainly pre-eclampsia/eclampsia (calcium), maternal anemia (iron), preterm births (vitamin D), and maternal serum zinc concentration (zinc). These findings highlight that micronutrient-specific supplementation should be tailored to specific groups or needs for maximum benefit. In addition, they further contribute to the ongoing discourse of choosing antenatal MMN over IFA as the standard of care in LMICs.","container-title":"Nutrients","DOI":"10.3390/nu12020491","ISSN":"2072-6643","issue":"2","journalAbbreviation":"Nutrients","language":"en","license":"https://creativecommons.org/licenses/by/4.0/","page":"491","source":"DOI.org (Crossref)","title":"Vitamin and Mineral Supplementation During Pregnancy on Maternal, Birth, Child Health and Development Outcomes in Low- and Middle-Income Countries: A Systematic Review and Meta-Analysis","title-short":"Vitamin and Mineral Supplementation During Pregnancy on Maternal, Birth, Child Health and Development Outcomes in Low- and Middle-Income Countries","volume":"12","author":[{"family":"Oh","given":"Christina"},{"family":"Keats","given":"Emily"},{"family":"Bhutta","given":"Zulfiqar"}],"issued":{"date-parts":[["2020",2,14]]}}}],"schema":"https://github.com/citation-style-language/schema/raw/master/csl-citation.json"} </w:instrText>
            </w:r>
            <w:r>
              <w:rPr>
                <w:rFonts w:ascii="Times New Roman" w:eastAsia="Calibri" w:hAnsi="Times New Roman" w:cs="Times New Roman"/>
                <w:sz w:val="16"/>
                <w:szCs w:val="16"/>
              </w:rPr>
              <w:fldChar w:fldCharType="separate"/>
            </w:r>
            <w:r>
              <w:rPr>
                <w:rFonts w:ascii="Times New Roman" w:eastAsia="Calibri" w:hAnsi="Times New Roman" w:cs="Times New Roman"/>
                <w:noProof/>
                <w:sz w:val="16"/>
                <w:szCs w:val="16"/>
              </w:rPr>
              <w:t>(13)</w:t>
            </w:r>
            <w:r>
              <w:rPr>
                <w:rFonts w:ascii="Times New Roman" w:eastAsia="Calibri" w:hAnsi="Times New Roman" w:cs="Times New Roman"/>
                <w:sz w:val="16"/>
                <w:szCs w:val="16"/>
              </w:rPr>
              <w:fldChar w:fldCharType="end"/>
            </w:r>
          </w:p>
        </w:tc>
        <w:tc>
          <w:tcPr>
            <w:tcW w:w="2286" w:type="dxa"/>
          </w:tcPr>
          <w:p w14:paraId="7D63C3CD"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Evaluate the effects of various micronutrient supplementation interventions on maternal, birth, child health, and development outcomes in </w:t>
            </w:r>
            <w:r>
              <w:rPr>
                <w:rFonts w:ascii="Times New Roman" w:eastAsia="Calibri" w:hAnsi="Times New Roman" w:cs="Times New Roman"/>
                <w:sz w:val="16"/>
                <w:szCs w:val="16"/>
              </w:rPr>
              <w:t>LMICs</w:t>
            </w:r>
            <w:r w:rsidRPr="00DD5980">
              <w:rPr>
                <w:rFonts w:ascii="Times New Roman" w:eastAsia="Calibri" w:hAnsi="Times New Roman" w:cs="Times New Roman"/>
                <w:sz w:val="16"/>
                <w:szCs w:val="16"/>
              </w:rPr>
              <w:t>.</w:t>
            </w:r>
          </w:p>
        </w:tc>
        <w:tc>
          <w:tcPr>
            <w:tcW w:w="2423" w:type="dxa"/>
          </w:tcPr>
          <w:p w14:paraId="775B8944"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East Asia and Pacific (12), </w:t>
            </w:r>
            <w:proofErr w:type="gramStart"/>
            <w:r w:rsidRPr="00DD5980">
              <w:rPr>
                <w:rFonts w:ascii="Times New Roman" w:eastAsia="Calibri" w:hAnsi="Times New Roman" w:cs="Times New Roman"/>
                <w:sz w:val="16"/>
                <w:szCs w:val="16"/>
              </w:rPr>
              <w:t>Middle-East</w:t>
            </w:r>
            <w:proofErr w:type="gramEnd"/>
            <w:r w:rsidRPr="00DD5980">
              <w:rPr>
                <w:rFonts w:ascii="Times New Roman" w:eastAsia="Calibri" w:hAnsi="Times New Roman" w:cs="Times New Roman"/>
                <w:sz w:val="16"/>
                <w:szCs w:val="16"/>
              </w:rPr>
              <w:t xml:space="preserve"> and North Africa (13), Sub-Saharan Africa (18), South Asia (19), Latin America and the Caribbean (7), Europe and Central Asia (1), Multi-country studies (2). Angola (1), Bangladesh (4), Benin (1), Brazil (3), Burkina Faso (1), China (5), Colombia (1), Comoros (1), Congo (1), Côte d'Ivoire (1), Cuba (1), Dominican Republic (1), Egypt (1), Ethiopia (1), Gambia (1), Guatemala (1), Honduras (1), India (10), Indonesia (3), Iran (3), Kenya (1), Malawi (3), Mali (1), Mexico (1), Myanmar (1), Nepal (2), Nicaragua (1), Nigeria (1), Pakistan (5), Philippines (1), South Africa (1), Sri Lanka (1), Tanzania (2), Thailand (1), Uganda (1), Vietnam (2), Zambia (1). N=72</w:t>
            </w:r>
          </w:p>
        </w:tc>
        <w:tc>
          <w:tcPr>
            <w:tcW w:w="1866" w:type="dxa"/>
          </w:tcPr>
          <w:p w14:paraId="0DADEC9E"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Participants:  women of varying gestational age Sample size: 451,723 </w:t>
            </w:r>
          </w:p>
        </w:tc>
        <w:tc>
          <w:tcPr>
            <w:tcW w:w="1812" w:type="dxa"/>
          </w:tcPr>
          <w:p w14:paraId="645B2710"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MMS vs. I/IFA</w:t>
            </w:r>
          </w:p>
        </w:tc>
        <w:tc>
          <w:tcPr>
            <w:tcW w:w="1823" w:type="dxa"/>
          </w:tcPr>
          <w:p w14:paraId="17F67D76"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Stunting, </w:t>
            </w:r>
            <w:r>
              <w:rPr>
                <w:rFonts w:ascii="Times New Roman" w:eastAsia="Calibri" w:hAnsi="Times New Roman" w:cs="Times New Roman"/>
                <w:sz w:val="16"/>
                <w:szCs w:val="16"/>
              </w:rPr>
              <w:t>w</w:t>
            </w:r>
            <w:r w:rsidRPr="00DD5980">
              <w:rPr>
                <w:rFonts w:ascii="Times New Roman" w:eastAsia="Calibri" w:hAnsi="Times New Roman" w:cs="Times New Roman"/>
                <w:sz w:val="16"/>
                <w:szCs w:val="16"/>
              </w:rPr>
              <w:t xml:space="preserve">asting, </w:t>
            </w:r>
            <w:r>
              <w:rPr>
                <w:rFonts w:ascii="Times New Roman" w:eastAsia="Calibri" w:hAnsi="Times New Roman" w:cs="Times New Roman"/>
                <w:sz w:val="16"/>
                <w:szCs w:val="16"/>
              </w:rPr>
              <w:t>m</w:t>
            </w:r>
            <w:r w:rsidRPr="00DD5980">
              <w:rPr>
                <w:rFonts w:ascii="Times New Roman" w:eastAsia="Calibri" w:hAnsi="Times New Roman" w:cs="Times New Roman"/>
                <w:sz w:val="16"/>
                <w:szCs w:val="16"/>
              </w:rPr>
              <w:t xml:space="preserve">aternal anemia, LBW, SGA, </w:t>
            </w:r>
            <w:r>
              <w:rPr>
                <w:rFonts w:ascii="Times New Roman" w:eastAsia="Calibri" w:hAnsi="Times New Roman" w:cs="Times New Roman"/>
                <w:sz w:val="16"/>
                <w:szCs w:val="16"/>
              </w:rPr>
              <w:t>p</w:t>
            </w:r>
            <w:r w:rsidRPr="00DD5980">
              <w:rPr>
                <w:rFonts w:ascii="Times New Roman" w:eastAsia="Calibri" w:hAnsi="Times New Roman" w:cs="Times New Roman"/>
                <w:sz w:val="16"/>
                <w:szCs w:val="16"/>
              </w:rPr>
              <w:t xml:space="preserve">reterm birth, </w:t>
            </w:r>
            <w:r>
              <w:rPr>
                <w:rFonts w:ascii="Times New Roman" w:eastAsia="Calibri" w:hAnsi="Times New Roman" w:cs="Times New Roman"/>
                <w:sz w:val="16"/>
                <w:szCs w:val="16"/>
              </w:rPr>
              <w:t>s</w:t>
            </w:r>
            <w:r w:rsidRPr="00DD5980">
              <w:rPr>
                <w:rFonts w:ascii="Times New Roman" w:eastAsia="Calibri" w:hAnsi="Times New Roman" w:cs="Times New Roman"/>
                <w:sz w:val="16"/>
                <w:szCs w:val="16"/>
              </w:rPr>
              <w:t xml:space="preserve">tillbirth, </w:t>
            </w:r>
            <w:r>
              <w:rPr>
                <w:rFonts w:ascii="Times New Roman" w:eastAsia="Calibri" w:hAnsi="Times New Roman" w:cs="Times New Roman"/>
                <w:sz w:val="16"/>
                <w:szCs w:val="16"/>
              </w:rPr>
              <w:t>m</w:t>
            </w:r>
            <w:r w:rsidRPr="00DD5980">
              <w:rPr>
                <w:rFonts w:ascii="Times New Roman" w:eastAsia="Calibri" w:hAnsi="Times New Roman" w:cs="Times New Roman"/>
                <w:sz w:val="16"/>
                <w:szCs w:val="16"/>
              </w:rPr>
              <w:t xml:space="preserve">aternal </w:t>
            </w:r>
            <w:r>
              <w:rPr>
                <w:rFonts w:ascii="Times New Roman" w:eastAsia="Calibri" w:hAnsi="Times New Roman" w:cs="Times New Roman"/>
                <w:sz w:val="16"/>
                <w:szCs w:val="16"/>
              </w:rPr>
              <w:t>m</w:t>
            </w:r>
            <w:r w:rsidRPr="00DD5980">
              <w:rPr>
                <w:rFonts w:ascii="Times New Roman" w:eastAsia="Calibri" w:hAnsi="Times New Roman" w:cs="Times New Roman"/>
                <w:sz w:val="16"/>
                <w:szCs w:val="16"/>
              </w:rPr>
              <w:t xml:space="preserve">ortality, </w:t>
            </w:r>
            <w:r>
              <w:rPr>
                <w:rFonts w:ascii="Times New Roman" w:eastAsia="Calibri" w:hAnsi="Times New Roman" w:cs="Times New Roman"/>
                <w:sz w:val="16"/>
                <w:szCs w:val="16"/>
              </w:rPr>
              <w:t>m</w:t>
            </w:r>
            <w:r w:rsidRPr="00DD5980">
              <w:rPr>
                <w:rFonts w:ascii="Times New Roman" w:eastAsia="Calibri" w:hAnsi="Times New Roman" w:cs="Times New Roman"/>
                <w:sz w:val="16"/>
                <w:szCs w:val="16"/>
              </w:rPr>
              <w:t>orbidity (child</w:t>
            </w:r>
            <w:r w:rsidRPr="00DD5980" w:rsidDel="00BD2877">
              <w:rPr>
                <w:rFonts w:ascii="Times New Roman" w:eastAsia="Calibri" w:hAnsi="Times New Roman" w:cs="Times New Roman"/>
                <w:sz w:val="16"/>
                <w:szCs w:val="16"/>
              </w:rPr>
              <w:t xml:space="preserve"> </w:t>
            </w:r>
            <w:r>
              <w:rPr>
                <w:rFonts w:ascii="Times New Roman" w:eastAsia="Calibri" w:hAnsi="Times New Roman" w:cs="Times New Roman"/>
                <w:sz w:val="16"/>
                <w:szCs w:val="16"/>
              </w:rPr>
              <w:t>d</w:t>
            </w:r>
            <w:r w:rsidRPr="00DD5980">
              <w:rPr>
                <w:rFonts w:ascii="Times New Roman" w:eastAsia="Calibri" w:hAnsi="Times New Roman" w:cs="Times New Roman"/>
                <w:sz w:val="16"/>
                <w:szCs w:val="16"/>
              </w:rPr>
              <w:t xml:space="preserve">iarrhea) </w:t>
            </w:r>
          </w:p>
        </w:tc>
        <w:tc>
          <w:tcPr>
            <w:tcW w:w="1187" w:type="dxa"/>
          </w:tcPr>
          <w:p w14:paraId="6637D9E1"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Yes - GRADE </w:t>
            </w:r>
          </w:p>
        </w:tc>
        <w:tc>
          <w:tcPr>
            <w:tcW w:w="1864" w:type="dxa"/>
          </w:tcPr>
          <w:p w14:paraId="07AE678E"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Random-effects meta-analysis</w:t>
            </w:r>
            <w:r>
              <w:rPr>
                <w:rFonts w:ascii="Times New Roman" w:eastAsia="Calibri" w:hAnsi="Times New Roman" w:cs="Times New Roman"/>
                <w:sz w:val="16"/>
                <w:szCs w:val="16"/>
              </w:rPr>
              <w:t>, h</w:t>
            </w:r>
            <w:r w:rsidRPr="00DD5980">
              <w:rPr>
                <w:rFonts w:ascii="Times New Roman" w:eastAsia="Calibri" w:hAnsi="Times New Roman" w:cs="Times New Roman"/>
                <w:sz w:val="16"/>
                <w:szCs w:val="16"/>
              </w:rPr>
              <w:t xml:space="preserve">eterogeneity test. </w:t>
            </w:r>
          </w:p>
        </w:tc>
      </w:tr>
      <w:tr w:rsidR="004E7DD3" w:rsidRPr="00DD5980" w14:paraId="40055E9F" w14:textId="77777777" w:rsidTr="000B6948">
        <w:tc>
          <w:tcPr>
            <w:cnfStyle w:val="001000000000" w:firstRow="0" w:lastRow="0" w:firstColumn="1" w:lastColumn="0" w:oddVBand="0" w:evenVBand="0" w:oddHBand="0" w:evenHBand="0" w:firstRowFirstColumn="0" w:firstRowLastColumn="0" w:lastRowFirstColumn="0" w:lastRowLastColumn="0"/>
            <w:tcW w:w="1319" w:type="dxa"/>
            <w:tcBorders>
              <w:top w:val="single" w:sz="4" w:space="0" w:color="auto"/>
              <w:left w:val="single" w:sz="4" w:space="0" w:color="auto"/>
              <w:bottom w:val="single" w:sz="4" w:space="0" w:color="auto"/>
            </w:tcBorders>
          </w:tcPr>
          <w:p w14:paraId="257DBBA8" w14:textId="77777777" w:rsidR="004E7DD3" w:rsidRPr="00DD5980" w:rsidRDefault="004E7DD3" w:rsidP="000B6948">
            <w:pPr>
              <w:spacing w:after="160" w:line="259" w:lineRule="auto"/>
              <w:jc w:val="left"/>
              <w:rPr>
                <w:rFonts w:ascii="Times New Roman" w:eastAsia="Calibri" w:hAnsi="Times New Roman" w:cs="Times New Roman"/>
                <w:sz w:val="16"/>
                <w:szCs w:val="16"/>
              </w:rPr>
            </w:pPr>
            <w:r w:rsidRPr="00DD5980">
              <w:rPr>
                <w:rFonts w:ascii="Times New Roman" w:eastAsia="Calibri" w:hAnsi="Times New Roman" w:cs="Times New Roman"/>
                <w:sz w:val="16"/>
                <w:szCs w:val="16"/>
              </w:rPr>
              <w:t>Park et al., 2020</w:t>
            </w:r>
            <w:r>
              <w:rPr>
                <w:rFonts w:ascii="Times New Roman" w:eastAsia="Calibri" w:hAnsi="Times New Roman" w:cs="Times New Roman"/>
                <w:sz w:val="16"/>
                <w:szCs w:val="16"/>
              </w:rPr>
              <w:t xml:space="preserve"> </w:t>
            </w:r>
            <w:r>
              <w:rPr>
                <w:rFonts w:ascii="Times New Roman" w:eastAsia="Calibri" w:hAnsi="Times New Roman" w:cs="Times New Roman"/>
                <w:sz w:val="16"/>
                <w:szCs w:val="16"/>
              </w:rPr>
              <w:fldChar w:fldCharType="begin"/>
            </w:r>
            <w:r>
              <w:rPr>
                <w:rFonts w:ascii="Times New Roman" w:eastAsia="Calibri" w:hAnsi="Times New Roman" w:cs="Times New Roman"/>
                <w:sz w:val="16"/>
                <w:szCs w:val="16"/>
              </w:rPr>
              <w:instrText xml:space="preserve"> ADDIN ZOTERO_ITEM CSL_CITATION {"citationID":"75wL4fGK","properties":{"formattedCitation":"(32)","plainCitation":"(32)","noteIndex":0},"citationItems":[{"id":156,"uris":["http://zotero.org/users/13596477/items/PPSQ97TY"],"itemData":{"id":156,"type":"article-journal","abstract":"Background:\n              Exclusive breastfeeding (EBF) during the first six months of life is critical for child’s linear growth. While there is strong evidence in favor of EBF, the evidence with regards to other interventions for linear growth is unclear. We evaluated intervention domains of micronutrients, food supplements, deworming, maternal education, water sanitation and hygiene (WASH), and kangaroo care, for their comparative effectiveness on linear growth.\n            \n            \n              Methods:\n              For this review, we searched for randomized clinical trials (RCTs) of the interventions provided to infants aged 0-6 months and/or their breastfeeding mothers in low- and middle-income countries reporting on length-for-age z-score (LAZ), stunting, length, and head circumference. We searched for reports published until September 17\n              th\n              , 2019 and hand-searched bibliographies of existing reviews. For LAZ and stunting, we used network meta-analysis (NMA) to compare the effects of all interventions except for kangaroo care, where we used pairwise meta-analysis to compare its effects versus standard-of-care. For length and head circumference, we qualitatively summarized our findings.\n            \n            \n              Results:\n              We found 29 RCTs (40 papers) involving 35,119 mother and infant pairs reporting on the effects of aforementioned interventions on linear growth outcomes. Our NMA on LAZ found that compared to standard-of-care, multiple micronutrients administered to infants (MMN-C) improved LAZ (mean difference: 0.20; 95% credible interval [CrI]: 0.03,0.35), whereas supplementing breastfeeding mothers with MMN did not (MMN-M, mean difference: -0.02, 95%CrI: -0.18,0.13). No interventions including MMN-C (relative risk: 0.74; 95%CrI: 0.36,1.44) reduced risk for stunting compared to standard-of-care. Kangaroo care, on the other hand, improved head circumference (mean difference: 0.20 cm/week; 95% confidence intervals [CI]: 0.09,0.31 cm/week) and length (mean difference: 0.23 cm/week; 95%CI: 0.10,0.35 cm/week) compared to standard-of-care.  \n            \n            \n              Conclusion:\n              Our study found important improvements for kangaroo care, but we did not find sufficient evidence for other interventions.\n            \n            \n              Registration:\n              PROSPERO\n              CRD42018110450\n              ; registered on 17 October 2018.","container-title":"Gates Open Research","DOI":"10.12688/gatesopenres.13082.2","ISSN":"2572-4754","journalAbbreviation":"Gates Open Res","language":"en","page":"1720","source":"DOI.org (Crossref)","title":"Interventions to improve linear growth during exclusive breastfeeding life-stage for children aged 0-6 months living in low- and middle-income countries: a systematic review with network and pairwise meta-analyses","title-short":"Interventions to improve linear growth during exclusive breastfeeding life-stage for children aged 0-6 months living in low- and middle-income countries","volume":"3","author":[{"family":"Park","given":"Jay J. H."},{"family":"Siden","given":"Ellie"},{"family":"Harari","given":"Ofir"},{"family":"Dron","given":"Louis"},{"family":"Mazoub","given":"Reham"},{"family":"Jeziorska","given":"Virginia"},{"family":"Zannat","given":"Noor-E"},{"family":"Gadalla","given":"Heather"},{"family":"Thorlund","given":"Kristian"},{"family":"Mills","given":"Edward J."}],"issued":{"date-parts":[["2020",9,24]]}}}],"schema":"https://github.com/citation-style-language/schema/raw/master/csl-citation.json"} </w:instrText>
            </w:r>
            <w:r>
              <w:rPr>
                <w:rFonts w:ascii="Times New Roman" w:eastAsia="Calibri" w:hAnsi="Times New Roman" w:cs="Times New Roman"/>
                <w:sz w:val="16"/>
                <w:szCs w:val="16"/>
              </w:rPr>
              <w:fldChar w:fldCharType="separate"/>
            </w:r>
            <w:r>
              <w:rPr>
                <w:rFonts w:ascii="Times New Roman" w:eastAsia="Calibri" w:hAnsi="Times New Roman" w:cs="Times New Roman"/>
                <w:noProof/>
                <w:sz w:val="16"/>
                <w:szCs w:val="16"/>
              </w:rPr>
              <w:t>(32)</w:t>
            </w:r>
            <w:r>
              <w:rPr>
                <w:rFonts w:ascii="Times New Roman" w:eastAsia="Calibri" w:hAnsi="Times New Roman" w:cs="Times New Roman"/>
                <w:sz w:val="16"/>
                <w:szCs w:val="16"/>
              </w:rPr>
              <w:fldChar w:fldCharType="end"/>
            </w:r>
          </w:p>
        </w:tc>
        <w:tc>
          <w:tcPr>
            <w:tcW w:w="2286" w:type="dxa"/>
          </w:tcPr>
          <w:p w14:paraId="6394EF20"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To summarize the effects of micronutrients, food supplements, deworming, maternal education, water sanitation and hygiene (WASH), and kangaroo care on linear growth.</w:t>
            </w:r>
          </w:p>
        </w:tc>
        <w:tc>
          <w:tcPr>
            <w:tcW w:w="2423" w:type="dxa"/>
          </w:tcPr>
          <w:p w14:paraId="63A68952"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India (3), Malaysia (1), and Nepal (1). N=5</w:t>
            </w:r>
          </w:p>
        </w:tc>
        <w:tc>
          <w:tcPr>
            <w:tcW w:w="1866" w:type="dxa"/>
          </w:tcPr>
          <w:p w14:paraId="06EF01CF"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Participants: mother and infant pairs </w:t>
            </w:r>
            <w:r w:rsidRPr="00DD5980">
              <w:rPr>
                <w:rFonts w:ascii="Times New Roman" w:eastAsia="Calibri" w:hAnsi="Times New Roman" w:cs="Times New Roman"/>
                <w:sz w:val="16"/>
                <w:szCs w:val="16"/>
              </w:rPr>
              <w:br/>
              <w:t xml:space="preserve">Sample size:  35,119 </w:t>
            </w:r>
          </w:p>
        </w:tc>
        <w:tc>
          <w:tcPr>
            <w:tcW w:w="1812" w:type="dxa"/>
          </w:tcPr>
          <w:p w14:paraId="1A250EB6"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Pr>
                <w:rFonts w:ascii="Times New Roman" w:eastAsia="Calibri" w:hAnsi="Times New Roman" w:cs="Times New Roman"/>
                <w:sz w:val="16"/>
                <w:szCs w:val="16"/>
              </w:rPr>
              <w:t>KMC</w:t>
            </w:r>
            <w:r w:rsidRPr="00DD5980">
              <w:rPr>
                <w:rFonts w:ascii="Times New Roman" w:eastAsia="Calibri" w:hAnsi="Times New Roman" w:cs="Times New Roman"/>
                <w:sz w:val="16"/>
                <w:szCs w:val="16"/>
              </w:rPr>
              <w:t xml:space="preserve"> vs Conventional care</w:t>
            </w:r>
          </w:p>
        </w:tc>
        <w:tc>
          <w:tcPr>
            <w:tcW w:w="1823" w:type="dxa"/>
          </w:tcPr>
          <w:p w14:paraId="1AB20B8D"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HAZ, stunting, change in length and head circumference.</w:t>
            </w:r>
          </w:p>
        </w:tc>
        <w:tc>
          <w:tcPr>
            <w:tcW w:w="1187" w:type="dxa"/>
          </w:tcPr>
          <w:p w14:paraId="3B71D2E0"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Yes - Cochrane risk-of-bias tool</w:t>
            </w:r>
          </w:p>
        </w:tc>
        <w:tc>
          <w:tcPr>
            <w:tcW w:w="1864" w:type="dxa"/>
          </w:tcPr>
          <w:p w14:paraId="18B3AD20"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Random-effects pairwise meta-analysis for KMC</w:t>
            </w:r>
          </w:p>
        </w:tc>
      </w:tr>
      <w:tr w:rsidR="004E7DD3" w:rsidRPr="00DD5980" w14:paraId="735A46BB" w14:textId="77777777" w:rsidTr="000B6948">
        <w:trPr>
          <w:cnfStyle w:val="000000100000" w:firstRow="0" w:lastRow="0" w:firstColumn="0" w:lastColumn="0" w:oddVBand="0" w:evenVBand="0" w:oddHBand="1" w:evenHBand="0" w:firstRowFirstColumn="0" w:firstRowLastColumn="0" w:lastRowFirstColumn="0" w:lastRowLastColumn="0"/>
          <w:trHeight w:val="1403"/>
        </w:trPr>
        <w:tc>
          <w:tcPr>
            <w:cnfStyle w:val="001000000000" w:firstRow="0" w:lastRow="0" w:firstColumn="1" w:lastColumn="0" w:oddVBand="0" w:evenVBand="0" w:oddHBand="0" w:evenHBand="0" w:firstRowFirstColumn="0" w:firstRowLastColumn="0" w:lastRowFirstColumn="0" w:lastRowLastColumn="0"/>
            <w:tcW w:w="1319" w:type="dxa"/>
            <w:tcBorders>
              <w:top w:val="single" w:sz="4" w:space="0" w:color="auto"/>
              <w:left w:val="single" w:sz="4" w:space="0" w:color="auto"/>
              <w:bottom w:val="single" w:sz="4" w:space="0" w:color="auto"/>
            </w:tcBorders>
          </w:tcPr>
          <w:p w14:paraId="290BC3DE" w14:textId="77777777" w:rsidR="004E7DD3" w:rsidRPr="00DD5980" w:rsidRDefault="004E7DD3" w:rsidP="000B6948">
            <w:pPr>
              <w:spacing w:after="160" w:line="259" w:lineRule="auto"/>
              <w:jc w:val="left"/>
              <w:rPr>
                <w:rFonts w:ascii="Times New Roman" w:eastAsia="Calibri" w:hAnsi="Times New Roman" w:cs="Times New Roman"/>
                <w:sz w:val="16"/>
                <w:szCs w:val="16"/>
              </w:rPr>
            </w:pPr>
            <w:r w:rsidRPr="00DD5980">
              <w:rPr>
                <w:rFonts w:ascii="Times New Roman" w:eastAsia="Calibri" w:hAnsi="Times New Roman" w:cs="Times New Roman"/>
                <w:sz w:val="16"/>
                <w:szCs w:val="16"/>
              </w:rPr>
              <w:lastRenderedPageBreak/>
              <w:t>Persad et al., 2021</w:t>
            </w:r>
            <w:r>
              <w:rPr>
                <w:rFonts w:ascii="Times New Roman" w:eastAsia="Calibri" w:hAnsi="Times New Roman" w:cs="Times New Roman"/>
                <w:sz w:val="16"/>
                <w:szCs w:val="16"/>
              </w:rPr>
              <w:t xml:space="preserve"> </w:t>
            </w:r>
            <w:r>
              <w:rPr>
                <w:rFonts w:ascii="Times New Roman" w:eastAsia="Calibri" w:hAnsi="Times New Roman" w:cs="Times New Roman"/>
                <w:sz w:val="16"/>
                <w:szCs w:val="16"/>
              </w:rPr>
              <w:fldChar w:fldCharType="begin"/>
            </w:r>
            <w:r>
              <w:rPr>
                <w:rFonts w:ascii="Times New Roman" w:eastAsia="Calibri" w:hAnsi="Times New Roman" w:cs="Times New Roman"/>
                <w:sz w:val="16"/>
                <w:szCs w:val="16"/>
              </w:rPr>
              <w:instrText xml:space="preserve"> ADDIN ZOTERO_ITEM CSL_CITATION {"citationID":"aD51NmOM","properties":{"formattedCitation":"(29)","plainCitation":"(29)","noteIndex":0},"citationItems":[{"id":150,"uris":["http://zotero.org/users/13596477/items/CAZ4A4RM"],"itemData":{"id":150,"type":"article-journal","abstract":"Blood loss in the first days of life has been associated with increased morbidity and mortality in very preterm infants. In this systematic review we included randomized controlled trials comparing the effects of interventions to preserve blood volume in the infant from birth, reduce the need for sampling, or limit the blood sampled. Mortality and major neurodevelopmental disabilities were the primary outcomes. Included studies underwent risk of bias-assessment and data extraction by two review authors independently. We used risk ratio or mean difference to evaluate the treatment effect and meta-analysis for pooled results. The certainty of evidence was assessed using GRADE. We included 31 trials enrolling 3,759 infants. Twenty-five trials were pooled in the comparison delayed cord clamping or cord milking vs. immediate cord clamping or no milking. Increasing placental transfusion resulted in lower mortality during the neonatal period (RR 0.51, 95% CI 0.26 to 1.00; participants = 595; trials = 5; I\n              2\n              = 0%, moderate certainty of evidence) and during first hospitalization (RR 0.70, 95% CI 0.51, 0.96; 10 RCTs, participants = 2,476, low certainty of evidence). The certainty of evidence was very low for the other primary outcomes of this review. The six remaining trials compared devices to monitor glucose levels (three trials), blood sampling from the umbilical cord or from the placenta vs. blood sampling from the infant (2 trials), and devices to reintroduce the blood after analysis vs. conventional blood sampling (1 trial); the certainty of evidence was rated as very low for all outcomes in these comparisons. Increasing placental transfusion at birth may reduce mortality in very preterm infants; However, extremely limited evidence is available to assess the effects of other interventions to reduce blood loss after birth. In future trials, infants could be randomized following placental transfusion to different blood saving approaches.\n            \n            \n              Trial registration:\n              PROSPERO\n              CRD42020159882\n              .","container-title":"PLOS ONE","DOI":"10.1371/journal.pone.0246353","ISSN":"1932-6203","issue":"2","journalAbbreviation":"PLoS ONE","language":"en","page":"e0246353","source":"DOI.org (Crossref)","title":"Interventions to minimize blood loss in very preterm infants—A systematic review and meta-analysis","volume":"16","author":[{"family":"Persad","given":"Emma"},{"family":"Sibrecht","given":"Greta"},{"family":"Ringsten","given":"Martin"},{"family":"Karlelid","given":"Simon"},{"family":"Romantsik","given":"Olga"},{"family":"Ulinder","given":"Tommy"},{"family":"Borges Do Nascimento","given":"Israel Júnior"},{"family":"Björklund","given":"Maria"},{"family":"Arno","given":"Anneliese"},{"family":"Bruschettini","given":"Matteo"}],"editor":[{"family":"Baud","given":"Olivier"}],"issued":{"date-parts":[["2021",2,8]]}}}],"schema":"https://github.com/citation-style-language/schema/raw/master/csl-citation.json"} </w:instrText>
            </w:r>
            <w:r>
              <w:rPr>
                <w:rFonts w:ascii="Times New Roman" w:eastAsia="Calibri" w:hAnsi="Times New Roman" w:cs="Times New Roman"/>
                <w:sz w:val="16"/>
                <w:szCs w:val="16"/>
              </w:rPr>
              <w:fldChar w:fldCharType="separate"/>
            </w:r>
            <w:r>
              <w:rPr>
                <w:rFonts w:ascii="Times New Roman" w:eastAsia="Calibri" w:hAnsi="Times New Roman" w:cs="Times New Roman"/>
                <w:noProof/>
                <w:sz w:val="16"/>
                <w:szCs w:val="16"/>
              </w:rPr>
              <w:t>(29)</w:t>
            </w:r>
            <w:r>
              <w:rPr>
                <w:rFonts w:ascii="Times New Roman" w:eastAsia="Calibri" w:hAnsi="Times New Roman" w:cs="Times New Roman"/>
                <w:sz w:val="16"/>
                <w:szCs w:val="16"/>
              </w:rPr>
              <w:fldChar w:fldCharType="end"/>
            </w:r>
          </w:p>
        </w:tc>
        <w:tc>
          <w:tcPr>
            <w:tcW w:w="2286" w:type="dxa"/>
          </w:tcPr>
          <w:p w14:paraId="4365E7C7"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To evaluate the effectiveness of interventions aimed at minimizing blood loss in very preterm infants.</w:t>
            </w:r>
          </w:p>
        </w:tc>
        <w:tc>
          <w:tcPr>
            <w:tcW w:w="2423" w:type="dxa"/>
          </w:tcPr>
          <w:p w14:paraId="377985C0"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United States (9), Turkey (3), Canada (2), India (2), Switzerland (2), United Kingdom (2), China (1), France (1), Germany (1), Iran (1), Israel (1), Ireland (1), Italy (1), Japan (1), Multicenter (3). N=31</w:t>
            </w:r>
          </w:p>
        </w:tc>
        <w:tc>
          <w:tcPr>
            <w:tcW w:w="1866" w:type="dxa"/>
          </w:tcPr>
          <w:p w14:paraId="4C0CE307" w14:textId="77777777" w:rsidR="004E7DD3" w:rsidRPr="004D4656"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Participants:  Preterm infants (gestational age &lt; 32 weeks)</w:t>
            </w:r>
            <w:r w:rsidRPr="00DD5980">
              <w:rPr>
                <w:rFonts w:ascii="Times New Roman" w:eastAsia="Calibri" w:hAnsi="Times New Roman" w:cs="Times New Roman"/>
                <w:sz w:val="16"/>
                <w:szCs w:val="16"/>
              </w:rPr>
              <w:br/>
              <w:t>Sample size: 2,366</w:t>
            </w:r>
          </w:p>
        </w:tc>
        <w:tc>
          <w:tcPr>
            <w:tcW w:w="1812" w:type="dxa"/>
          </w:tcPr>
          <w:p w14:paraId="256E59F0"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Delayed vs. Immediate or </w:t>
            </w:r>
            <w:r>
              <w:rPr>
                <w:rFonts w:ascii="Times New Roman" w:eastAsia="Calibri" w:hAnsi="Times New Roman" w:cs="Times New Roman"/>
                <w:sz w:val="16"/>
                <w:szCs w:val="16"/>
              </w:rPr>
              <w:t>e</w:t>
            </w:r>
            <w:r w:rsidRPr="00DD5980">
              <w:rPr>
                <w:rFonts w:ascii="Times New Roman" w:eastAsia="Calibri" w:hAnsi="Times New Roman" w:cs="Times New Roman"/>
                <w:sz w:val="16"/>
                <w:szCs w:val="16"/>
              </w:rPr>
              <w:t xml:space="preserve">arly </w:t>
            </w:r>
            <w:r>
              <w:rPr>
                <w:rFonts w:ascii="Times New Roman" w:eastAsia="Calibri" w:hAnsi="Times New Roman" w:cs="Times New Roman"/>
                <w:sz w:val="16"/>
                <w:szCs w:val="16"/>
              </w:rPr>
              <w:t>c</w:t>
            </w:r>
            <w:r w:rsidRPr="00DD5980">
              <w:rPr>
                <w:rFonts w:ascii="Times New Roman" w:eastAsia="Calibri" w:hAnsi="Times New Roman" w:cs="Times New Roman"/>
                <w:sz w:val="16"/>
                <w:szCs w:val="16"/>
              </w:rPr>
              <w:t>lamping</w:t>
            </w:r>
          </w:p>
        </w:tc>
        <w:tc>
          <w:tcPr>
            <w:tcW w:w="1823" w:type="dxa"/>
          </w:tcPr>
          <w:p w14:paraId="157D103A"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Anemia</w:t>
            </w:r>
            <w:r>
              <w:rPr>
                <w:rFonts w:ascii="Times New Roman" w:eastAsia="Calibri" w:hAnsi="Times New Roman" w:cs="Times New Roman"/>
                <w:sz w:val="16"/>
                <w:szCs w:val="16"/>
              </w:rPr>
              <w:t xml:space="preserve"> in term infants</w:t>
            </w:r>
            <w:r w:rsidRPr="00DD5980">
              <w:rPr>
                <w:rFonts w:ascii="Times New Roman" w:eastAsia="Calibri" w:hAnsi="Times New Roman" w:cs="Times New Roman"/>
                <w:sz w:val="16"/>
                <w:szCs w:val="16"/>
              </w:rPr>
              <w:br/>
              <w:t xml:space="preserve">Mortality </w:t>
            </w:r>
            <w:r>
              <w:rPr>
                <w:rFonts w:ascii="Times New Roman" w:eastAsia="Calibri" w:hAnsi="Times New Roman" w:cs="Times New Roman"/>
                <w:sz w:val="16"/>
                <w:szCs w:val="16"/>
              </w:rPr>
              <w:t>and m</w:t>
            </w:r>
            <w:r w:rsidRPr="00DD5980">
              <w:rPr>
                <w:rFonts w:ascii="Times New Roman" w:eastAsia="Calibri" w:hAnsi="Times New Roman" w:cs="Times New Roman"/>
                <w:sz w:val="16"/>
                <w:szCs w:val="16"/>
              </w:rPr>
              <w:t>orbidity</w:t>
            </w:r>
            <w:r>
              <w:rPr>
                <w:rFonts w:ascii="Times New Roman" w:eastAsia="Calibri" w:hAnsi="Times New Roman" w:cs="Times New Roman"/>
                <w:sz w:val="16"/>
                <w:szCs w:val="16"/>
              </w:rPr>
              <w:t xml:space="preserve"> among p</w:t>
            </w:r>
            <w:r w:rsidRPr="00DD5980">
              <w:rPr>
                <w:rFonts w:ascii="Times New Roman" w:eastAsia="Calibri" w:hAnsi="Times New Roman" w:cs="Times New Roman"/>
                <w:sz w:val="16"/>
                <w:szCs w:val="16"/>
              </w:rPr>
              <w:t>reterm</w:t>
            </w:r>
            <w:r>
              <w:rPr>
                <w:rFonts w:ascii="Times New Roman" w:eastAsia="Calibri" w:hAnsi="Times New Roman" w:cs="Times New Roman"/>
                <w:sz w:val="16"/>
                <w:szCs w:val="16"/>
              </w:rPr>
              <w:t xml:space="preserve"> infants</w:t>
            </w:r>
          </w:p>
        </w:tc>
        <w:tc>
          <w:tcPr>
            <w:tcW w:w="1187" w:type="dxa"/>
          </w:tcPr>
          <w:p w14:paraId="79E431D8"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Yes- GRADE</w:t>
            </w:r>
          </w:p>
        </w:tc>
        <w:tc>
          <w:tcPr>
            <w:tcW w:w="1864" w:type="dxa"/>
          </w:tcPr>
          <w:p w14:paraId="42593530"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Meta-analysis pooled results with subgroup analyses</w:t>
            </w:r>
          </w:p>
        </w:tc>
      </w:tr>
      <w:tr w:rsidR="004E7DD3" w:rsidRPr="00DD5980" w14:paraId="0C43A03E" w14:textId="77777777" w:rsidTr="000B6948">
        <w:tc>
          <w:tcPr>
            <w:cnfStyle w:val="001000000000" w:firstRow="0" w:lastRow="0" w:firstColumn="1" w:lastColumn="0" w:oddVBand="0" w:evenVBand="0" w:oddHBand="0" w:evenHBand="0" w:firstRowFirstColumn="0" w:firstRowLastColumn="0" w:lastRowFirstColumn="0" w:lastRowLastColumn="0"/>
            <w:tcW w:w="1319" w:type="dxa"/>
            <w:tcBorders>
              <w:top w:val="single" w:sz="4" w:space="0" w:color="auto"/>
              <w:left w:val="single" w:sz="4" w:space="0" w:color="auto"/>
              <w:bottom w:val="single" w:sz="4" w:space="0" w:color="auto"/>
            </w:tcBorders>
          </w:tcPr>
          <w:p w14:paraId="69585B08" w14:textId="77777777" w:rsidR="004E7DD3" w:rsidRPr="00DD5980" w:rsidRDefault="004E7DD3" w:rsidP="000B6948">
            <w:pPr>
              <w:spacing w:after="160" w:line="259" w:lineRule="auto"/>
              <w:jc w:val="left"/>
              <w:rPr>
                <w:rFonts w:ascii="Times New Roman" w:eastAsia="Calibri" w:hAnsi="Times New Roman" w:cs="Times New Roman"/>
                <w:sz w:val="16"/>
                <w:szCs w:val="16"/>
              </w:rPr>
            </w:pPr>
            <w:r w:rsidRPr="00DD5980">
              <w:rPr>
                <w:rFonts w:ascii="Times New Roman" w:eastAsia="Calibri" w:hAnsi="Times New Roman" w:cs="Times New Roman"/>
                <w:sz w:val="16"/>
                <w:szCs w:val="16"/>
              </w:rPr>
              <w:t>Rabe et al., 2019</w:t>
            </w:r>
            <w:r>
              <w:rPr>
                <w:rFonts w:ascii="Times New Roman" w:eastAsia="Calibri" w:hAnsi="Times New Roman" w:cs="Times New Roman"/>
                <w:sz w:val="16"/>
                <w:szCs w:val="16"/>
              </w:rPr>
              <w:t xml:space="preserve"> </w:t>
            </w:r>
            <w:r>
              <w:rPr>
                <w:rFonts w:ascii="Times New Roman" w:eastAsia="Calibri" w:hAnsi="Times New Roman" w:cs="Times New Roman"/>
                <w:sz w:val="16"/>
                <w:szCs w:val="16"/>
              </w:rPr>
              <w:fldChar w:fldCharType="begin"/>
            </w:r>
            <w:r>
              <w:rPr>
                <w:rFonts w:ascii="Times New Roman" w:eastAsia="Calibri" w:hAnsi="Times New Roman" w:cs="Times New Roman"/>
                <w:sz w:val="16"/>
                <w:szCs w:val="16"/>
              </w:rPr>
              <w:instrText xml:space="preserve"> ADDIN ZOTERO_ITEM CSL_CITATION {"citationID":"RFxyik1I","properties":{"formattedCitation":"(26)","plainCitation":"(26)","noteIndex":0},"citationItems":[{"id":144,"uris":["http://zotero.org/users/13596477/items/TYW4CIUQ"],"itemData":{"id":144,"type":"article-journal","container-title":"Cochrane Database of Systematic Reviews","DOI":"10.1002/14651858.CD003248.pub4","ISSN":"14651858","issue":"9","language":"en","source":"DOI.org (Crossref)","title":"Effect of timing of umbilical cord clamping and other strategies to influence placental transfusion at preterm birth on maternal and infant outcomes","URL":"http://doi.wiley.com/10.1002/14651858.CD003248.pub4","volume":"2019","author":[{"family":"Rabe","given":"Heike"},{"family":"Gyte","given":"Gillian Ml"},{"family":"Díaz-Rossello","given":"José L"},{"family":"Duley","given":"Lelia"}],"editor":[{"literal":"Cochrane Pregnancy and Childbirth Group"}],"accessed":{"date-parts":[["2025",1,19]]},"issued":{"date-parts":[["2019",9,17]]}}}],"schema":"https://github.com/citation-style-language/schema/raw/master/csl-citation.json"} </w:instrText>
            </w:r>
            <w:r>
              <w:rPr>
                <w:rFonts w:ascii="Times New Roman" w:eastAsia="Calibri" w:hAnsi="Times New Roman" w:cs="Times New Roman"/>
                <w:sz w:val="16"/>
                <w:szCs w:val="16"/>
              </w:rPr>
              <w:fldChar w:fldCharType="separate"/>
            </w:r>
            <w:r>
              <w:rPr>
                <w:rFonts w:ascii="Times New Roman" w:eastAsia="Calibri" w:hAnsi="Times New Roman" w:cs="Times New Roman"/>
                <w:noProof/>
                <w:sz w:val="16"/>
                <w:szCs w:val="16"/>
              </w:rPr>
              <w:t>(26)</w:t>
            </w:r>
            <w:r>
              <w:rPr>
                <w:rFonts w:ascii="Times New Roman" w:eastAsia="Calibri" w:hAnsi="Times New Roman" w:cs="Times New Roman"/>
                <w:sz w:val="16"/>
                <w:szCs w:val="16"/>
              </w:rPr>
              <w:fldChar w:fldCharType="end"/>
            </w:r>
          </w:p>
        </w:tc>
        <w:tc>
          <w:tcPr>
            <w:tcW w:w="2286" w:type="dxa"/>
          </w:tcPr>
          <w:p w14:paraId="7DA93FB5"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To assess the effects</w:t>
            </w:r>
            <w:r>
              <w:rPr>
                <w:rFonts w:ascii="Times New Roman" w:eastAsia="Calibri" w:hAnsi="Times New Roman" w:cs="Times New Roman"/>
                <w:sz w:val="16"/>
                <w:szCs w:val="16"/>
              </w:rPr>
              <w:t xml:space="preserve"> of different </w:t>
            </w:r>
            <w:r w:rsidRPr="00DD5980">
              <w:rPr>
                <w:rFonts w:ascii="Times New Roman" w:eastAsia="Calibri" w:hAnsi="Times New Roman" w:cs="Times New Roman"/>
                <w:sz w:val="16"/>
                <w:szCs w:val="16"/>
              </w:rPr>
              <w:t>cord clamping</w:t>
            </w:r>
            <w:r>
              <w:rPr>
                <w:rFonts w:ascii="Times New Roman" w:eastAsia="Calibri" w:hAnsi="Times New Roman" w:cs="Times New Roman"/>
                <w:sz w:val="16"/>
                <w:szCs w:val="16"/>
              </w:rPr>
              <w:t xml:space="preserve"> approaches</w:t>
            </w:r>
            <w:r w:rsidRPr="00DD5980">
              <w:rPr>
                <w:rFonts w:ascii="Times New Roman" w:eastAsia="Calibri" w:hAnsi="Times New Roman" w:cs="Times New Roman"/>
                <w:sz w:val="16"/>
                <w:szCs w:val="16"/>
              </w:rPr>
              <w:t xml:space="preserve"> on infants born at less than 37 weeks' gestation, and their mothers.</w:t>
            </w:r>
          </w:p>
        </w:tc>
        <w:tc>
          <w:tcPr>
            <w:tcW w:w="2423" w:type="dxa"/>
          </w:tcPr>
          <w:p w14:paraId="60FE01FB"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Iran (1), USA (5), Switzerland (1), Canada (1), India (2), South Africa (3), UK (1), Israel (1), Australia (1), Germany (1), Thailand (1), multicenter USA, Canada, Australia, Pakistan, France, Northern Ireland, and New Zealand (1), and Netherlands (1). N=20</w:t>
            </w:r>
          </w:p>
        </w:tc>
        <w:tc>
          <w:tcPr>
            <w:tcW w:w="1866" w:type="dxa"/>
          </w:tcPr>
          <w:p w14:paraId="0B9EE45C"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Participants: preterm infants and their mothers.</w:t>
            </w:r>
            <w:r w:rsidRPr="00DD5980">
              <w:rPr>
                <w:rFonts w:ascii="Times New Roman" w:eastAsia="Calibri" w:hAnsi="Times New Roman" w:cs="Times New Roman"/>
                <w:sz w:val="16"/>
                <w:szCs w:val="16"/>
              </w:rPr>
              <w:br/>
              <w:t>Sample size:</w:t>
            </w:r>
            <w:r>
              <w:rPr>
                <w:rFonts w:ascii="Times New Roman" w:eastAsia="Calibri" w:hAnsi="Times New Roman" w:cs="Times New Roman"/>
                <w:sz w:val="16"/>
                <w:szCs w:val="16"/>
              </w:rPr>
              <w:t xml:space="preserve"> </w:t>
            </w:r>
            <w:r w:rsidRPr="00DD5980">
              <w:rPr>
                <w:rFonts w:ascii="Times New Roman" w:eastAsia="Calibri" w:hAnsi="Times New Roman" w:cs="Times New Roman"/>
                <w:sz w:val="16"/>
                <w:szCs w:val="16"/>
              </w:rPr>
              <w:t xml:space="preserve">2,680 </w:t>
            </w:r>
          </w:p>
        </w:tc>
        <w:tc>
          <w:tcPr>
            <w:tcW w:w="1812" w:type="dxa"/>
          </w:tcPr>
          <w:p w14:paraId="69AB5FA8"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Delayed vs.</w:t>
            </w:r>
            <w:r>
              <w:rPr>
                <w:rFonts w:ascii="Times New Roman" w:eastAsia="Calibri" w:hAnsi="Times New Roman" w:cs="Times New Roman"/>
                <w:sz w:val="16"/>
                <w:szCs w:val="16"/>
              </w:rPr>
              <w:t xml:space="preserve"> </w:t>
            </w:r>
            <w:r w:rsidRPr="00DD5980">
              <w:rPr>
                <w:rFonts w:ascii="Times New Roman" w:eastAsia="Calibri" w:hAnsi="Times New Roman" w:cs="Times New Roman"/>
                <w:sz w:val="16"/>
                <w:szCs w:val="16"/>
              </w:rPr>
              <w:t xml:space="preserve">Early </w:t>
            </w:r>
            <w:r>
              <w:rPr>
                <w:rFonts w:ascii="Times New Roman" w:eastAsia="Calibri" w:hAnsi="Times New Roman" w:cs="Times New Roman"/>
                <w:sz w:val="16"/>
                <w:szCs w:val="16"/>
              </w:rPr>
              <w:t>c</w:t>
            </w:r>
            <w:r w:rsidRPr="00DD5980">
              <w:rPr>
                <w:rFonts w:ascii="Times New Roman" w:eastAsia="Calibri" w:hAnsi="Times New Roman" w:cs="Times New Roman"/>
                <w:sz w:val="16"/>
                <w:szCs w:val="16"/>
              </w:rPr>
              <w:t>lamping</w:t>
            </w:r>
          </w:p>
        </w:tc>
        <w:tc>
          <w:tcPr>
            <w:tcW w:w="1823" w:type="dxa"/>
          </w:tcPr>
          <w:p w14:paraId="6E819FBF"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Death of the baby at or before discharge</w:t>
            </w:r>
          </w:p>
        </w:tc>
        <w:tc>
          <w:tcPr>
            <w:tcW w:w="1187" w:type="dxa"/>
          </w:tcPr>
          <w:p w14:paraId="7DDA5BEB"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Yes – GRADE; Cochrane risk-of-bias tool</w:t>
            </w:r>
          </w:p>
        </w:tc>
        <w:tc>
          <w:tcPr>
            <w:tcW w:w="1864" w:type="dxa"/>
          </w:tcPr>
          <w:p w14:paraId="3D05380A"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Random‐effects model</w:t>
            </w:r>
          </w:p>
        </w:tc>
      </w:tr>
      <w:tr w:rsidR="004E7DD3" w:rsidRPr="00DD5980" w14:paraId="14F93BF6" w14:textId="77777777" w:rsidTr="000B69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9" w:type="dxa"/>
            <w:tcBorders>
              <w:top w:val="single" w:sz="4" w:space="0" w:color="auto"/>
              <w:left w:val="single" w:sz="4" w:space="0" w:color="auto"/>
              <w:bottom w:val="single" w:sz="4" w:space="0" w:color="auto"/>
            </w:tcBorders>
          </w:tcPr>
          <w:p w14:paraId="19671E60" w14:textId="77777777" w:rsidR="004E7DD3" w:rsidRPr="00DD79BD" w:rsidRDefault="004E7DD3" w:rsidP="000B6948">
            <w:pPr>
              <w:spacing w:after="160" w:line="259" w:lineRule="auto"/>
              <w:jc w:val="left"/>
              <w:rPr>
                <w:rFonts w:ascii="Times New Roman" w:eastAsia="Calibri" w:hAnsi="Times New Roman" w:cs="Times New Roman"/>
                <w:sz w:val="16"/>
                <w:szCs w:val="16"/>
                <w:lang w:val="es-MX"/>
              </w:rPr>
            </w:pPr>
            <w:r w:rsidRPr="00DD79BD">
              <w:rPr>
                <w:rFonts w:ascii="Times New Roman" w:eastAsia="Calibri" w:hAnsi="Times New Roman" w:cs="Times New Roman"/>
                <w:sz w:val="16"/>
                <w:szCs w:val="16"/>
                <w:lang w:val="es-MX"/>
              </w:rPr>
              <w:t xml:space="preserve">Radeva-Petrova et al., 2014 </w:t>
            </w:r>
            <w:r>
              <w:rPr>
                <w:rFonts w:ascii="Times New Roman" w:eastAsia="Calibri" w:hAnsi="Times New Roman" w:cs="Times New Roman"/>
                <w:sz w:val="16"/>
                <w:szCs w:val="16"/>
              </w:rPr>
              <w:fldChar w:fldCharType="begin"/>
            </w:r>
            <w:r>
              <w:rPr>
                <w:rFonts w:ascii="Times New Roman" w:eastAsia="Calibri" w:hAnsi="Times New Roman" w:cs="Times New Roman"/>
                <w:sz w:val="16"/>
                <w:szCs w:val="16"/>
                <w:lang w:val="es-MX"/>
              </w:rPr>
              <w:instrText xml:space="preserve"> ADDIN ZOTERO_ITEM CSL_CITATION {"citationID":"PDR8tbin","properties":{"formattedCitation":"(56)","plainCitation":"(56)","noteIndex":0},"citationItems":[{"id":285,"uris":["http://zotero.org/users/13596477/items/55DRTE4C"],"itemData":{"id":285,"type":"article-journal","container-title":"Cochrane Database of Systematic Reviews","DOI":"10.1002/14651858.CD000169.pub3","ISSN":"14651858","issue":"10","language":"en","source":"DOI.org (Crossref)","title":"Drugs for preventing malaria in pregnant women in endemic areas: any drug regimen versus placebo or no treatment","title-short":"Drugs for preventing malaria in pregnant women in endemic areas","URL":"http://doi.wiley.com/10.1002/14651858.CD000169.pub3","volume":"2014","author":[{"family":"Radeva-Petrova","given":"Denitsa"},{"family":"Kayentao","given":"Kassoum"},{"family":"Ter Kuile","given":"Feiko O"},{"family":"Sinclair","given":"David"},{"family":"Garner","given":"Paul"}],"editor":[{"literal":"Cochrane Infectious Diseases Group"}],"accessed":{"date-parts":[["2025",1,27]]},"issued":{"date-parts":[["2014",10,10]]}}}],"schema":"https://github.com/citation-style-language/schema/raw/master/csl-citation.json"} </w:instrText>
            </w:r>
            <w:r>
              <w:rPr>
                <w:rFonts w:ascii="Times New Roman" w:eastAsia="Calibri" w:hAnsi="Times New Roman" w:cs="Times New Roman"/>
                <w:sz w:val="16"/>
                <w:szCs w:val="16"/>
              </w:rPr>
              <w:fldChar w:fldCharType="separate"/>
            </w:r>
            <w:r>
              <w:rPr>
                <w:rFonts w:ascii="Times New Roman" w:eastAsia="Calibri" w:hAnsi="Times New Roman" w:cs="Times New Roman"/>
                <w:noProof/>
                <w:sz w:val="16"/>
                <w:szCs w:val="16"/>
                <w:lang w:val="es-MX"/>
              </w:rPr>
              <w:t>(56)</w:t>
            </w:r>
            <w:r>
              <w:rPr>
                <w:rFonts w:ascii="Times New Roman" w:eastAsia="Calibri" w:hAnsi="Times New Roman" w:cs="Times New Roman"/>
                <w:sz w:val="16"/>
                <w:szCs w:val="16"/>
              </w:rPr>
              <w:fldChar w:fldCharType="end"/>
            </w:r>
          </w:p>
        </w:tc>
        <w:tc>
          <w:tcPr>
            <w:tcW w:w="2286" w:type="dxa"/>
          </w:tcPr>
          <w:p w14:paraId="24051707"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To evaluate the impact of malaria chemoprevention during pregnancy.</w:t>
            </w:r>
          </w:p>
        </w:tc>
        <w:tc>
          <w:tcPr>
            <w:tcW w:w="2423" w:type="dxa"/>
          </w:tcPr>
          <w:p w14:paraId="72512C53"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Nigeria (3), The Gambia (3), Kenya (t3), Mozambique (2), Uganda (2), Cameroon (1), Burkina Faso (1), and Thailand (2). N=17</w:t>
            </w:r>
          </w:p>
        </w:tc>
        <w:tc>
          <w:tcPr>
            <w:tcW w:w="1866" w:type="dxa"/>
          </w:tcPr>
          <w:p w14:paraId="2F1E629E" w14:textId="77777777" w:rsidR="004E7DD3"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Participants: pregnant women living in malaria‐endemic areas </w:t>
            </w:r>
          </w:p>
          <w:p w14:paraId="3BBA019E"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Sample size: 14,481</w:t>
            </w:r>
          </w:p>
        </w:tc>
        <w:tc>
          <w:tcPr>
            <w:tcW w:w="1812" w:type="dxa"/>
          </w:tcPr>
          <w:p w14:paraId="69DCE968"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Malaria </w:t>
            </w:r>
            <w:r>
              <w:rPr>
                <w:rFonts w:ascii="Times New Roman" w:eastAsia="Calibri" w:hAnsi="Times New Roman" w:cs="Times New Roman"/>
                <w:sz w:val="16"/>
                <w:szCs w:val="16"/>
              </w:rPr>
              <w:t>c</w:t>
            </w:r>
            <w:r w:rsidRPr="00DD5980">
              <w:rPr>
                <w:rFonts w:ascii="Times New Roman" w:eastAsia="Calibri" w:hAnsi="Times New Roman" w:cs="Times New Roman"/>
                <w:sz w:val="16"/>
                <w:szCs w:val="16"/>
              </w:rPr>
              <w:t>hemoprevention vs. Placebo</w:t>
            </w:r>
          </w:p>
        </w:tc>
        <w:tc>
          <w:tcPr>
            <w:tcW w:w="1823" w:type="dxa"/>
          </w:tcPr>
          <w:p w14:paraId="5AF320E8"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Maternal </w:t>
            </w:r>
            <w:r>
              <w:rPr>
                <w:rFonts w:ascii="Times New Roman" w:eastAsia="Calibri" w:hAnsi="Times New Roman" w:cs="Times New Roman"/>
                <w:sz w:val="16"/>
                <w:szCs w:val="16"/>
              </w:rPr>
              <w:t>a</w:t>
            </w:r>
            <w:r w:rsidRPr="00DD5980">
              <w:rPr>
                <w:rFonts w:ascii="Times New Roman" w:eastAsia="Calibri" w:hAnsi="Times New Roman" w:cs="Times New Roman"/>
                <w:sz w:val="16"/>
                <w:szCs w:val="16"/>
              </w:rPr>
              <w:t xml:space="preserve">nemia </w:t>
            </w:r>
            <w:r w:rsidRPr="00DD5980">
              <w:rPr>
                <w:rFonts w:ascii="Times New Roman" w:eastAsia="Calibri" w:hAnsi="Times New Roman" w:cs="Times New Roman"/>
                <w:sz w:val="16"/>
                <w:szCs w:val="16"/>
              </w:rPr>
              <w:br/>
              <w:t>LBW</w:t>
            </w:r>
          </w:p>
        </w:tc>
        <w:tc>
          <w:tcPr>
            <w:tcW w:w="1187" w:type="dxa"/>
          </w:tcPr>
          <w:p w14:paraId="3C42543A"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Yes- GRADE</w:t>
            </w:r>
          </w:p>
        </w:tc>
        <w:tc>
          <w:tcPr>
            <w:tcW w:w="1864" w:type="dxa"/>
          </w:tcPr>
          <w:p w14:paraId="57A5F6C8"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Pairwise meta-analyses, assessed heterogeneity.</w:t>
            </w:r>
            <w:r w:rsidRPr="00DD5980">
              <w:rPr>
                <w:rFonts w:ascii="Times New Roman" w:eastAsia="Calibri" w:hAnsi="Times New Roman" w:cs="Times New Roman"/>
                <w:sz w:val="16"/>
                <w:szCs w:val="16"/>
              </w:rPr>
              <w:br/>
            </w:r>
            <w:r w:rsidRPr="00DD5980">
              <w:rPr>
                <w:rFonts w:ascii="Times New Roman" w:eastAsia="Calibri" w:hAnsi="Times New Roman" w:cs="Times New Roman"/>
                <w:sz w:val="16"/>
                <w:szCs w:val="16"/>
              </w:rPr>
              <w:br/>
            </w:r>
            <w:r w:rsidRPr="00DD5980">
              <w:rPr>
                <w:rFonts w:ascii="Times New Roman" w:eastAsia="Calibri" w:hAnsi="Times New Roman" w:cs="Times New Roman"/>
                <w:sz w:val="16"/>
                <w:szCs w:val="16"/>
              </w:rPr>
              <w:br/>
            </w:r>
          </w:p>
        </w:tc>
      </w:tr>
      <w:tr w:rsidR="004E7DD3" w:rsidRPr="00DD5980" w14:paraId="01F8EDDF" w14:textId="77777777" w:rsidTr="000B6948">
        <w:tc>
          <w:tcPr>
            <w:cnfStyle w:val="001000000000" w:firstRow="0" w:lastRow="0" w:firstColumn="1" w:lastColumn="0" w:oddVBand="0" w:evenVBand="0" w:oddHBand="0" w:evenHBand="0" w:firstRowFirstColumn="0" w:firstRowLastColumn="0" w:lastRowFirstColumn="0" w:lastRowLastColumn="0"/>
            <w:tcW w:w="1319" w:type="dxa"/>
            <w:tcBorders>
              <w:top w:val="single" w:sz="4" w:space="0" w:color="auto"/>
              <w:left w:val="single" w:sz="4" w:space="0" w:color="auto"/>
              <w:bottom w:val="single" w:sz="4" w:space="0" w:color="auto"/>
            </w:tcBorders>
          </w:tcPr>
          <w:p w14:paraId="387E1606" w14:textId="77777777" w:rsidR="004E7DD3" w:rsidRPr="00DD5980" w:rsidRDefault="004E7DD3" w:rsidP="000B6948">
            <w:pPr>
              <w:spacing w:after="160" w:line="259" w:lineRule="auto"/>
              <w:jc w:val="left"/>
              <w:rPr>
                <w:rFonts w:ascii="Times New Roman" w:eastAsia="Calibri" w:hAnsi="Times New Roman" w:cs="Times New Roman"/>
                <w:sz w:val="16"/>
                <w:szCs w:val="16"/>
              </w:rPr>
            </w:pPr>
            <w:proofErr w:type="spellStart"/>
            <w:r w:rsidRPr="00DD5980">
              <w:rPr>
                <w:rFonts w:ascii="Times New Roman" w:eastAsia="Calibri" w:hAnsi="Times New Roman" w:cs="Times New Roman"/>
                <w:sz w:val="16"/>
                <w:szCs w:val="16"/>
              </w:rPr>
              <w:t>Schoonees</w:t>
            </w:r>
            <w:proofErr w:type="spellEnd"/>
            <w:r w:rsidRPr="00DD5980">
              <w:rPr>
                <w:rFonts w:ascii="Times New Roman" w:eastAsia="Calibri" w:hAnsi="Times New Roman" w:cs="Times New Roman"/>
                <w:sz w:val="16"/>
                <w:szCs w:val="16"/>
              </w:rPr>
              <w:t xml:space="preserve"> et al., 2019</w:t>
            </w:r>
            <w:r>
              <w:rPr>
                <w:rFonts w:ascii="Times New Roman" w:eastAsia="Calibri" w:hAnsi="Times New Roman" w:cs="Times New Roman"/>
                <w:sz w:val="16"/>
                <w:szCs w:val="16"/>
              </w:rPr>
              <w:t xml:space="preserve"> </w:t>
            </w:r>
            <w:r>
              <w:rPr>
                <w:rFonts w:ascii="Times New Roman" w:eastAsia="Calibri" w:hAnsi="Times New Roman" w:cs="Times New Roman"/>
                <w:sz w:val="16"/>
                <w:szCs w:val="16"/>
              </w:rPr>
              <w:fldChar w:fldCharType="begin"/>
            </w:r>
            <w:r>
              <w:rPr>
                <w:rFonts w:ascii="Times New Roman" w:eastAsia="Calibri" w:hAnsi="Times New Roman" w:cs="Times New Roman"/>
                <w:sz w:val="16"/>
                <w:szCs w:val="16"/>
              </w:rPr>
              <w:instrText xml:space="preserve"> ADDIN ZOTERO_ITEM CSL_CITATION {"citationID":"dMIsNL1H","properties":{"formattedCitation":"(44)","plainCitation":"(44)","noteIndex":0},"citationItems":[{"id":190,"uris":["http://zotero.org/users/13596477/items/UWQWCEAG"],"itemData":{"id":190,"type":"article-journal","container-title":"Cochrane Database of Systematic Reviews","DOI":"10.1002/14651858.CD009000.pub3","ISSN":"14651858","issue":"5","language":"en","source":"DOI.org (Crossref)","title":"Ready-to-use therapeutic food (RUTF) for home-based nutritional rehabilitation of severe acute malnutrition in children from six months to five years of age","URL":"http://doi.wiley.com/10.1002/14651858.CD009000.pub3","volume":"2019","author":[{"family":"Schoonees","given":"Anel"},{"family":"Lombard","given":"Martani J"},{"family":"Musekiwa","given":"Alfred"},{"family":"Nel","given":"Etienne"},{"family":"Volmink","given":"Jimmy"}],"editor":[{"literal":"Cochrane Developmental, Psychosocial and Learning Problems Group"}],"accessed":{"date-parts":[["2025",1,19]]},"issued":{"date-parts":[["2019",5,15]]}}}],"schema":"https://github.com/citation-style-language/schema/raw/master/csl-citation.json"} </w:instrText>
            </w:r>
            <w:r>
              <w:rPr>
                <w:rFonts w:ascii="Times New Roman" w:eastAsia="Calibri" w:hAnsi="Times New Roman" w:cs="Times New Roman"/>
                <w:sz w:val="16"/>
                <w:szCs w:val="16"/>
              </w:rPr>
              <w:fldChar w:fldCharType="separate"/>
            </w:r>
            <w:r>
              <w:rPr>
                <w:rFonts w:ascii="Times New Roman" w:eastAsia="Calibri" w:hAnsi="Times New Roman" w:cs="Times New Roman"/>
                <w:noProof/>
                <w:sz w:val="16"/>
                <w:szCs w:val="16"/>
              </w:rPr>
              <w:t>(44)</w:t>
            </w:r>
            <w:r>
              <w:rPr>
                <w:rFonts w:ascii="Times New Roman" w:eastAsia="Calibri" w:hAnsi="Times New Roman" w:cs="Times New Roman"/>
                <w:sz w:val="16"/>
                <w:szCs w:val="16"/>
              </w:rPr>
              <w:fldChar w:fldCharType="end"/>
            </w:r>
          </w:p>
        </w:tc>
        <w:tc>
          <w:tcPr>
            <w:tcW w:w="2286" w:type="dxa"/>
          </w:tcPr>
          <w:p w14:paraId="581FACDC"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To assess the effects of home‐based RUTF used during the rehabilitation phase of SAM in children aged between six months and five years.</w:t>
            </w:r>
          </w:p>
        </w:tc>
        <w:tc>
          <w:tcPr>
            <w:tcW w:w="2423" w:type="dxa"/>
          </w:tcPr>
          <w:p w14:paraId="5237551A"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For RUTF vs Alternative diet: India (4) and Malawi (3). N=7</w:t>
            </w:r>
          </w:p>
          <w:p w14:paraId="2FC8B6D7"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p>
        </w:tc>
        <w:tc>
          <w:tcPr>
            <w:tcW w:w="1866" w:type="dxa"/>
          </w:tcPr>
          <w:p w14:paraId="421B1B44"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Participants: children aged </w:t>
            </w:r>
            <w:r>
              <w:rPr>
                <w:rFonts w:ascii="Times New Roman" w:eastAsia="Calibri" w:hAnsi="Times New Roman" w:cs="Times New Roman"/>
                <w:sz w:val="16"/>
                <w:szCs w:val="16"/>
              </w:rPr>
              <w:t>6-59</w:t>
            </w:r>
            <w:r w:rsidRPr="00DD5980">
              <w:rPr>
                <w:rFonts w:ascii="Times New Roman" w:eastAsia="Calibri" w:hAnsi="Times New Roman" w:cs="Times New Roman"/>
                <w:sz w:val="16"/>
                <w:szCs w:val="16"/>
              </w:rPr>
              <w:t xml:space="preserve"> months with SAM.</w:t>
            </w:r>
            <w:r w:rsidRPr="00DD5980">
              <w:rPr>
                <w:rFonts w:ascii="Times New Roman" w:eastAsia="Calibri" w:hAnsi="Times New Roman" w:cs="Times New Roman"/>
                <w:sz w:val="16"/>
                <w:szCs w:val="16"/>
              </w:rPr>
              <w:br/>
              <w:t xml:space="preserve">Sample size: </w:t>
            </w:r>
            <w:r w:rsidRPr="00DD5980">
              <w:rPr>
                <w:rFonts w:ascii="Times New Roman" w:eastAsia="Calibri" w:hAnsi="Times New Roman" w:cs="Times New Roman"/>
                <w:sz w:val="16"/>
                <w:szCs w:val="16"/>
              </w:rPr>
              <w:br/>
              <w:t>2,261</w:t>
            </w:r>
          </w:p>
        </w:tc>
        <w:tc>
          <w:tcPr>
            <w:tcW w:w="1812" w:type="dxa"/>
          </w:tcPr>
          <w:p w14:paraId="24F1CC48"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RUTF vs. </w:t>
            </w:r>
            <w:r>
              <w:rPr>
                <w:rFonts w:ascii="Times New Roman" w:eastAsia="Calibri" w:hAnsi="Times New Roman" w:cs="Times New Roman"/>
                <w:sz w:val="16"/>
                <w:szCs w:val="16"/>
              </w:rPr>
              <w:t>A</w:t>
            </w:r>
            <w:r w:rsidRPr="00DD5980">
              <w:rPr>
                <w:rFonts w:ascii="Times New Roman" w:eastAsia="Calibri" w:hAnsi="Times New Roman" w:cs="Times New Roman"/>
                <w:sz w:val="16"/>
                <w:szCs w:val="16"/>
              </w:rPr>
              <w:t>lternative diet</w:t>
            </w:r>
            <w:r>
              <w:rPr>
                <w:rFonts w:ascii="Times New Roman" w:eastAsia="Calibri" w:hAnsi="Times New Roman" w:cs="Times New Roman"/>
                <w:sz w:val="16"/>
                <w:szCs w:val="16"/>
              </w:rPr>
              <w:t>s</w:t>
            </w:r>
            <w:r w:rsidRPr="00DD5980">
              <w:rPr>
                <w:rFonts w:ascii="Times New Roman" w:eastAsia="Calibri" w:hAnsi="Times New Roman" w:cs="Times New Roman"/>
                <w:sz w:val="16"/>
                <w:szCs w:val="16"/>
              </w:rPr>
              <w:t xml:space="preserve"> </w:t>
            </w:r>
          </w:p>
        </w:tc>
        <w:tc>
          <w:tcPr>
            <w:tcW w:w="1823" w:type="dxa"/>
          </w:tcPr>
          <w:p w14:paraId="6B36B20E"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Recovery, mortality, height gain, weight gain</w:t>
            </w:r>
          </w:p>
        </w:tc>
        <w:tc>
          <w:tcPr>
            <w:tcW w:w="1187" w:type="dxa"/>
          </w:tcPr>
          <w:p w14:paraId="2C59C35D"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Yes – </w:t>
            </w:r>
            <w:proofErr w:type="gramStart"/>
            <w:r w:rsidRPr="00DD5980">
              <w:rPr>
                <w:rFonts w:ascii="Times New Roman" w:eastAsia="Calibri" w:hAnsi="Times New Roman" w:cs="Times New Roman"/>
                <w:sz w:val="16"/>
                <w:szCs w:val="16"/>
              </w:rPr>
              <w:t>GRADE;  Cochrane</w:t>
            </w:r>
            <w:proofErr w:type="gramEnd"/>
            <w:r w:rsidRPr="00DD5980">
              <w:rPr>
                <w:rFonts w:ascii="Times New Roman" w:eastAsia="Calibri" w:hAnsi="Times New Roman" w:cs="Times New Roman"/>
                <w:sz w:val="16"/>
                <w:szCs w:val="16"/>
              </w:rPr>
              <w:t xml:space="preserve"> risk-of-bias tool</w:t>
            </w:r>
          </w:p>
        </w:tc>
        <w:tc>
          <w:tcPr>
            <w:tcW w:w="1864" w:type="dxa"/>
          </w:tcPr>
          <w:p w14:paraId="0AA89F6E"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Random‐effects meta‐analysis</w:t>
            </w:r>
          </w:p>
        </w:tc>
      </w:tr>
      <w:tr w:rsidR="004E7DD3" w:rsidRPr="00DD5980" w14:paraId="28EF34CB" w14:textId="77777777" w:rsidTr="000B69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9" w:type="dxa"/>
            <w:tcBorders>
              <w:top w:val="single" w:sz="4" w:space="0" w:color="auto"/>
              <w:left w:val="single" w:sz="4" w:space="0" w:color="auto"/>
              <w:bottom w:val="single" w:sz="4" w:space="0" w:color="auto"/>
            </w:tcBorders>
          </w:tcPr>
          <w:p w14:paraId="45CA2C40" w14:textId="77777777" w:rsidR="004E7DD3" w:rsidRPr="00DD5980" w:rsidRDefault="004E7DD3" w:rsidP="000B6948">
            <w:pPr>
              <w:spacing w:after="160" w:line="259" w:lineRule="auto"/>
              <w:jc w:val="left"/>
              <w:rPr>
                <w:rFonts w:ascii="Times New Roman" w:eastAsia="Calibri" w:hAnsi="Times New Roman" w:cs="Times New Roman"/>
                <w:sz w:val="16"/>
                <w:szCs w:val="16"/>
              </w:rPr>
            </w:pPr>
            <w:r w:rsidRPr="00DD5980">
              <w:rPr>
                <w:rFonts w:ascii="Times New Roman" w:eastAsia="Calibri" w:hAnsi="Times New Roman" w:cs="Times New Roman"/>
                <w:sz w:val="16"/>
                <w:szCs w:val="16"/>
              </w:rPr>
              <w:t>Seidler et al., 2023</w:t>
            </w:r>
            <w:r>
              <w:rPr>
                <w:rFonts w:ascii="Times New Roman" w:eastAsia="Calibri" w:hAnsi="Times New Roman" w:cs="Times New Roman"/>
                <w:sz w:val="16"/>
                <w:szCs w:val="16"/>
              </w:rPr>
              <w:t xml:space="preserve"> </w:t>
            </w:r>
            <w:r>
              <w:rPr>
                <w:rFonts w:ascii="Times New Roman" w:eastAsia="Calibri" w:hAnsi="Times New Roman" w:cs="Times New Roman"/>
                <w:sz w:val="16"/>
                <w:szCs w:val="16"/>
              </w:rPr>
              <w:fldChar w:fldCharType="begin"/>
            </w:r>
            <w:r>
              <w:rPr>
                <w:rFonts w:ascii="Times New Roman" w:eastAsia="Calibri" w:hAnsi="Times New Roman" w:cs="Times New Roman"/>
                <w:sz w:val="16"/>
                <w:szCs w:val="16"/>
              </w:rPr>
              <w:instrText xml:space="preserve"> ADDIN ZOTERO_ITEM CSL_CITATION {"citationID":"L2c97KcL","properties":{"formattedCitation":"(57)","plainCitation":"(57)","noteIndex":0},"citationItems":[{"id":289,"uris":["http://zotero.org/users/13596477/items/FA5MMTE7"],"itemData":{"id":289,"type":"article-journal","container-title":"The Lancet","DOI":"10.1016/S0140-6736(23)02468-6","ISSN":"01406736","issue":"10418","journalAbbreviation":"The Lancet","language":"en","page":"2209-2222","source":"DOI.org (Crossref)","title":"Deferred cord clamping, cord milking, and immediate cord clamping at preterm birth: a systematic review and individual participant data meta-analysis","title-short":"Deferred cord clamping, cord milking, and immediate cord clamping at preterm birth","volume":"402","author":[{"family":"Seidler","given":"Anna Lene"},{"family":"Aberoumand","given":"Mason"},{"family":"Hunter","given":"Kylie E"},{"family":"Barba","given":"Angie"},{"family":"Libesman","given":"Sol"},{"family":"Williams","given":"Jonathan G"},{"family":"Shrestha","given":"Nipun"},{"family":"Aagerup","given":"Jannik"},{"family":"Sotiropoulos","given":"James X"},{"family":"Montgomery","given":"Alan A"},{"family":"Gyte","given":"Gillian M L"},{"family":"Duley","given":"Lelia"},{"family":"Askie","given":"Lisa M"},{"family":"Seidler","given":"Anna Lene"},{"family":"Aberoumand","given":"Mason"},{"family":"Hunter","given":"Kylie E"},{"family":"Barba","given":"Angie"},{"family":"Libesman","given":"Sol"},{"family":"Williams","given":"Jonathan G"},{"family":"Shrestha","given":"Nipun"},{"family":"Aagerup","given":"Jannik"},{"family":"Sotiropoulos","given":"James X"},{"family":"Montgomery","given":"Alan A"},{"family":"Gyte","given":"Gillian M L"},{"family":"Garg","given":"Aashim"},{"family":"Kumar","given":"Aditi"},{"family":"Tan","given":"Aidan C"},{"family":"Kugelman","given":"Amir"},{"family":"Webster","given":"Angela C"},{"family":"George","given":"Anu A"},{"family":"Thukral","given":"Anu"},{"family":"Katheria","given":"Anup C"},{"family":"Te Pas","given":"Arjan B"},{"family":"Kc","given":"Ashish"},{"family":"Urlesberger","given":"Berndt"},{"family":"Schwaberger","given":"Bernhard"},{"family":"Backes","given":"Carl H"},{"family":"De Paco Matallana","given":"Catalina"},{"family":"Tanprasertkul","given":"Chamnan"},{"family":"Ruangkit","given":"Chayatat"},{"family":"Chawla","given":"Deepak"},{"family":"Blank","given":"Douglas A"},{"family":"Okulu","given":"Emel"},{"family":"Dempsey","given":"Eugene M"},{"family":"Ram Mohan","given":"Govindu"},{"family":"Polglase","given":"Graeme R"},{"family":"Carroli","given":"Guillermo"},{"family":"Al-Wassia","given":"Heidi K"},{"family":"Rabe","given":"Heike"},{"family":"Liley","given":"Helen G"},{"family":"Atia","given":"Hytham"},{"family":"Nour","given":"Islam"},{"family":"Liu","given":"Jiang-Qin"},{"family":"Kattwinkel","given":"John"},{"family":"Dorling","given":"Jon S"},{"family":"Mercer","given":"Judith S"},{"family":"Josephsen","given":"Justin B"},{"family":"Fairchild","given":"Karen D"},{"family":"Wallace","given":"Kedra"},{"family":"Murphy","given":"Kellie E"},{"family":"Robledo","given":"Kristy P"},{"family":"Gharehbaghi","given":"Manizheh M"},{"family":"De Veciana","given":"Margarita"},{"family":"Goya","given":"Maria"},{"family":"Kluckow","given":"Martin"},{"family":"March","given":"Melissa I"},{"family":"Meyer","given":"Michael P"},{"family":"Mangla","given":"Mukul K"},{"family":"Allam","given":"Nahed E"},{"family":"Nasef","given":"Nehad"},{"family":"Dipak","given":"Niraj K"},{"family":"Andersson","given":"Ola"},{"family":"Davis","given":"Peter G"},{"family":"Pongmee","given":"Pharuhad"},{"family":"Riley","given":"Richard D"},{"family":"Simes","given":"Robert John"},{"family":"Knol","given":"Ronny"},{"family":"Arsan","given":"Saadet"},{"family":"Shekhar","given":"Shashank"},{"family":"Belk","given":"Sheila S"},{"family":"Hosono","given":"Shigeharu"},{"family":"Badurdeen","given":"Shiraz"},{"family":"Pratesi","given":"Simone"},{"family":"Dias","given":"Sofia"},{"family":"Hooper","given":"Stuart B"},{"family":"Sahoo","given":"Tanushree"},{"family":"Debray","given":"Thomas P A"},{"family":"Manoj","given":"Varanattu C"},{"family":"Sundaram","given":"Venkataseshan"},{"family":"Lago","given":"Victor"},{"family":"Datta","given":"Vikram"},{"family":"El-Naggar","given":"Walid"},{"family":"Carlo","given":"Waldemar A"},{"family":"Tarnow-Mordi","given":"William O"},{"family":"Duley","given":"Lelia"},{"family":"Askie","given":"Lisa M"}],"issued":{"date-parts":[["2023",12]]}}}],"schema":"https://github.com/citation-style-language/schema/raw/master/csl-citation.json"} </w:instrText>
            </w:r>
            <w:r>
              <w:rPr>
                <w:rFonts w:ascii="Times New Roman" w:eastAsia="Calibri" w:hAnsi="Times New Roman" w:cs="Times New Roman"/>
                <w:sz w:val="16"/>
                <w:szCs w:val="16"/>
              </w:rPr>
              <w:fldChar w:fldCharType="separate"/>
            </w:r>
            <w:r>
              <w:rPr>
                <w:rFonts w:ascii="Times New Roman" w:eastAsia="Calibri" w:hAnsi="Times New Roman" w:cs="Times New Roman"/>
                <w:noProof/>
                <w:sz w:val="16"/>
                <w:szCs w:val="16"/>
              </w:rPr>
              <w:t>(57)</w:t>
            </w:r>
            <w:r>
              <w:rPr>
                <w:rFonts w:ascii="Times New Roman" w:eastAsia="Calibri" w:hAnsi="Times New Roman" w:cs="Times New Roman"/>
                <w:sz w:val="16"/>
                <w:szCs w:val="16"/>
              </w:rPr>
              <w:fldChar w:fldCharType="end"/>
            </w:r>
          </w:p>
        </w:tc>
        <w:tc>
          <w:tcPr>
            <w:tcW w:w="2286" w:type="dxa"/>
          </w:tcPr>
          <w:p w14:paraId="78105B7B"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To evaluate the effects of deferred</w:t>
            </w:r>
            <w:r>
              <w:rPr>
                <w:rFonts w:ascii="Times New Roman" w:eastAsia="Calibri" w:hAnsi="Times New Roman" w:cs="Times New Roman"/>
                <w:sz w:val="16"/>
                <w:szCs w:val="16"/>
              </w:rPr>
              <w:t>,</w:t>
            </w:r>
            <w:r w:rsidRPr="00DD5980">
              <w:rPr>
                <w:rFonts w:ascii="Times New Roman" w:eastAsia="Calibri" w:hAnsi="Times New Roman" w:cs="Times New Roman"/>
                <w:sz w:val="16"/>
                <w:szCs w:val="16"/>
              </w:rPr>
              <w:t xml:space="preserve"> umbilical</w:t>
            </w:r>
            <w:r>
              <w:rPr>
                <w:rFonts w:ascii="Times New Roman" w:eastAsia="Calibri" w:hAnsi="Times New Roman" w:cs="Times New Roman"/>
                <w:sz w:val="16"/>
                <w:szCs w:val="16"/>
              </w:rPr>
              <w:t xml:space="preserve">, and </w:t>
            </w:r>
            <w:r w:rsidRPr="00DD5980">
              <w:rPr>
                <w:rFonts w:ascii="Times New Roman" w:eastAsia="Calibri" w:hAnsi="Times New Roman" w:cs="Times New Roman"/>
                <w:sz w:val="16"/>
                <w:szCs w:val="16"/>
              </w:rPr>
              <w:t>immediate cord clamping on mortality and morbidity in preterm infants.</w:t>
            </w:r>
          </w:p>
        </w:tc>
        <w:tc>
          <w:tcPr>
            <w:tcW w:w="2423" w:type="dxa"/>
          </w:tcPr>
          <w:p w14:paraId="2692726C"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High income countries (nine [43%] of 21), upper-middle </w:t>
            </w:r>
            <w:r w:rsidRPr="00DD5980">
              <w:rPr>
                <w:rFonts w:ascii="Times New Roman" w:eastAsia="Calibri" w:hAnsi="Times New Roman" w:cs="Times New Roman"/>
                <w:sz w:val="16"/>
                <w:szCs w:val="16"/>
              </w:rPr>
              <w:br/>
              <w:t>income countries (five [24%]), and lower-middle-</w:t>
            </w:r>
            <w:proofErr w:type="gramStart"/>
            <w:r w:rsidRPr="00DD5980">
              <w:rPr>
                <w:rFonts w:ascii="Times New Roman" w:eastAsia="Calibri" w:hAnsi="Times New Roman" w:cs="Times New Roman"/>
                <w:sz w:val="16"/>
                <w:szCs w:val="16"/>
              </w:rPr>
              <w:t>income  countries</w:t>
            </w:r>
            <w:proofErr w:type="gramEnd"/>
            <w:r w:rsidRPr="00DD5980">
              <w:rPr>
                <w:rFonts w:ascii="Times New Roman" w:eastAsia="Calibri" w:hAnsi="Times New Roman" w:cs="Times New Roman"/>
                <w:sz w:val="16"/>
                <w:szCs w:val="16"/>
              </w:rPr>
              <w:t xml:space="preserve"> (seven [33%]. N=21</w:t>
            </w:r>
          </w:p>
          <w:p w14:paraId="5B3C72EC"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p>
        </w:tc>
        <w:tc>
          <w:tcPr>
            <w:tcW w:w="1866" w:type="dxa"/>
          </w:tcPr>
          <w:p w14:paraId="3911B1D5"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Participants: infants (&lt;37 weeks of gestation)</w:t>
            </w:r>
            <w:r w:rsidRPr="00DD5980">
              <w:rPr>
                <w:rFonts w:ascii="Times New Roman" w:eastAsia="Calibri" w:hAnsi="Times New Roman" w:cs="Times New Roman"/>
                <w:sz w:val="16"/>
                <w:szCs w:val="16"/>
              </w:rPr>
              <w:br/>
              <w:t xml:space="preserve">Sample </w:t>
            </w:r>
            <w:proofErr w:type="gramStart"/>
            <w:r w:rsidRPr="00DD5980">
              <w:rPr>
                <w:rFonts w:ascii="Times New Roman" w:eastAsia="Calibri" w:hAnsi="Times New Roman" w:cs="Times New Roman"/>
                <w:sz w:val="16"/>
                <w:szCs w:val="16"/>
              </w:rPr>
              <w:t>size :</w:t>
            </w:r>
            <w:proofErr w:type="gramEnd"/>
            <w:r w:rsidRPr="00DD5980">
              <w:rPr>
                <w:rFonts w:ascii="Times New Roman" w:eastAsia="Calibri" w:hAnsi="Times New Roman" w:cs="Times New Roman"/>
                <w:sz w:val="16"/>
                <w:szCs w:val="16"/>
              </w:rPr>
              <w:t xml:space="preserve"> 6367</w:t>
            </w:r>
          </w:p>
        </w:tc>
        <w:tc>
          <w:tcPr>
            <w:tcW w:w="1812" w:type="dxa"/>
          </w:tcPr>
          <w:p w14:paraId="76E01A02"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Delayed vs. Immediate or </w:t>
            </w:r>
            <w:r>
              <w:rPr>
                <w:rFonts w:ascii="Times New Roman" w:eastAsia="Calibri" w:hAnsi="Times New Roman" w:cs="Times New Roman"/>
                <w:sz w:val="16"/>
                <w:szCs w:val="16"/>
              </w:rPr>
              <w:t>e</w:t>
            </w:r>
            <w:r w:rsidRPr="00DD5980">
              <w:rPr>
                <w:rFonts w:ascii="Times New Roman" w:eastAsia="Calibri" w:hAnsi="Times New Roman" w:cs="Times New Roman"/>
                <w:sz w:val="16"/>
                <w:szCs w:val="16"/>
              </w:rPr>
              <w:t xml:space="preserve">arly </w:t>
            </w:r>
            <w:r>
              <w:rPr>
                <w:rFonts w:ascii="Times New Roman" w:eastAsia="Calibri" w:hAnsi="Times New Roman" w:cs="Times New Roman"/>
                <w:sz w:val="16"/>
                <w:szCs w:val="16"/>
              </w:rPr>
              <w:t>c</w:t>
            </w:r>
            <w:r w:rsidRPr="00DD5980">
              <w:rPr>
                <w:rFonts w:ascii="Times New Roman" w:eastAsia="Calibri" w:hAnsi="Times New Roman" w:cs="Times New Roman"/>
                <w:sz w:val="16"/>
                <w:szCs w:val="16"/>
              </w:rPr>
              <w:t>lamping</w:t>
            </w:r>
          </w:p>
        </w:tc>
        <w:tc>
          <w:tcPr>
            <w:tcW w:w="1823" w:type="dxa"/>
          </w:tcPr>
          <w:p w14:paraId="0E52B292"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Pr>
                <w:rFonts w:ascii="Times New Roman" w:eastAsia="Calibri" w:hAnsi="Times New Roman" w:cs="Times New Roman"/>
                <w:sz w:val="16"/>
                <w:szCs w:val="16"/>
              </w:rPr>
              <w:t>A</w:t>
            </w:r>
            <w:r w:rsidRPr="00DD5980">
              <w:rPr>
                <w:rFonts w:ascii="Times New Roman" w:eastAsia="Calibri" w:hAnsi="Times New Roman" w:cs="Times New Roman"/>
                <w:sz w:val="16"/>
                <w:szCs w:val="16"/>
              </w:rPr>
              <w:t xml:space="preserve">ll-cause </w:t>
            </w:r>
            <w:r>
              <w:rPr>
                <w:rFonts w:ascii="Times New Roman" w:eastAsia="Calibri" w:hAnsi="Times New Roman" w:cs="Times New Roman"/>
                <w:sz w:val="16"/>
                <w:szCs w:val="16"/>
              </w:rPr>
              <w:t>m</w:t>
            </w:r>
            <w:r w:rsidRPr="00DD5980">
              <w:rPr>
                <w:rFonts w:ascii="Times New Roman" w:eastAsia="Calibri" w:hAnsi="Times New Roman" w:cs="Times New Roman"/>
                <w:sz w:val="16"/>
                <w:szCs w:val="16"/>
              </w:rPr>
              <w:t>ortality</w:t>
            </w:r>
            <w:r>
              <w:rPr>
                <w:rFonts w:ascii="Times New Roman" w:eastAsia="Calibri" w:hAnsi="Times New Roman" w:cs="Times New Roman"/>
                <w:sz w:val="16"/>
                <w:szCs w:val="16"/>
              </w:rPr>
              <w:t xml:space="preserve"> among preterm</w:t>
            </w:r>
          </w:p>
        </w:tc>
        <w:tc>
          <w:tcPr>
            <w:tcW w:w="1187" w:type="dxa"/>
          </w:tcPr>
          <w:p w14:paraId="15993779"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Yes- GRADE</w:t>
            </w:r>
          </w:p>
        </w:tc>
        <w:tc>
          <w:tcPr>
            <w:tcW w:w="1864" w:type="dxa"/>
          </w:tcPr>
          <w:p w14:paraId="31F1EBC8" w14:textId="77777777" w:rsidR="004E7DD3" w:rsidRPr="004D4656"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One-stage meta-analyses using generalized linear mixed-effects models.</w:t>
            </w:r>
          </w:p>
        </w:tc>
      </w:tr>
      <w:tr w:rsidR="004E7DD3" w:rsidRPr="00DD5980" w14:paraId="6219DE46" w14:textId="77777777" w:rsidTr="000B6948">
        <w:tc>
          <w:tcPr>
            <w:cnfStyle w:val="001000000000" w:firstRow="0" w:lastRow="0" w:firstColumn="1" w:lastColumn="0" w:oddVBand="0" w:evenVBand="0" w:oddHBand="0" w:evenHBand="0" w:firstRowFirstColumn="0" w:firstRowLastColumn="0" w:lastRowFirstColumn="0" w:lastRowLastColumn="0"/>
            <w:tcW w:w="1319" w:type="dxa"/>
            <w:tcBorders>
              <w:top w:val="single" w:sz="4" w:space="0" w:color="auto"/>
              <w:left w:val="single" w:sz="4" w:space="0" w:color="auto"/>
              <w:bottom w:val="single" w:sz="4" w:space="0" w:color="auto"/>
            </w:tcBorders>
          </w:tcPr>
          <w:p w14:paraId="7BC9211D" w14:textId="77777777" w:rsidR="004E7DD3" w:rsidRPr="00DD5980" w:rsidRDefault="004E7DD3" w:rsidP="000B6948">
            <w:pPr>
              <w:spacing w:after="160" w:line="259" w:lineRule="auto"/>
              <w:jc w:val="left"/>
              <w:rPr>
                <w:rFonts w:ascii="Times New Roman" w:eastAsia="Calibri" w:hAnsi="Times New Roman" w:cs="Times New Roman"/>
                <w:sz w:val="16"/>
                <w:szCs w:val="16"/>
              </w:rPr>
            </w:pPr>
            <w:r w:rsidRPr="00DD5980">
              <w:rPr>
                <w:rFonts w:ascii="Times New Roman" w:eastAsia="Calibri" w:hAnsi="Times New Roman" w:cs="Times New Roman"/>
                <w:sz w:val="16"/>
                <w:szCs w:val="16"/>
              </w:rPr>
              <w:t>Sinha et al., 2017</w:t>
            </w:r>
            <w:r>
              <w:rPr>
                <w:rFonts w:ascii="Times New Roman" w:eastAsia="Calibri" w:hAnsi="Times New Roman" w:cs="Times New Roman"/>
                <w:sz w:val="16"/>
                <w:szCs w:val="16"/>
              </w:rPr>
              <w:t xml:space="preserve"> </w:t>
            </w:r>
            <w:r>
              <w:rPr>
                <w:rFonts w:ascii="Times New Roman" w:eastAsia="Calibri" w:hAnsi="Times New Roman" w:cs="Times New Roman"/>
                <w:sz w:val="16"/>
                <w:szCs w:val="16"/>
              </w:rPr>
              <w:fldChar w:fldCharType="begin"/>
            </w:r>
            <w:r>
              <w:rPr>
                <w:rFonts w:ascii="Times New Roman" w:eastAsia="Calibri" w:hAnsi="Times New Roman" w:cs="Times New Roman"/>
                <w:sz w:val="16"/>
                <w:szCs w:val="16"/>
              </w:rPr>
              <w:instrText xml:space="preserve"> ADDIN ZOTERO_ITEM CSL_CITATION {"citationID":"ErfY8b3B","properties":{"formattedCitation":"(46)","plainCitation":"(46)","noteIndex":0},"citationItems":[{"id":197,"uris":["http://zotero.org/users/13596477/items/GYTSMCQQ"],"itemData":{"id":197,"type":"article-journal","container-title":"The Journal of Nutrition","DOI":"10.3945/jn.116.242321","ISSN":"00223166","issue":"11","journalAbbreviation":"The Journal of Nutrition","language":"en","page":"2179S-2187S","source":"DOI.org (Crossref)","title":"Integrated Interventions Delivered in Health Systems, Home, and Community Have the Highest Impact on Breastfeeding Outcomes in Low- and Middle-Income Countries","volume":"147","author":[{"family":"Sinha","given":"Bireshwar"},{"family":"Chowdhury","given":"Ranadip"},{"family":"Upadhyay","given":"Ravi Prakash"},{"family":"Taneja","given":"Sunita"},{"family":"Martines","given":"Jose"},{"family":"Bahl","given":"Rajiv"},{"family":"Sankar","given":"Mari Jeeva"}],"issued":{"date-parts":[["2017",11]]}}}],"schema":"https://github.com/citation-style-language/schema/raw/master/csl-citation.json"} </w:instrText>
            </w:r>
            <w:r>
              <w:rPr>
                <w:rFonts w:ascii="Times New Roman" w:eastAsia="Calibri" w:hAnsi="Times New Roman" w:cs="Times New Roman"/>
                <w:sz w:val="16"/>
                <w:szCs w:val="16"/>
              </w:rPr>
              <w:fldChar w:fldCharType="separate"/>
            </w:r>
            <w:r>
              <w:rPr>
                <w:rFonts w:ascii="Times New Roman" w:eastAsia="Calibri" w:hAnsi="Times New Roman" w:cs="Times New Roman"/>
                <w:noProof/>
                <w:sz w:val="16"/>
                <w:szCs w:val="16"/>
              </w:rPr>
              <w:t>(46)</w:t>
            </w:r>
            <w:r>
              <w:rPr>
                <w:rFonts w:ascii="Times New Roman" w:eastAsia="Calibri" w:hAnsi="Times New Roman" w:cs="Times New Roman"/>
                <w:sz w:val="16"/>
                <w:szCs w:val="16"/>
              </w:rPr>
              <w:fldChar w:fldCharType="end"/>
            </w:r>
          </w:p>
        </w:tc>
        <w:tc>
          <w:tcPr>
            <w:tcW w:w="2286" w:type="dxa"/>
          </w:tcPr>
          <w:p w14:paraId="6E085FC6"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To update evidence on the effect of interventions on early initiation of and exclusive and continued breastfeeding rates in </w:t>
            </w:r>
            <w:r w:rsidRPr="00DD5980">
              <w:rPr>
                <w:rFonts w:ascii="Times New Roman" w:eastAsia="Calibri" w:hAnsi="Times New Roman" w:cs="Times New Roman"/>
                <w:sz w:val="16"/>
                <w:szCs w:val="16"/>
              </w:rPr>
              <w:lastRenderedPageBreak/>
              <w:t>LMICs in health facility, home or community settings.</w:t>
            </w:r>
          </w:p>
        </w:tc>
        <w:tc>
          <w:tcPr>
            <w:tcW w:w="2423" w:type="dxa"/>
          </w:tcPr>
          <w:p w14:paraId="524F3414"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lastRenderedPageBreak/>
              <w:t xml:space="preserve">LMICs. </w:t>
            </w:r>
          </w:p>
          <w:p w14:paraId="438DB490"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N=61</w:t>
            </w:r>
          </w:p>
        </w:tc>
        <w:tc>
          <w:tcPr>
            <w:tcW w:w="1866" w:type="dxa"/>
          </w:tcPr>
          <w:p w14:paraId="2E54D53A"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Participants: mothers in antenatal and postnatal period</w:t>
            </w:r>
            <w:r>
              <w:rPr>
                <w:rFonts w:ascii="Times New Roman" w:eastAsia="Calibri" w:hAnsi="Times New Roman" w:cs="Times New Roman"/>
                <w:sz w:val="16"/>
                <w:szCs w:val="16"/>
              </w:rPr>
              <w:t>s</w:t>
            </w:r>
            <w:r w:rsidRPr="00DD5980">
              <w:rPr>
                <w:rFonts w:ascii="Times New Roman" w:eastAsia="Calibri" w:hAnsi="Times New Roman" w:cs="Times New Roman"/>
                <w:sz w:val="16"/>
                <w:szCs w:val="16"/>
              </w:rPr>
              <w:br/>
              <w:t xml:space="preserve">Sample size: For EIBF </w:t>
            </w:r>
            <w:r w:rsidRPr="00DD5980">
              <w:rPr>
                <w:rFonts w:ascii="Times New Roman" w:eastAsia="Calibri" w:hAnsi="Times New Roman" w:cs="Times New Roman"/>
                <w:sz w:val="16"/>
                <w:szCs w:val="16"/>
              </w:rPr>
              <w:lastRenderedPageBreak/>
              <w:t>outcome: 9 studies &lt;500 participants, 13 studies 500-1,499 participants, and 6 studies &gt;=1,500 participants.</w:t>
            </w:r>
          </w:p>
        </w:tc>
        <w:tc>
          <w:tcPr>
            <w:tcW w:w="1812" w:type="dxa"/>
          </w:tcPr>
          <w:p w14:paraId="0784CE8B"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Pr>
                <w:rFonts w:ascii="Times New Roman" w:eastAsia="Calibri" w:hAnsi="Times New Roman" w:cs="Times New Roman"/>
                <w:sz w:val="16"/>
                <w:szCs w:val="16"/>
              </w:rPr>
              <w:lastRenderedPageBreak/>
              <w:t>B</w:t>
            </w:r>
            <w:r w:rsidRPr="00DD5980">
              <w:rPr>
                <w:rFonts w:ascii="Times New Roman" w:eastAsia="Calibri" w:hAnsi="Times New Roman" w:cs="Times New Roman"/>
                <w:sz w:val="16"/>
                <w:szCs w:val="16"/>
              </w:rPr>
              <w:t xml:space="preserve">reastfeeding </w:t>
            </w:r>
            <w:r>
              <w:rPr>
                <w:rFonts w:ascii="Times New Roman" w:eastAsia="Calibri" w:hAnsi="Times New Roman" w:cs="Times New Roman"/>
                <w:sz w:val="16"/>
                <w:szCs w:val="16"/>
              </w:rPr>
              <w:t>promotion</w:t>
            </w:r>
            <w:r w:rsidRPr="00DD5980">
              <w:rPr>
                <w:rFonts w:ascii="Times New Roman" w:eastAsia="Calibri" w:hAnsi="Times New Roman" w:cs="Times New Roman"/>
                <w:sz w:val="16"/>
                <w:szCs w:val="16"/>
              </w:rPr>
              <w:t xml:space="preserve"> vs Standard of care</w:t>
            </w:r>
          </w:p>
        </w:tc>
        <w:tc>
          <w:tcPr>
            <w:tcW w:w="1823" w:type="dxa"/>
          </w:tcPr>
          <w:p w14:paraId="0CF44E04"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Early initiation of breastfeeding, EBF, and continued breastfeeding</w:t>
            </w:r>
          </w:p>
        </w:tc>
        <w:tc>
          <w:tcPr>
            <w:tcW w:w="1187" w:type="dxa"/>
          </w:tcPr>
          <w:p w14:paraId="1361A6AE"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Yes – GRADE; </w:t>
            </w:r>
            <w:r w:rsidRPr="00DD5980">
              <w:rPr>
                <w:rFonts w:ascii="Times New Roman" w:eastAsia="Calibri" w:hAnsi="Times New Roman" w:cs="Times New Roman"/>
                <w:sz w:val="16"/>
                <w:szCs w:val="16"/>
              </w:rPr>
              <w:lastRenderedPageBreak/>
              <w:t>Cochrane risk-of-bias tool</w:t>
            </w:r>
          </w:p>
        </w:tc>
        <w:tc>
          <w:tcPr>
            <w:tcW w:w="1864" w:type="dxa"/>
          </w:tcPr>
          <w:p w14:paraId="24440FAB"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lastRenderedPageBreak/>
              <w:t xml:space="preserve">Generic inverse variance method. </w:t>
            </w:r>
            <w:proofErr w:type="spellStart"/>
            <w:r w:rsidRPr="00DD5980">
              <w:rPr>
                <w:rFonts w:ascii="Times New Roman" w:eastAsia="Calibri" w:hAnsi="Times New Roman" w:cs="Times New Roman"/>
                <w:sz w:val="16"/>
                <w:szCs w:val="16"/>
              </w:rPr>
              <w:t>LiST</w:t>
            </w:r>
            <w:proofErr w:type="spellEnd"/>
            <w:r w:rsidRPr="00DD5980">
              <w:rPr>
                <w:rFonts w:ascii="Times New Roman" w:eastAsia="Calibri" w:hAnsi="Times New Roman" w:cs="Times New Roman"/>
                <w:sz w:val="16"/>
                <w:szCs w:val="16"/>
              </w:rPr>
              <w:t>.</w:t>
            </w:r>
            <w:r w:rsidRPr="00DD5980">
              <w:rPr>
                <w:rFonts w:ascii="Times New Roman" w:eastAsia="Calibri" w:hAnsi="Times New Roman" w:cs="Times New Roman"/>
                <w:sz w:val="16"/>
                <w:szCs w:val="16"/>
              </w:rPr>
              <w:br/>
            </w:r>
            <w:r w:rsidRPr="00DD5980">
              <w:rPr>
                <w:rFonts w:ascii="Times New Roman" w:eastAsia="Calibri" w:hAnsi="Times New Roman" w:cs="Times New Roman"/>
                <w:sz w:val="16"/>
                <w:szCs w:val="16"/>
              </w:rPr>
              <w:lastRenderedPageBreak/>
              <w:t>Random-effects model if high heterogeneity.</w:t>
            </w:r>
          </w:p>
        </w:tc>
      </w:tr>
      <w:tr w:rsidR="004E7DD3" w:rsidRPr="00DD5980" w14:paraId="3DF2D888" w14:textId="77777777" w:rsidTr="000B69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9" w:type="dxa"/>
            <w:tcBorders>
              <w:top w:val="single" w:sz="4" w:space="0" w:color="auto"/>
              <w:left w:val="single" w:sz="4" w:space="0" w:color="auto"/>
              <w:bottom w:val="single" w:sz="4" w:space="0" w:color="auto"/>
            </w:tcBorders>
          </w:tcPr>
          <w:p w14:paraId="15710464" w14:textId="77777777" w:rsidR="004E7DD3" w:rsidRPr="00DD5980" w:rsidRDefault="004E7DD3" w:rsidP="000B6948">
            <w:pPr>
              <w:spacing w:after="160" w:line="259" w:lineRule="auto"/>
              <w:jc w:val="left"/>
              <w:rPr>
                <w:rFonts w:ascii="Times New Roman" w:eastAsia="Calibri" w:hAnsi="Times New Roman" w:cs="Times New Roman"/>
                <w:sz w:val="16"/>
                <w:szCs w:val="16"/>
              </w:rPr>
            </w:pPr>
            <w:proofErr w:type="spellStart"/>
            <w:r w:rsidRPr="00DD5980">
              <w:rPr>
                <w:rFonts w:ascii="Times New Roman" w:eastAsia="Calibri" w:hAnsi="Times New Roman" w:cs="Times New Roman"/>
                <w:sz w:val="16"/>
                <w:szCs w:val="16"/>
              </w:rPr>
              <w:lastRenderedPageBreak/>
              <w:t>Sivanandan</w:t>
            </w:r>
            <w:proofErr w:type="spellEnd"/>
            <w:r w:rsidRPr="00DD5980">
              <w:rPr>
                <w:rFonts w:ascii="Times New Roman" w:eastAsia="Calibri" w:hAnsi="Times New Roman" w:cs="Times New Roman"/>
                <w:sz w:val="16"/>
                <w:szCs w:val="16"/>
              </w:rPr>
              <w:t xml:space="preserve"> et al., 2023</w:t>
            </w:r>
            <w:r>
              <w:rPr>
                <w:rFonts w:ascii="Times New Roman" w:eastAsia="Calibri" w:hAnsi="Times New Roman" w:cs="Times New Roman"/>
                <w:sz w:val="16"/>
                <w:szCs w:val="16"/>
              </w:rPr>
              <w:t xml:space="preserve"> </w:t>
            </w:r>
            <w:r>
              <w:rPr>
                <w:rFonts w:ascii="Times New Roman" w:eastAsia="Calibri" w:hAnsi="Times New Roman" w:cs="Times New Roman"/>
                <w:sz w:val="16"/>
                <w:szCs w:val="16"/>
              </w:rPr>
              <w:fldChar w:fldCharType="begin"/>
            </w:r>
            <w:r>
              <w:rPr>
                <w:rFonts w:ascii="Times New Roman" w:eastAsia="Calibri" w:hAnsi="Times New Roman" w:cs="Times New Roman"/>
                <w:sz w:val="16"/>
                <w:szCs w:val="16"/>
              </w:rPr>
              <w:instrText xml:space="preserve"> ADDIN ZOTERO_ITEM CSL_CITATION {"citationID":"pzftUmzK","properties":{"formattedCitation":"(30)","plainCitation":"(30)","noteIndex":0},"citationItems":[{"id":152,"uris":["http://zotero.org/users/13596477/items/RVR4MD4E"],"itemData":{"id":152,"type":"article-journal","abstract":"Importance\n              The Cochrane review (2016) on kangaroo mother care (KMC) demonstrated a significant reduction in the risk of mortality in low birth weight infants. New evidence from large multi-centre randomised trials has been available since its publication.\n            \n            \n              Objective\n              Our systematic review compared the effects of KMC vs conventional care and early (ie, within 24 hours of birth) vs late initiation of KMC on critical outcomes such as neonatal mortality.\n            \n            \n              Methods\n              \n                Eight electronic databases, including PubMed\n                ®\n                , Embase, and Cochrane CENTRAL, from inception until March 2022, were searched. All randomised trials comparing KMC vs conventional care or early vs late initiation of KMC in low birth weight or preterm infants were included.\n              \n            \n            \n              Data extraction and synthesis\n              The review followed the Preferred Reporting Items for Systematic Reviews and Meta-Analyses (PRISMA) guidelines and was registered with PROSPERO.\n            \n            \n              Main outcomes and measures\n              The primary outcome was mortality during birth hospitalization or 28 days of life. Other outcomes included severe infection, hypothermia, exclusive breastfeeding rates, and neurodevelopmental impairment. Results were pooled using fixed-effect and random-effects meta-analyses in RevMan 5.4 and Stata 15.1 (StataCorp, College Station, TX).\n            \n            \n              Results\n              In total, 31 trials with 15 559 infants were included in the review; 27 studies compared KMC with conventional care, while four compared early vs late initiation of KMC. Compared with conventional care, KMC reduces the risks of mortality (relative risk (RR) 0.68; 95% confidence interval (CI) 0.53 to 0.86; 11 trials, 10 505 infants; high certainty evidence) during birth hospitalisation or 28 days of age and probably reduces severe infection until the latest follow-up (RR 0.85, 95% CI 0.79 to 0.92; nine trials; moderate certainty evidence). On subgroup analysis, the reduction in mortality was noted irrespective of gestational age or weight at enrolment, time of initiation, and place of initiation of KMC (hospital or community); the mortality benefits were greater when the daily duration of KMC was at least 8 hours per day than with shorter-duration KMC. Studies comparing early vs late-initiated KMC demonstrated a reduction in neonatal mortality (RR 0.77, 95% CI 0.66 to 0.91; three trials, 3693 infants; high certainty evidence) and a probable decrease in clinical sepsis until 28-days (RR 0.85, 95% CI 0.76 to 0.96; two trials; low certainty evidence) following early initiation of KMC.\n            \n            \n              Conclusions and relevance\n              The review provides updated evidence on the effects of KMC on mortality and other critical outcomes in preterm and low birth weight infants. The findings suggest that KMC should preferably be initiated within 24 hours of birth and provided for at least 8 hours daily.","container-title":"BMJ Global Health","DOI":"10.1136/bmjgh-2022-010728","ISSN":"2059-7908","issue":"6","journalAbbreviation":"BMJ Glob Health","language":"en","page":"e010728","source":"DOI.org (Crossref)","title":"Kangaroo mother care for preterm or low birth weight infants: a systematic review and meta-analysis","title-short":"Kangaroo mother care for preterm or low birth weight infants","volume":"8","author":[{"family":"Sivanandan","given":"Sindhu"},{"family":"Sankar","given":"Mari Jeeva"}],"issued":{"date-parts":[["2023",6]]}}}],"schema":"https://github.com/citation-style-language/schema/raw/master/csl-citation.json"} </w:instrText>
            </w:r>
            <w:r>
              <w:rPr>
                <w:rFonts w:ascii="Times New Roman" w:eastAsia="Calibri" w:hAnsi="Times New Roman" w:cs="Times New Roman"/>
                <w:sz w:val="16"/>
                <w:szCs w:val="16"/>
              </w:rPr>
              <w:fldChar w:fldCharType="separate"/>
            </w:r>
            <w:r>
              <w:rPr>
                <w:rFonts w:ascii="Times New Roman" w:eastAsia="Calibri" w:hAnsi="Times New Roman" w:cs="Times New Roman"/>
                <w:noProof/>
                <w:sz w:val="16"/>
                <w:szCs w:val="16"/>
              </w:rPr>
              <w:t>(30)</w:t>
            </w:r>
            <w:r>
              <w:rPr>
                <w:rFonts w:ascii="Times New Roman" w:eastAsia="Calibri" w:hAnsi="Times New Roman" w:cs="Times New Roman"/>
                <w:sz w:val="16"/>
                <w:szCs w:val="16"/>
              </w:rPr>
              <w:fldChar w:fldCharType="end"/>
            </w:r>
          </w:p>
        </w:tc>
        <w:tc>
          <w:tcPr>
            <w:tcW w:w="2286" w:type="dxa"/>
          </w:tcPr>
          <w:p w14:paraId="2BC22574"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To compare the effects of KMC on critical neonatal outcomes.</w:t>
            </w:r>
          </w:p>
        </w:tc>
        <w:tc>
          <w:tcPr>
            <w:tcW w:w="2423" w:type="dxa"/>
          </w:tcPr>
          <w:p w14:paraId="5223A4A9" w14:textId="77777777" w:rsidR="004E7DD3" w:rsidRPr="00741B9B"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lang w:val="es-MX"/>
              </w:rPr>
            </w:pPr>
            <w:r w:rsidRPr="00741B9B">
              <w:rPr>
                <w:rFonts w:ascii="Times New Roman" w:eastAsia="Calibri" w:hAnsi="Times New Roman" w:cs="Times New Roman"/>
                <w:sz w:val="16"/>
                <w:szCs w:val="16"/>
                <w:lang w:val="es-MX"/>
              </w:rPr>
              <w:t>KMC vs conventional newborn care: India (</w:t>
            </w:r>
            <w:r>
              <w:rPr>
                <w:rFonts w:ascii="Times New Roman" w:eastAsia="Calibri" w:hAnsi="Times New Roman" w:cs="Times New Roman"/>
                <w:sz w:val="16"/>
                <w:szCs w:val="16"/>
                <w:lang w:val="es-MX"/>
              </w:rPr>
              <w:t>10</w:t>
            </w:r>
            <w:r w:rsidRPr="00741B9B">
              <w:rPr>
                <w:rFonts w:ascii="Times New Roman" w:eastAsia="Calibri" w:hAnsi="Times New Roman" w:cs="Times New Roman"/>
                <w:sz w:val="16"/>
                <w:szCs w:val="16"/>
                <w:lang w:val="es-MX"/>
              </w:rPr>
              <w:t>), Indonesia (2), Nepal (1), USA(</w:t>
            </w:r>
            <w:r>
              <w:rPr>
                <w:rFonts w:ascii="Times New Roman" w:eastAsia="Calibri" w:hAnsi="Times New Roman" w:cs="Times New Roman"/>
                <w:sz w:val="16"/>
                <w:szCs w:val="16"/>
                <w:lang w:val="es-MX"/>
              </w:rPr>
              <w:t>4</w:t>
            </w:r>
            <w:r w:rsidRPr="00741B9B">
              <w:rPr>
                <w:rFonts w:ascii="Times New Roman" w:eastAsia="Calibri" w:hAnsi="Times New Roman" w:cs="Times New Roman"/>
                <w:sz w:val="16"/>
                <w:szCs w:val="16"/>
                <w:lang w:val="es-MX"/>
              </w:rPr>
              <w:t xml:space="preserve">), Malaysian (1), Ethiopia (1), Columbia (1), Bangladesh (1), Kenya (1), Australia (1), Ecuador (1), </w:t>
            </w:r>
            <w:r>
              <w:rPr>
                <w:rFonts w:ascii="Times New Roman" w:eastAsia="Calibri" w:hAnsi="Times New Roman" w:cs="Times New Roman"/>
                <w:sz w:val="16"/>
                <w:szCs w:val="16"/>
                <w:lang w:val="es-MX"/>
              </w:rPr>
              <w:t xml:space="preserve">China (1), UK (1), Ethiopia (1) N=27 </w:t>
            </w:r>
          </w:p>
        </w:tc>
        <w:tc>
          <w:tcPr>
            <w:tcW w:w="1866" w:type="dxa"/>
          </w:tcPr>
          <w:p w14:paraId="3C70D936"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Participants: Infants </w:t>
            </w:r>
            <w:r w:rsidRPr="00DD5980">
              <w:rPr>
                <w:rFonts w:ascii="Times New Roman" w:eastAsia="Calibri" w:hAnsi="Times New Roman" w:cs="Times New Roman"/>
                <w:sz w:val="16"/>
                <w:szCs w:val="16"/>
              </w:rPr>
              <w:br/>
              <w:t>Sample size: 15,559 (</w:t>
            </w:r>
            <w:proofErr w:type="gramStart"/>
            <w:r w:rsidRPr="00DD5980">
              <w:rPr>
                <w:rFonts w:ascii="Times New Roman" w:eastAsia="Calibri" w:hAnsi="Times New Roman" w:cs="Times New Roman"/>
                <w:sz w:val="16"/>
                <w:szCs w:val="16"/>
              </w:rPr>
              <w:t>Early-initiated</w:t>
            </w:r>
            <w:proofErr w:type="gramEnd"/>
            <w:r w:rsidRPr="00DD5980">
              <w:rPr>
                <w:rFonts w:ascii="Times New Roman" w:eastAsia="Calibri" w:hAnsi="Times New Roman" w:cs="Times New Roman"/>
                <w:sz w:val="16"/>
                <w:szCs w:val="16"/>
              </w:rPr>
              <w:t xml:space="preserve"> versus late-initiated KMC: 3</w:t>
            </w:r>
            <w:r>
              <w:rPr>
                <w:rFonts w:ascii="Times New Roman" w:eastAsia="Calibri" w:hAnsi="Times New Roman" w:cs="Times New Roman"/>
                <w:sz w:val="16"/>
                <w:szCs w:val="16"/>
              </w:rPr>
              <w:t>,</w:t>
            </w:r>
            <w:r w:rsidRPr="00DD5980">
              <w:rPr>
                <w:rFonts w:ascii="Times New Roman" w:eastAsia="Calibri" w:hAnsi="Times New Roman" w:cs="Times New Roman"/>
                <w:sz w:val="16"/>
                <w:szCs w:val="16"/>
              </w:rPr>
              <w:t>603 infants)</w:t>
            </w:r>
          </w:p>
        </w:tc>
        <w:tc>
          <w:tcPr>
            <w:tcW w:w="1812" w:type="dxa"/>
          </w:tcPr>
          <w:p w14:paraId="5049C315" w14:textId="77777777" w:rsidR="004E7DD3"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KMC vs. Conventional Care</w:t>
            </w:r>
          </w:p>
          <w:p w14:paraId="38CDEDFF"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p>
        </w:tc>
        <w:tc>
          <w:tcPr>
            <w:tcW w:w="1823" w:type="dxa"/>
          </w:tcPr>
          <w:p w14:paraId="4F3022A8"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Breastfeeding, </w:t>
            </w:r>
            <w:r>
              <w:rPr>
                <w:rFonts w:ascii="Times New Roman" w:eastAsia="Calibri" w:hAnsi="Times New Roman" w:cs="Times New Roman"/>
                <w:sz w:val="16"/>
                <w:szCs w:val="16"/>
              </w:rPr>
              <w:t>m</w:t>
            </w:r>
            <w:r w:rsidRPr="00DD5980">
              <w:rPr>
                <w:rFonts w:ascii="Times New Roman" w:eastAsia="Calibri" w:hAnsi="Times New Roman" w:cs="Times New Roman"/>
                <w:sz w:val="16"/>
                <w:szCs w:val="16"/>
              </w:rPr>
              <w:t xml:space="preserve">ortality, </w:t>
            </w:r>
            <w:r>
              <w:rPr>
                <w:rFonts w:ascii="Times New Roman" w:eastAsia="Calibri" w:hAnsi="Times New Roman" w:cs="Times New Roman"/>
                <w:sz w:val="16"/>
                <w:szCs w:val="16"/>
              </w:rPr>
              <w:t>m</w:t>
            </w:r>
            <w:r w:rsidRPr="00DD5980">
              <w:rPr>
                <w:rFonts w:ascii="Times New Roman" w:eastAsia="Calibri" w:hAnsi="Times New Roman" w:cs="Times New Roman"/>
                <w:sz w:val="16"/>
                <w:szCs w:val="16"/>
              </w:rPr>
              <w:t>orbidity</w:t>
            </w:r>
            <w:r>
              <w:rPr>
                <w:rFonts w:ascii="Times New Roman" w:eastAsia="Calibri" w:hAnsi="Times New Roman" w:cs="Times New Roman"/>
                <w:sz w:val="16"/>
                <w:szCs w:val="16"/>
              </w:rPr>
              <w:t xml:space="preserve"> in </w:t>
            </w:r>
            <w:r w:rsidRPr="00DD5980">
              <w:rPr>
                <w:rFonts w:ascii="Times New Roman" w:eastAsia="Calibri" w:hAnsi="Times New Roman" w:cs="Times New Roman"/>
                <w:sz w:val="16"/>
                <w:szCs w:val="16"/>
              </w:rPr>
              <w:t>LBW and preterm infants</w:t>
            </w:r>
          </w:p>
        </w:tc>
        <w:tc>
          <w:tcPr>
            <w:tcW w:w="1187" w:type="dxa"/>
          </w:tcPr>
          <w:p w14:paraId="04AE6AC4"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Yes- GRADE</w:t>
            </w:r>
          </w:p>
        </w:tc>
        <w:tc>
          <w:tcPr>
            <w:tcW w:w="1864" w:type="dxa"/>
          </w:tcPr>
          <w:p w14:paraId="32428B9D"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Fixed and random effects meta-analyses </w:t>
            </w:r>
          </w:p>
        </w:tc>
      </w:tr>
      <w:tr w:rsidR="004E7DD3" w:rsidRPr="00DD5980" w14:paraId="4F1E5E89" w14:textId="77777777" w:rsidTr="000B6948">
        <w:tc>
          <w:tcPr>
            <w:cnfStyle w:val="001000000000" w:firstRow="0" w:lastRow="0" w:firstColumn="1" w:lastColumn="0" w:oddVBand="0" w:evenVBand="0" w:oddHBand="0" w:evenHBand="0" w:firstRowFirstColumn="0" w:firstRowLastColumn="0" w:lastRowFirstColumn="0" w:lastRowLastColumn="0"/>
            <w:tcW w:w="1319" w:type="dxa"/>
            <w:tcBorders>
              <w:top w:val="single" w:sz="4" w:space="0" w:color="auto"/>
              <w:left w:val="single" w:sz="4" w:space="0" w:color="auto"/>
              <w:bottom w:val="single" w:sz="4" w:space="0" w:color="auto"/>
            </w:tcBorders>
          </w:tcPr>
          <w:p w14:paraId="2869B2B9" w14:textId="77777777" w:rsidR="004E7DD3" w:rsidRPr="00DD5980" w:rsidRDefault="004E7DD3" w:rsidP="000B6948">
            <w:pPr>
              <w:spacing w:after="160" w:line="259" w:lineRule="auto"/>
              <w:jc w:val="left"/>
              <w:rPr>
                <w:rFonts w:ascii="Times New Roman" w:eastAsia="Calibri" w:hAnsi="Times New Roman" w:cs="Times New Roman"/>
                <w:sz w:val="16"/>
                <w:szCs w:val="16"/>
              </w:rPr>
            </w:pPr>
            <w:r w:rsidRPr="00DD5980">
              <w:rPr>
                <w:rFonts w:ascii="Times New Roman" w:eastAsia="Calibri" w:hAnsi="Times New Roman" w:cs="Times New Roman"/>
                <w:sz w:val="16"/>
                <w:szCs w:val="16"/>
              </w:rPr>
              <w:t>Stewart et al., 2020</w:t>
            </w:r>
            <w:r>
              <w:rPr>
                <w:rFonts w:ascii="Times New Roman" w:eastAsia="Calibri" w:hAnsi="Times New Roman" w:cs="Times New Roman"/>
                <w:sz w:val="16"/>
                <w:szCs w:val="16"/>
              </w:rPr>
              <w:t xml:space="preserve"> </w:t>
            </w:r>
            <w:r>
              <w:rPr>
                <w:rFonts w:ascii="Times New Roman" w:eastAsia="Calibri" w:hAnsi="Times New Roman" w:cs="Times New Roman"/>
                <w:sz w:val="16"/>
                <w:szCs w:val="16"/>
              </w:rPr>
              <w:fldChar w:fldCharType="begin"/>
            </w:r>
            <w:r>
              <w:rPr>
                <w:rFonts w:ascii="Times New Roman" w:eastAsia="Calibri" w:hAnsi="Times New Roman" w:cs="Times New Roman"/>
                <w:sz w:val="16"/>
                <w:szCs w:val="16"/>
              </w:rPr>
              <w:instrText xml:space="preserve"> ADDIN ZOTERO_ITEM CSL_CITATION {"citationID":"OkECmT57","properties":{"formattedCitation":"(42)","plainCitation":"(42)","noteIndex":0},"citationItems":[{"id":182,"uris":["http://zotero.org/users/13596477/items/QIFWQDU3"],"itemData":{"id":182,"type":"article-journal","container-title":"The American Journal of Clinical Nutrition","DOI":"10.1093/ajcn/nqz262","ISSN":"00029165","issue":"1","journalAbbreviation":"The American Journal of Clinical Nutrition","language":"en","page":"207-218","source":"DOI.org (Crossref)","title":"Lipid-based nutrient supplements and all-cause mortality in children 6–24 months of age: a meta-analysis of randomized controlled trials","title-short":"Lipid-based nutrient supplements and all-cause mortality in children 6–24 months of age","volume":"111","author":[{"family":"Stewart","given":"Christine P"},{"family":"Wessells","given":"K Ryan"},{"family":"Arnold","given":"Charles D"},{"family":"Huybregts","given":"Lieven"},{"family":"Ashorn","given":"Per"},{"family":"Becquey","given":"Elodie"},{"family":"Humphrey","given":"Jean H"},{"family":"Dewey","given":"Kathryn G"}],"issued":{"date-parts":[["2020",1]]}}}],"schema":"https://github.com/citation-style-language/schema/raw/master/csl-citation.json"} </w:instrText>
            </w:r>
            <w:r>
              <w:rPr>
                <w:rFonts w:ascii="Times New Roman" w:eastAsia="Calibri" w:hAnsi="Times New Roman" w:cs="Times New Roman"/>
                <w:sz w:val="16"/>
                <w:szCs w:val="16"/>
              </w:rPr>
              <w:fldChar w:fldCharType="separate"/>
            </w:r>
            <w:r>
              <w:rPr>
                <w:rFonts w:ascii="Times New Roman" w:eastAsia="Calibri" w:hAnsi="Times New Roman" w:cs="Times New Roman"/>
                <w:noProof/>
                <w:sz w:val="16"/>
                <w:szCs w:val="16"/>
              </w:rPr>
              <w:t>(42)</w:t>
            </w:r>
            <w:r>
              <w:rPr>
                <w:rFonts w:ascii="Times New Roman" w:eastAsia="Calibri" w:hAnsi="Times New Roman" w:cs="Times New Roman"/>
                <w:sz w:val="16"/>
                <w:szCs w:val="16"/>
              </w:rPr>
              <w:fldChar w:fldCharType="end"/>
            </w:r>
          </w:p>
        </w:tc>
        <w:tc>
          <w:tcPr>
            <w:tcW w:w="2286" w:type="dxa"/>
          </w:tcPr>
          <w:p w14:paraId="79FA2A76"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To assess the effect of lipid-based nutrient supplements (LNS) on all-cause mortality in children.</w:t>
            </w:r>
          </w:p>
        </w:tc>
        <w:tc>
          <w:tcPr>
            <w:tcW w:w="2423" w:type="dxa"/>
          </w:tcPr>
          <w:p w14:paraId="0D3BE71C"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Ghana (2), Malawi (2), Burkina Faso (2), Democratic Republic of the Congo (1), Bangladesh (3), Zimbabwe (2) Mali (1), Haiti (1), </w:t>
            </w:r>
            <w:proofErr w:type="gramStart"/>
            <w:r w:rsidRPr="00DD5980">
              <w:rPr>
                <w:rFonts w:ascii="Times New Roman" w:eastAsia="Calibri" w:hAnsi="Times New Roman" w:cs="Times New Roman"/>
                <w:sz w:val="16"/>
                <w:szCs w:val="16"/>
              </w:rPr>
              <w:t>Peru(</w:t>
            </w:r>
            <w:proofErr w:type="gramEnd"/>
            <w:r w:rsidRPr="00DD5980">
              <w:rPr>
                <w:rFonts w:ascii="Times New Roman" w:eastAsia="Calibri" w:hAnsi="Times New Roman" w:cs="Times New Roman"/>
                <w:sz w:val="16"/>
                <w:szCs w:val="16"/>
              </w:rPr>
              <w:t>1), Kenya (1), South Africa (1). N=18</w:t>
            </w:r>
          </w:p>
        </w:tc>
        <w:tc>
          <w:tcPr>
            <w:tcW w:w="1866" w:type="dxa"/>
          </w:tcPr>
          <w:p w14:paraId="4E1DC269"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Participants: children aged 6–24 months.         </w:t>
            </w:r>
            <w:r w:rsidRPr="00DD5980">
              <w:rPr>
                <w:rFonts w:ascii="Times New Roman" w:eastAsia="Calibri" w:hAnsi="Times New Roman" w:cs="Times New Roman"/>
                <w:sz w:val="16"/>
                <w:szCs w:val="16"/>
              </w:rPr>
              <w:br/>
              <w:t xml:space="preserve">Sample </w:t>
            </w:r>
            <w:proofErr w:type="gramStart"/>
            <w:r w:rsidRPr="00DD5980">
              <w:rPr>
                <w:rFonts w:ascii="Times New Roman" w:eastAsia="Calibri" w:hAnsi="Times New Roman" w:cs="Times New Roman"/>
                <w:sz w:val="16"/>
                <w:szCs w:val="16"/>
              </w:rPr>
              <w:t>size :</w:t>
            </w:r>
            <w:proofErr w:type="gramEnd"/>
            <w:r w:rsidRPr="00DD5980">
              <w:rPr>
                <w:rFonts w:ascii="Times New Roman" w:eastAsia="Calibri" w:hAnsi="Times New Roman" w:cs="Times New Roman"/>
                <w:sz w:val="16"/>
                <w:szCs w:val="16"/>
              </w:rPr>
              <w:t xml:space="preserve"> 34,051 </w:t>
            </w:r>
          </w:p>
        </w:tc>
        <w:tc>
          <w:tcPr>
            <w:tcW w:w="1812" w:type="dxa"/>
          </w:tcPr>
          <w:p w14:paraId="66B81A8C"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 LNS supplementation vs No supplementation or placebo.</w:t>
            </w:r>
          </w:p>
        </w:tc>
        <w:tc>
          <w:tcPr>
            <w:tcW w:w="1823" w:type="dxa"/>
          </w:tcPr>
          <w:p w14:paraId="3FDF55FC"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All-cause mortality.        </w:t>
            </w:r>
          </w:p>
        </w:tc>
        <w:tc>
          <w:tcPr>
            <w:tcW w:w="1187" w:type="dxa"/>
          </w:tcPr>
          <w:p w14:paraId="75F27850"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Yes - Cochrane Handbook for Systematic Reviews of Interventions </w:t>
            </w:r>
          </w:p>
        </w:tc>
        <w:tc>
          <w:tcPr>
            <w:tcW w:w="1864" w:type="dxa"/>
          </w:tcPr>
          <w:p w14:paraId="71FE981C"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Random-effects method proposed by Shuster and Walker (patient-weighted)</w:t>
            </w:r>
          </w:p>
        </w:tc>
      </w:tr>
      <w:tr w:rsidR="004E7DD3" w:rsidRPr="00DD5980" w14:paraId="0FF5F83D" w14:textId="77777777" w:rsidTr="000B69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9" w:type="dxa"/>
            <w:tcBorders>
              <w:top w:val="single" w:sz="4" w:space="0" w:color="auto"/>
              <w:left w:val="single" w:sz="4" w:space="0" w:color="auto"/>
              <w:bottom w:val="single" w:sz="4" w:space="0" w:color="auto"/>
            </w:tcBorders>
          </w:tcPr>
          <w:p w14:paraId="5B1D8B0E" w14:textId="77777777" w:rsidR="004E7DD3" w:rsidRPr="00DD5980" w:rsidRDefault="004E7DD3" w:rsidP="000B6948">
            <w:pPr>
              <w:spacing w:after="160" w:line="259" w:lineRule="auto"/>
              <w:jc w:val="left"/>
              <w:rPr>
                <w:rFonts w:ascii="Times New Roman" w:eastAsia="Calibri" w:hAnsi="Times New Roman" w:cs="Times New Roman"/>
                <w:sz w:val="16"/>
                <w:szCs w:val="16"/>
              </w:rPr>
            </w:pPr>
            <w:r w:rsidRPr="00DD5980">
              <w:rPr>
                <w:rFonts w:ascii="Times New Roman" w:eastAsia="Calibri" w:hAnsi="Times New Roman" w:cs="Times New Roman"/>
                <w:sz w:val="16"/>
                <w:szCs w:val="16"/>
              </w:rPr>
              <w:t>Suchdev et al., 2020</w:t>
            </w:r>
            <w:r>
              <w:rPr>
                <w:rFonts w:ascii="Times New Roman" w:eastAsia="Calibri" w:hAnsi="Times New Roman" w:cs="Times New Roman"/>
                <w:sz w:val="16"/>
                <w:szCs w:val="16"/>
              </w:rPr>
              <w:t xml:space="preserve"> </w:t>
            </w:r>
            <w:r>
              <w:rPr>
                <w:rFonts w:ascii="Times New Roman" w:eastAsia="Calibri" w:hAnsi="Times New Roman" w:cs="Times New Roman"/>
                <w:sz w:val="16"/>
                <w:szCs w:val="16"/>
              </w:rPr>
              <w:fldChar w:fldCharType="begin"/>
            </w:r>
            <w:r>
              <w:rPr>
                <w:rFonts w:ascii="Times New Roman" w:eastAsia="Calibri" w:hAnsi="Times New Roman" w:cs="Times New Roman"/>
                <w:sz w:val="16"/>
                <w:szCs w:val="16"/>
              </w:rPr>
              <w:instrText xml:space="preserve"> ADDIN ZOTERO_ITEM CSL_CITATION {"citationID":"JjhIBh9M","properties":{"formattedCitation":"(43)","plainCitation":"(43)","noteIndex":0},"citationItems":[{"id":188,"uris":["http://zotero.org/users/13596477/items/TFTL4D6J"],"itemData":{"id":188,"type":"article-journal","container-title":"Cochrane Database of Systematic Reviews","DOI":"10.1002/14651858.CD008959.pub3","ISSN":"14651858","issue":"2","language":"en","source":"DOI.org (Crossref)","title":"Home fortification of foods with multiple micronutrient powders for health and nutrition in children under two years of age","URL":"http://doi.wiley.com/10.1002/14651858.CD008959.pub3","volume":"2020","author":[{"family":"Suchdev","given":"Parminder S"},{"family":"Jefferds","given":"Maria Elena D"},{"family":"Ota","given":"Erika"},{"family":"Da Silva Lopes","given":"Katharina"},{"family":"De-Regil","given":"Luz Maria"}],"editor":[{"literal":"Cochrane Developmental, Psychosocial and Learning Problems Group"}],"accessed":{"date-parts":[["2025",1,19]]},"issued":{"date-parts":[["2020",2,28]]}}}],"schema":"https://github.com/citation-style-language/schema/raw/master/csl-citation.json"} </w:instrText>
            </w:r>
            <w:r>
              <w:rPr>
                <w:rFonts w:ascii="Times New Roman" w:eastAsia="Calibri" w:hAnsi="Times New Roman" w:cs="Times New Roman"/>
                <w:sz w:val="16"/>
                <w:szCs w:val="16"/>
              </w:rPr>
              <w:fldChar w:fldCharType="separate"/>
            </w:r>
            <w:r>
              <w:rPr>
                <w:rFonts w:ascii="Times New Roman" w:eastAsia="Calibri" w:hAnsi="Times New Roman" w:cs="Times New Roman"/>
                <w:noProof/>
                <w:sz w:val="16"/>
                <w:szCs w:val="16"/>
              </w:rPr>
              <w:t>(43)</w:t>
            </w:r>
            <w:r>
              <w:rPr>
                <w:rFonts w:ascii="Times New Roman" w:eastAsia="Calibri" w:hAnsi="Times New Roman" w:cs="Times New Roman"/>
                <w:sz w:val="16"/>
                <w:szCs w:val="16"/>
              </w:rPr>
              <w:fldChar w:fldCharType="end"/>
            </w:r>
          </w:p>
        </w:tc>
        <w:tc>
          <w:tcPr>
            <w:tcW w:w="2286" w:type="dxa"/>
          </w:tcPr>
          <w:p w14:paraId="176C7766"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To assess the effects and safety of home (point-of-use) fortification of foods with MNPs on nutrition, health, and developmental outcomes.</w:t>
            </w:r>
          </w:p>
        </w:tc>
        <w:tc>
          <w:tcPr>
            <w:tcW w:w="2423" w:type="dxa"/>
          </w:tcPr>
          <w:p w14:paraId="372D3954"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Pr>
                <w:rFonts w:ascii="Times New Roman" w:eastAsia="Calibri" w:hAnsi="Times New Roman" w:cs="Times New Roman"/>
                <w:sz w:val="16"/>
                <w:szCs w:val="16"/>
              </w:rPr>
              <w:t>LMICs</w:t>
            </w:r>
            <w:r w:rsidRPr="00DD5980">
              <w:rPr>
                <w:rFonts w:ascii="Times New Roman" w:eastAsia="Calibri" w:hAnsi="Times New Roman" w:cs="Times New Roman"/>
                <w:sz w:val="16"/>
                <w:szCs w:val="16"/>
              </w:rPr>
              <w:t xml:space="preserve"> in Asia, Africa, Latin America, and the Caribbean. N=26</w:t>
            </w:r>
          </w:p>
        </w:tc>
        <w:tc>
          <w:tcPr>
            <w:tcW w:w="1866" w:type="dxa"/>
          </w:tcPr>
          <w:p w14:paraId="5CFD2AF9"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Participants: Children </w:t>
            </w:r>
            <w:r>
              <w:rPr>
                <w:rFonts w:ascii="Times New Roman" w:eastAsia="Calibri" w:hAnsi="Times New Roman" w:cs="Times New Roman"/>
                <w:sz w:val="16"/>
                <w:szCs w:val="16"/>
              </w:rPr>
              <w:t>&lt;</w:t>
            </w:r>
            <w:r w:rsidRPr="00DD5980">
              <w:rPr>
                <w:rFonts w:ascii="Times New Roman" w:eastAsia="Calibri" w:hAnsi="Times New Roman" w:cs="Times New Roman"/>
                <w:sz w:val="16"/>
                <w:szCs w:val="16"/>
              </w:rPr>
              <w:t xml:space="preserve">5 years old </w:t>
            </w:r>
            <w:r w:rsidRPr="00DD5980">
              <w:rPr>
                <w:rFonts w:ascii="Times New Roman" w:eastAsia="Calibri" w:hAnsi="Times New Roman" w:cs="Times New Roman"/>
                <w:sz w:val="16"/>
                <w:szCs w:val="16"/>
              </w:rPr>
              <w:br/>
              <w:t>Sample size: 27,051</w:t>
            </w:r>
          </w:p>
        </w:tc>
        <w:tc>
          <w:tcPr>
            <w:tcW w:w="1812" w:type="dxa"/>
          </w:tcPr>
          <w:p w14:paraId="77667C07"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MNP vs. Placebo</w:t>
            </w:r>
            <w:r>
              <w:rPr>
                <w:rFonts w:ascii="Times New Roman" w:eastAsia="Calibri" w:hAnsi="Times New Roman" w:cs="Times New Roman"/>
                <w:sz w:val="16"/>
                <w:szCs w:val="16"/>
              </w:rPr>
              <w:t>/</w:t>
            </w:r>
            <w:r w:rsidRPr="00DD5980">
              <w:rPr>
                <w:rFonts w:ascii="Times New Roman" w:eastAsia="Calibri" w:hAnsi="Times New Roman" w:cs="Times New Roman"/>
                <w:sz w:val="16"/>
                <w:szCs w:val="16"/>
              </w:rPr>
              <w:t>No Intervention</w:t>
            </w:r>
          </w:p>
        </w:tc>
        <w:tc>
          <w:tcPr>
            <w:tcW w:w="1823" w:type="dxa"/>
          </w:tcPr>
          <w:p w14:paraId="31B11620"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Stunting, </w:t>
            </w:r>
            <w:r>
              <w:rPr>
                <w:rFonts w:ascii="Times New Roman" w:eastAsia="Calibri" w:hAnsi="Times New Roman" w:cs="Times New Roman"/>
                <w:sz w:val="16"/>
                <w:szCs w:val="16"/>
              </w:rPr>
              <w:t>w</w:t>
            </w:r>
            <w:r w:rsidRPr="00DD5980">
              <w:rPr>
                <w:rFonts w:ascii="Times New Roman" w:eastAsia="Calibri" w:hAnsi="Times New Roman" w:cs="Times New Roman"/>
                <w:sz w:val="16"/>
                <w:szCs w:val="16"/>
              </w:rPr>
              <w:t xml:space="preserve">asting, </w:t>
            </w:r>
            <w:r>
              <w:rPr>
                <w:rFonts w:ascii="Times New Roman" w:eastAsia="Calibri" w:hAnsi="Times New Roman" w:cs="Times New Roman"/>
                <w:sz w:val="16"/>
                <w:szCs w:val="16"/>
              </w:rPr>
              <w:t>a</w:t>
            </w:r>
            <w:r w:rsidRPr="00DD5980">
              <w:rPr>
                <w:rFonts w:ascii="Times New Roman" w:eastAsia="Calibri" w:hAnsi="Times New Roman" w:cs="Times New Roman"/>
                <w:sz w:val="16"/>
                <w:szCs w:val="16"/>
              </w:rPr>
              <w:t xml:space="preserve">nemia, </w:t>
            </w:r>
            <w:r>
              <w:rPr>
                <w:rFonts w:ascii="Times New Roman" w:eastAsia="Calibri" w:hAnsi="Times New Roman" w:cs="Times New Roman"/>
                <w:sz w:val="16"/>
                <w:szCs w:val="16"/>
              </w:rPr>
              <w:t>m</w:t>
            </w:r>
            <w:r w:rsidRPr="00DD5980">
              <w:rPr>
                <w:rFonts w:ascii="Times New Roman" w:eastAsia="Calibri" w:hAnsi="Times New Roman" w:cs="Times New Roman"/>
                <w:sz w:val="16"/>
                <w:szCs w:val="16"/>
              </w:rPr>
              <w:t>orbidity (</w:t>
            </w:r>
            <w:r>
              <w:rPr>
                <w:rFonts w:ascii="Times New Roman" w:eastAsia="Calibri" w:hAnsi="Times New Roman" w:cs="Times New Roman"/>
                <w:sz w:val="16"/>
                <w:szCs w:val="16"/>
              </w:rPr>
              <w:t>d</w:t>
            </w:r>
            <w:r w:rsidRPr="00DD5980">
              <w:rPr>
                <w:rFonts w:ascii="Times New Roman" w:eastAsia="Calibri" w:hAnsi="Times New Roman" w:cs="Times New Roman"/>
                <w:sz w:val="16"/>
                <w:szCs w:val="16"/>
              </w:rPr>
              <w:t>iarrhea)</w:t>
            </w:r>
          </w:p>
        </w:tc>
        <w:tc>
          <w:tcPr>
            <w:tcW w:w="1187" w:type="dxa"/>
          </w:tcPr>
          <w:p w14:paraId="71AA8D95"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Yes - GRADE.</w:t>
            </w:r>
            <w:r w:rsidRPr="00DD5980">
              <w:rPr>
                <w:rFonts w:ascii="Times New Roman" w:eastAsia="Calibri" w:hAnsi="Times New Roman" w:cs="Times New Roman"/>
                <w:sz w:val="16"/>
                <w:szCs w:val="16"/>
              </w:rPr>
              <w:br/>
            </w:r>
          </w:p>
        </w:tc>
        <w:tc>
          <w:tcPr>
            <w:tcW w:w="1864" w:type="dxa"/>
          </w:tcPr>
          <w:p w14:paraId="370683AB"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Pairwise meta-analyses. Heterogeneity test. Subgroup analyses (intervention duration and malaria endemicity.)</w:t>
            </w:r>
          </w:p>
        </w:tc>
      </w:tr>
      <w:tr w:rsidR="004E7DD3" w:rsidRPr="00DD5980" w14:paraId="7984CD20" w14:textId="77777777" w:rsidTr="000B6948">
        <w:tc>
          <w:tcPr>
            <w:cnfStyle w:val="001000000000" w:firstRow="0" w:lastRow="0" w:firstColumn="1" w:lastColumn="0" w:oddVBand="0" w:evenVBand="0" w:oddHBand="0" w:evenHBand="0" w:firstRowFirstColumn="0" w:firstRowLastColumn="0" w:lastRowFirstColumn="0" w:lastRowLastColumn="0"/>
            <w:tcW w:w="1319" w:type="dxa"/>
            <w:tcBorders>
              <w:top w:val="single" w:sz="4" w:space="0" w:color="auto"/>
              <w:left w:val="single" w:sz="4" w:space="0" w:color="auto"/>
              <w:bottom w:val="single" w:sz="4" w:space="0" w:color="auto"/>
            </w:tcBorders>
          </w:tcPr>
          <w:p w14:paraId="6A40E9B7" w14:textId="77777777" w:rsidR="004E7DD3" w:rsidRPr="00DD5980" w:rsidRDefault="004E7DD3" w:rsidP="000B6948">
            <w:pPr>
              <w:spacing w:after="160" w:line="259" w:lineRule="auto"/>
              <w:jc w:val="left"/>
              <w:rPr>
                <w:rFonts w:ascii="Times New Roman" w:eastAsia="Calibri" w:hAnsi="Times New Roman" w:cs="Times New Roman"/>
                <w:sz w:val="16"/>
                <w:szCs w:val="16"/>
              </w:rPr>
            </w:pPr>
            <w:r w:rsidRPr="00DD5980">
              <w:rPr>
                <w:rFonts w:ascii="Times New Roman" w:eastAsia="Calibri" w:hAnsi="Times New Roman" w:cs="Times New Roman"/>
                <w:sz w:val="16"/>
                <w:szCs w:val="16"/>
              </w:rPr>
              <w:t>Tam et al., 2020</w:t>
            </w:r>
            <w:r>
              <w:rPr>
                <w:rFonts w:ascii="Times New Roman" w:eastAsia="Calibri" w:hAnsi="Times New Roman" w:cs="Times New Roman"/>
                <w:sz w:val="16"/>
                <w:szCs w:val="16"/>
              </w:rPr>
              <w:t xml:space="preserve"> </w:t>
            </w:r>
            <w:r>
              <w:rPr>
                <w:rFonts w:ascii="Times New Roman" w:eastAsia="Calibri" w:hAnsi="Times New Roman" w:cs="Times New Roman"/>
                <w:sz w:val="16"/>
                <w:szCs w:val="16"/>
              </w:rPr>
              <w:fldChar w:fldCharType="begin"/>
            </w:r>
            <w:r>
              <w:rPr>
                <w:rFonts w:ascii="Times New Roman" w:eastAsia="Calibri" w:hAnsi="Times New Roman" w:cs="Times New Roman"/>
                <w:sz w:val="16"/>
                <w:szCs w:val="16"/>
              </w:rPr>
              <w:instrText xml:space="preserve"> ADDIN ZOTERO_ITEM CSL_CITATION {"citationID":"bvBiUeiI","properties":{"formattedCitation":"(34)","plainCitation":"(34)","noteIndex":0},"citationItems":[{"id":162,"uris":["http://zotero.org/users/13596477/items/H9PNEBN8"],"itemData":{"id":162,"type":"article-journal","abstract":"Micronutrient deficiencies continue to be widespread among children under-five in low- and middle-income countries (LMICs), despite the fact that several effective strategies now exist to prevent them. This kind of malnutrition can have several immediate and long-term consequences, including stunted growth, a higher risk of acquiring infections, and poor development outcomes, all of which may lead to a child not achieving his or her full potential. This review systematically synthesizes the available evidence on the strategies used to prevent micronutrient malnutrition among children under-five in LMICs, including single and multiple micronutrient (MMN) supplementation, lipid-based nutrient supplementation (LNS), targeted and large-scale fortification, and point-of-use-fortification with micronutrient powders (MNPs). We searched relevant databases and grey literature, retrieving 35,924 papers. After application of eligibility criteria, we included 197 unique studies. Of note, we examined the efficacy and effectiveness of interventions. We found that certain outcomes, such as anemia, responded to several intervention types. The risk of anemia was reduced with iron alone, iron-folic acid, MMN supplementation, MNPs, targeted fortification, and large-scale fortification. Stunting and underweight, however, were improved only among children who were provided with LNS, though MMN supplementation also slightly increased length-for-age z-scores. Vitamin A supplementation likely reduced all-cause mortality, while zinc supplementation decreased the incidence of diarrhea. Importantly, many effects of LNS and MNPs held when pooling data from effectiveness studies. Taken together, this evidence further supports the importance of these strategies for reducing the burden of micronutrient malnutrition in children. Population and context should be considered when selecting one or more appropriate interventions for programming.","container-title":"Nutrients","DOI":"10.3390/nu12020289","ISSN":"2072-6643","issue":"2","journalAbbreviation":"Nutrients","language":"en","license":"https://creativecommons.org/licenses/by/4.0/","page":"289","source":"DOI.org (Crossref)","title":"Micronutrient Supplementation and Fortification Interventions on Health and Development Outcomes among Children Under-Five in Low- and Middle-Income Countries: A Systematic Review and Meta-Analysis","title-short":"Micronutrient Supplementation and Fortification Interventions on Health and Development Outcomes among Children Under-Five in Low- and Middle-Income Countries","volume":"12","author":[{"family":"Tam","given":"Emily"},{"family":"Keats","given":"Emily C."},{"family":"Rind","given":"Fahad"},{"family":"Das","given":"Jai K."},{"family":"Bhutta","given":"Zulfiqar A."}],"issued":{"date-parts":[["2020",1,21]]}}}],"schema":"https://github.com/citation-style-language/schema/raw/master/csl-citation.json"} </w:instrText>
            </w:r>
            <w:r>
              <w:rPr>
                <w:rFonts w:ascii="Times New Roman" w:eastAsia="Calibri" w:hAnsi="Times New Roman" w:cs="Times New Roman"/>
                <w:sz w:val="16"/>
                <w:szCs w:val="16"/>
              </w:rPr>
              <w:fldChar w:fldCharType="separate"/>
            </w:r>
            <w:r>
              <w:rPr>
                <w:rFonts w:ascii="Times New Roman" w:eastAsia="Calibri" w:hAnsi="Times New Roman" w:cs="Times New Roman"/>
                <w:noProof/>
                <w:sz w:val="16"/>
                <w:szCs w:val="16"/>
              </w:rPr>
              <w:t>(34)</w:t>
            </w:r>
            <w:r>
              <w:rPr>
                <w:rFonts w:ascii="Times New Roman" w:eastAsia="Calibri" w:hAnsi="Times New Roman" w:cs="Times New Roman"/>
                <w:sz w:val="16"/>
                <w:szCs w:val="16"/>
              </w:rPr>
              <w:fldChar w:fldCharType="end"/>
            </w:r>
          </w:p>
        </w:tc>
        <w:tc>
          <w:tcPr>
            <w:tcW w:w="2286" w:type="dxa"/>
          </w:tcPr>
          <w:p w14:paraId="5752FC1A"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To synthesize evidence on strategies preventing micronutrient malnutrition among children under five in </w:t>
            </w:r>
            <w:r>
              <w:rPr>
                <w:rFonts w:ascii="Times New Roman" w:eastAsia="Calibri" w:hAnsi="Times New Roman" w:cs="Times New Roman"/>
                <w:sz w:val="16"/>
                <w:szCs w:val="16"/>
              </w:rPr>
              <w:t>LMICs</w:t>
            </w:r>
            <w:r w:rsidRPr="00DD5980">
              <w:rPr>
                <w:rFonts w:ascii="Times New Roman" w:eastAsia="Calibri" w:hAnsi="Times New Roman" w:cs="Times New Roman"/>
                <w:sz w:val="16"/>
                <w:szCs w:val="16"/>
              </w:rPr>
              <w:t>.</w:t>
            </w:r>
          </w:p>
        </w:tc>
        <w:tc>
          <w:tcPr>
            <w:tcW w:w="2423" w:type="dxa"/>
          </w:tcPr>
          <w:p w14:paraId="259E5D7E"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Asia (86), North America (20), one </w:t>
            </w:r>
            <w:proofErr w:type="spellStart"/>
            <w:r w:rsidRPr="00DD5980">
              <w:rPr>
                <w:rFonts w:ascii="Times New Roman" w:eastAsia="Calibri" w:hAnsi="Times New Roman" w:cs="Times New Roman"/>
                <w:sz w:val="16"/>
                <w:szCs w:val="16"/>
              </w:rPr>
              <w:t>multicountry</w:t>
            </w:r>
            <w:proofErr w:type="spellEnd"/>
            <w:r w:rsidRPr="00DD5980">
              <w:rPr>
                <w:rFonts w:ascii="Times New Roman" w:eastAsia="Calibri" w:hAnsi="Times New Roman" w:cs="Times New Roman"/>
                <w:sz w:val="16"/>
                <w:szCs w:val="16"/>
              </w:rPr>
              <w:t xml:space="preserve"> (Africa, Asia, and South America). N=197</w:t>
            </w:r>
          </w:p>
        </w:tc>
        <w:tc>
          <w:tcPr>
            <w:tcW w:w="1866" w:type="dxa"/>
          </w:tcPr>
          <w:p w14:paraId="477581C4" w14:textId="77777777" w:rsidR="004E7DD3"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Participants: Children </w:t>
            </w:r>
            <w:r>
              <w:rPr>
                <w:rFonts w:ascii="Times New Roman" w:eastAsia="Calibri" w:hAnsi="Times New Roman" w:cs="Times New Roman"/>
                <w:sz w:val="16"/>
                <w:szCs w:val="16"/>
              </w:rPr>
              <w:t>&lt;</w:t>
            </w:r>
            <w:r w:rsidRPr="00DD5980">
              <w:rPr>
                <w:rFonts w:ascii="Times New Roman" w:eastAsia="Calibri" w:hAnsi="Times New Roman" w:cs="Times New Roman"/>
                <w:sz w:val="16"/>
                <w:szCs w:val="16"/>
              </w:rPr>
              <w:t xml:space="preserve">5 </w:t>
            </w:r>
            <w:r w:rsidRPr="00DD5980">
              <w:rPr>
                <w:rFonts w:ascii="Times New Roman" w:eastAsia="Calibri" w:hAnsi="Times New Roman" w:cs="Times New Roman"/>
                <w:sz w:val="16"/>
                <w:szCs w:val="16"/>
              </w:rPr>
              <w:br/>
            </w:r>
            <w:r>
              <w:rPr>
                <w:rFonts w:ascii="Times New Roman" w:eastAsia="Calibri" w:hAnsi="Times New Roman" w:cs="Times New Roman"/>
                <w:sz w:val="16"/>
                <w:szCs w:val="16"/>
              </w:rPr>
              <w:t>years old</w:t>
            </w:r>
          </w:p>
          <w:p w14:paraId="020011A0"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Sample size: Not specified</w:t>
            </w:r>
          </w:p>
          <w:p w14:paraId="57B0DD4C"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p>
          <w:p w14:paraId="372692F7"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p>
        </w:tc>
        <w:tc>
          <w:tcPr>
            <w:tcW w:w="1812" w:type="dxa"/>
          </w:tcPr>
          <w:p w14:paraId="5DE0DCDA"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1. Iron vs. Placebo</w:t>
            </w:r>
            <w:r w:rsidRPr="00DD5980">
              <w:rPr>
                <w:rFonts w:ascii="Times New Roman" w:eastAsia="Calibri" w:hAnsi="Times New Roman" w:cs="Times New Roman"/>
                <w:sz w:val="16"/>
                <w:szCs w:val="16"/>
              </w:rPr>
              <w:br/>
              <w:t>2.</w:t>
            </w:r>
            <w:r>
              <w:rPr>
                <w:rFonts w:ascii="Times New Roman" w:eastAsia="Calibri" w:hAnsi="Times New Roman" w:cs="Times New Roman"/>
                <w:sz w:val="16"/>
                <w:szCs w:val="16"/>
              </w:rPr>
              <w:t xml:space="preserve"> </w:t>
            </w:r>
            <w:r w:rsidRPr="00DD5980">
              <w:rPr>
                <w:rFonts w:ascii="Times New Roman" w:eastAsia="Calibri" w:hAnsi="Times New Roman" w:cs="Times New Roman"/>
                <w:sz w:val="16"/>
                <w:szCs w:val="16"/>
              </w:rPr>
              <w:t>I/IFA vs. Placebo</w:t>
            </w:r>
            <w:r w:rsidRPr="00DD5980">
              <w:rPr>
                <w:rFonts w:ascii="Times New Roman" w:eastAsia="Calibri" w:hAnsi="Times New Roman" w:cs="Times New Roman"/>
                <w:sz w:val="16"/>
                <w:szCs w:val="16"/>
              </w:rPr>
              <w:br/>
              <w:t>3. Zinc vs. Placebo</w:t>
            </w:r>
            <w:r w:rsidRPr="00DD5980">
              <w:rPr>
                <w:rFonts w:ascii="Times New Roman" w:eastAsia="Calibri" w:hAnsi="Times New Roman" w:cs="Times New Roman"/>
                <w:sz w:val="16"/>
                <w:szCs w:val="16"/>
              </w:rPr>
              <w:br/>
              <w:t>4. MNP vs. Placebo or No Intervention</w:t>
            </w:r>
            <w:r w:rsidRPr="00DD5980">
              <w:rPr>
                <w:rFonts w:ascii="Times New Roman" w:eastAsia="Calibri" w:hAnsi="Times New Roman" w:cs="Times New Roman"/>
                <w:sz w:val="16"/>
                <w:szCs w:val="16"/>
              </w:rPr>
              <w:br/>
              <w:t>5. VAS vs. Placebo</w:t>
            </w:r>
          </w:p>
        </w:tc>
        <w:tc>
          <w:tcPr>
            <w:tcW w:w="1823" w:type="dxa"/>
          </w:tcPr>
          <w:p w14:paraId="16859035" w14:textId="45C1CC60"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1. Anemia, stunting, wasting, morbidity (diarrhea), all-cause mortality, lower respiratory infections.</w:t>
            </w:r>
            <w:r w:rsidRPr="00DD5980">
              <w:rPr>
                <w:rFonts w:ascii="Times New Roman" w:eastAsia="Calibri" w:hAnsi="Times New Roman" w:cs="Times New Roman"/>
                <w:sz w:val="16"/>
                <w:szCs w:val="16"/>
              </w:rPr>
              <w:br/>
              <w:t>2.  Anemia, stunting, wasting, all-cause mortality, lower respiratory infections, morbidity (diarrhea).</w:t>
            </w:r>
            <w:r w:rsidRPr="00DD5980">
              <w:rPr>
                <w:rFonts w:ascii="Times New Roman" w:eastAsia="Calibri" w:hAnsi="Times New Roman" w:cs="Times New Roman"/>
                <w:sz w:val="16"/>
                <w:szCs w:val="16"/>
              </w:rPr>
              <w:br/>
              <w:t>3. Morbidity (diarrhea), stunting, wasting.</w:t>
            </w:r>
            <w:r w:rsidRPr="00DD5980">
              <w:rPr>
                <w:rFonts w:ascii="Times New Roman" w:eastAsia="Calibri" w:hAnsi="Times New Roman" w:cs="Times New Roman"/>
                <w:sz w:val="16"/>
                <w:szCs w:val="16"/>
              </w:rPr>
              <w:br/>
              <w:t>4. Anemia, stunting, morbidity (diarrhea).</w:t>
            </w:r>
          </w:p>
        </w:tc>
        <w:tc>
          <w:tcPr>
            <w:tcW w:w="1187" w:type="dxa"/>
          </w:tcPr>
          <w:p w14:paraId="1CFA0225"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Yes - GRADE.</w:t>
            </w:r>
            <w:r w:rsidRPr="00DD5980">
              <w:rPr>
                <w:rFonts w:ascii="Times New Roman" w:eastAsia="Calibri" w:hAnsi="Times New Roman" w:cs="Times New Roman"/>
                <w:sz w:val="16"/>
                <w:szCs w:val="16"/>
              </w:rPr>
              <w:br/>
            </w:r>
          </w:p>
        </w:tc>
        <w:tc>
          <w:tcPr>
            <w:tcW w:w="1864" w:type="dxa"/>
          </w:tcPr>
          <w:p w14:paraId="3E310475"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Random effects models for pooled analyses. </w:t>
            </w:r>
          </w:p>
        </w:tc>
      </w:tr>
      <w:tr w:rsidR="004E7DD3" w:rsidRPr="00DD5980" w14:paraId="00AA4C0E" w14:textId="77777777" w:rsidTr="000B69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9" w:type="dxa"/>
            <w:tcBorders>
              <w:top w:val="single" w:sz="4" w:space="0" w:color="auto"/>
              <w:left w:val="single" w:sz="4" w:space="0" w:color="auto"/>
              <w:bottom w:val="single" w:sz="4" w:space="0" w:color="auto"/>
            </w:tcBorders>
          </w:tcPr>
          <w:p w14:paraId="76BE2F8B" w14:textId="77777777" w:rsidR="004E7DD3" w:rsidRPr="00DD79BD" w:rsidRDefault="004E7DD3" w:rsidP="000B6948">
            <w:pPr>
              <w:spacing w:after="160" w:line="259" w:lineRule="auto"/>
              <w:jc w:val="left"/>
              <w:rPr>
                <w:rFonts w:ascii="Times New Roman" w:eastAsia="Calibri" w:hAnsi="Times New Roman" w:cs="Times New Roman"/>
                <w:sz w:val="16"/>
                <w:szCs w:val="16"/>
                <w:lang w:val="es-MX"/>
              </w:rPr>
            </w:pPr>
            <w:r>
              <w:rPr>
                <w:rFonts w:ascii="Times New Roman" w:eastAsia="Calibri" w:hAnsi="Times New Roman" w:cs="Times New Roman"/>
                <w:sz w:val="16"/>
                <w:szCs w:val="16"/>
                <w:lang w:val="es-MX"/>
              </w:rPr>
              <w:lastRenderedPageBreak/>
              <w:t>V</w:t>
            </w:r>
            <w:r w:rsidRPr="00DD79BD">
              <w:rPr>
                <w:rFonts w:ascii="Times New Roman" w:eastAsia="Calibri" w:hAnsi="Times New Roman" w:cs="Times New Roman"/>
                <w:sz w:val="16"/>
                <w:szCs w:val="16"/>
                <w:lang w:val="es-MX"/>
              </w:rPr>
              <w:t xml:space="preserve">an Eijk et al., 2019 </w:t>
            </w:r>
            <w:r>
              <w:rPr>
                <w:rFonts w:ascii="Times New Roman" w:eastAsia="Calibri" w:hAnsi="Times New Roman" w:cs="Times New Roman"/>
                <w:sz w:val="16"/>
                <w:szCs w:val="16"/>
              </w:rPr>
              <w:fldChar w:fldCharType="begin"/>
            </w:r>
            <w:r>
              <w:rPr>
                <w:rFonts w:ascii="Times New Roman" w:eastAsia="Calibri" w:hAnsi="Times New Roman" w:cs="Times New Roman"/>
                <w:sz w:val="16"/>
                <w:szCs w:val="16"/>
                <w:lang w:val="es-MX"/>
              </w:rPr>
              <w:instrText xml:space="preserve"> ADDIN ZOTERO_ITEM CSL_CITATION {"citationID":"ABfENway","properties":{"formattedCitation":"(23)","plainCitation":"(23)","noteIndex":0},"citationItems":[{"id":140,"uris":["http://zotero.org/users/13596477/items/CLPN7DRR"],"itemData":{"id":140,"type":"article-journal","container-title":"The Lancet Infectious Diseases","DOI":"10.1016/S1473-3099(18)30732-1","ISSN":"14733099","issue":"5","journalAbbreviation":"The Lancet Infectious Diseases","language":"en","page":"546-556","source":"DOI.org (Crossref)","title":"Effect of Plasmodium falciparum sulfadoxine-pyrimethamine resistance on the effectiveness of intermittent preventive therapy for malaria in pregnancy in Africa: a systematic review and meta-analysis","title-short":"Effect of Plasmodium falciparum sulfadoxine-pyrimethamine resistance on the effectiveness of intermittent preventive therapy for malaria in pregnancy in Africa","volume":"19","author":[{"family":"Van Eijk","given":"Anna Maria"},{"family":"Larsen","given":"David A"},{"family":"Kayentao","given":"Kassoum"},{"family":"Koshy","given":"Gibby"},{"family":"Slaughter","given":"Douglas E C"},{"family":"Roper","given":"Cally"},{"family":"Okell","given":"Lucy C"},{"family":"Desai","given":"Meghna"},{"family":"Gutman","given":"Julie"},{"family":"Khairallah","given":"Carole"},{"family":"Rogerson","given":"Stephen J"},{"family":"Hopkins Sibley","given":"Carol"},{"family":"Meshnick","given":"Steven R"},{"family":"Taylor","given":"Steve M"},{"family":"Ter Kuile","given":"Feiko O"}],"issued":{"date-parts":[["2019",5]]}}}],"schema":"https://github.com/citation-style-language/schema/raw/master/csl-citation.json"} </w:instrText>
            </w:r>
            <w:r>
              <w:rPr>
                <w:rFonts w:ascii="Times New Roman" w:eastAsia="Calibri" w:hAnsi="Times New Roman" w:cs="Times New Roman"/>
                <w:sz w:val="16"/>
                <w:szCs w:val="16"/>
              </w:rPr>
              <w:fldChar w:fldCharType="separate"/>
            </w:r>
            <w:r>
              <w:rPr>
                <w:rFonts w:ascii="Times New Roman" w:eastAsia="Calibri" w:hAnsi="Times New Roman" w:cs="Times New Roman"/>
                <w:noProof/>
                <w:sz w:val="16"/>
                <w:szCs w:val="16"/>
                <w:lang w:val="es-MX"/>
              </w:rPr>
              <w:t>(23)</w:t>
            </w:r>
            <w:r>
              <w:rPr>
                <w:rFonts w:ascii="Times New Roman" w:eastAsia="Calibri" w:hAnsi="Times New Roman" w:cs="Times New Roman"/>
                <w:sz w:val="16"/>
                <w:szCs w:val="16"/>
              </w:rPr>
              <w:fldChar w:fldCharType="end"/>
            </w:r>
          </w:p>
        </w:tc>
        <w:tc>
          <w:tcPr>
            <w:tcW w:w="2286" w:type="dxa"/>
          </w:tcPr>
          <w:p w14:paraId="7932EF7D"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To assess the efficacy of intermittent preventive treatment in pregnancy (IPTp) with </w:t>
            </w:r>
            <w:proofErr w:type="spellStart"/>
            <w:r w:rsidRPr="00DD5980">
              <w:rPr>
                <w:rFonts w:ascii="Times New Roman" w:eastAsia="Calibri" w:hAnsi="Times New Roman" w:cs="Times New Roman"/>
                <w:sz w:val="16"/>
                <w:szCs w:val="16"/>
              </w:rPr>
              <w:t>sulfadoxine</w:t>
            </w:r>
            <w:proofErr w:type="spellEnd"/>
            <w:r w:rsidRPr="00DD5980">
              <w:rPr>
                <w:rFonts w:ascii="Times New Roman" w:eastAsia="Calibri" w:hAnsi="Times New Roman" w:cs="Times New Roman"/>
                <w:sz w:val="16"/>
                <w:szCs w:val="16"/>
              </w:rPr>
              <w:t>-pyrimethamine (SP) on maternal and birth outcomes.</w:t>
            </w:r>
          </w:p>
        </w:tc>
        <w:tc>
          <w:tcPr>
            <w:tcW w:w="2423" w:type="dxa"/>
          </w:tcPr>
          <w:p w14:paraId="321A8253"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FA1EC2">
              <w:rPr>
                <w:rFonts w:ascii="Times New Roman" w:eastAsia="Calibri" w:hAnsi="Times New Roman" w:cs="Times New Roman"/>
                <w:sz w:val="16"/>
                <w:szCs w:val="16"/>
                <w:lang w:val="es-MX"/>
              </w:rPr>
              <w:t xml:space="preserve">Benin (2), Burkina Faso (2), Burundi (1), Cameroon (1), Cote d’Ivoire (1), DRC (2), Gabon (1), Ghana (2), Guinea (2), Kenya (2), Liberia (1), Madagascar (1), Malawi (2), Mali (2), Mozambique (1), Namibia (1), Niger (2), Nigeria (2), Rwanda (1), Senegal (2), Sierra Leone (2), Tanzania (2), Uganda (2), Zambia (1), Zimbabwe (1) ​. </w:t>
            </w:r>
            <w:r w:rsidRPr="00DD5980">
              <w:rPr>
                <w:rFonts w:ascii="Times New Roman" w:eastAsia="Calibri" w:hAnsi="Times New Roman" w:cs="Times New Roman"/>
                <w:sz w:val="16"/>
                <w:szCs w:val="16"/>
              </w:rPr>
              <w:t>N=50</w:t>
            </w:r>
          </w:p>
        </w:tc>
        <w:tc>
          <w:tcPr>
            <w:tcW w:w="1866" w:type="dxa"/>
          </w:tcPr>
          <w:p w14:paraId="3E0683FE"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Participants:  Pregnant women</w:t>
            </w:r>
          </w:p>
          <w:p w14:paraId="1B0278F3"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Sample size: 59,457 births </w:t>
            </w:r>
            <w:r>
              <w:rPr>
                <w:rFonts w:ascii="Times New Roman" w:eastAsia="Calibri" w:hAnsi="Times New Roman" w:cs="Times New Roman"/>
                <w:sz w:val="16"/>
                <w:szCs w:val="16"/>
              </w:rPr>
              <w:t>(</w:t>
            </w:r>
            <w:r w:rsidRPr="00DD5980">
              <w:rPr>
                <w:rFonts w:ascii="Times New Roman" w:eastAsia="Calibri" w:hAnsi="Times New Roman" w:cs="Times New Roman"/>
                <w:sz w:val="16"/>
                <w:szCs w:val="16"/>
              </w:rPr>
              <w:t>aggregated data</w:t>
            </w:r>
            <w:r>
              <w:rPr>
                <w:rFonts w:ascii="Times New Roman" w:eastAsia="Calibri" w:hAnsi="Times New Roman" w:cs="Times New Roman"/>
                <w:sz w:val="16"/>
                <w:szCs w:val="16"/>
              </w:rPr>
              <w:t>)</w:t>
            </w:r>
            <w:r w:rsidRPr="00DD5980">
              <w:rPr>
                <w:rFonts w:ascii="Times New Roman" w:eastAsia="Calibri" w:hAnsi="Times New Roman" w:cs="Times New Roman"/>
                <w:sz w:val="16"/>
                <w:szCs w:val="16"/>
              </w:rPr>
              <w:t xml:space="preserve">; 42,394 births </w:t>
            </w:r>
            <w:r>
              <w:rPr>
                <w:rFonts w:ascii="Times New Roman" w:eastAsia="Calibri" w:hAnsi="Times New Roman" w:cs="Times New Roman"/>
                <w:sz w:val="16"/>
                <w:szCs w:val="16"/>
              </w:rPr>
              <w:t>(</w:t>
            </w:r>
            <w:r w:rsidRPr="00DD5980">
              <w:rPr>
                <w:rFonts w:ascii="Times New Roman" w:eastAsia="Calibri" w:hAnsi="Times New Roman" w:cs="Times New Roman"/>
                <w:sz w:val="16"/>
                <w:szCs w:val="16"/>
              </w:rPr>
              <w:t>individual participant data</w:t>
            </w:r>
            <w:r>
              <w:rPr>
                <w:rFonts w:ascii="Times New Roman" w:eastAsia="Calibri" w:hAnsi="Times New Roman" w:cs="Times New Roman"/>
                <w:sz w:val="16"/>
                <w:szCs w:val="16"/>
              </w:rPr>
              <w:t>)</w:t>
            </w:r>
            <w:r w:rsidRPr="00DD5980">
              <w:rPr>
                <w:rFonts w:ascii="Times New Roman" w:eastAsia="Calibri" w:hAnsi="Times New Roman" w:cs="Times New Roman"/>
                <w:sz w:val="16"/>
                <w:szCs w:val="16"/>
              </w:rPr>
              <w:t>.</w:t>
            </w:r>
          </w:p>
        </w:tc>
        <w:tc>
          <w:tcPr>
            <w:tcW w:w="1812" w:type="dxa"/>
          </w:tcPr>
          <w:p w14:paraId="48E6B54E"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Malaria </w:t>
            </w:r>
            <w:r>
              <w:rPr>
                <w:rFonts w:ascii="Times New Roman" w:eastAsia="Calibri" w:hAnsi="Times New Roman" w:cs="Times New Roman"/>
                <w:sz w:val="16"/>
                <w:szCs w:val="16"/>
              </w:rPr>
              <w:t>c</w:t>
            </w:r>
            <w:r w:rsidRPr="00DD5980">
              <w:rPr>
                <w:rFonts w:ascii="Times New Roman" w:eastAsia="Calibri" w:hAnsi="Times New Roman" w:cs="Times New Roman"/>
                <w:sz w:val="16"/>
                <w:szCs w:val="16"/>
              </w:rPr>
              <w:t>hemoprevention vs. Placebo</w:t>
            </w:r>
          </w:p>
        </w:tc>
        <w:tc>
          <w:tcPr>
            <w:tcW w:w="1823" w:type="dxa"/>
          </w:tcPr>
          <w:p w14:paraId="55C63F8F"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LBW</w:t>
            </w:r>
          </w:p>
        </w:tc>
        <w:tc>
          <w:tcPr>
            <w:tcW w:w="1187" w:type="dxa"/>
          </w:tcPr>
          <w:p w14:paraId="31814311"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Yes - Newcastle-Ottawa Scale </w:t>
            </w:r>
          </w:p>
        </w:tc>
        <w:tc>
          <w:tcPr>
            <w:tcW w:w="1864" w:type="dxa"/>
          </w:tcPr>
          <w:p w14:paraId="46F6AF27"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Random-effects meta-analysis (clinical studies) or multivariate log-binomial regression (surveys)</w:t>
            </w:r>
          </w:p>
        </w:tc>
      </w:tr>
      <w:tr w:rsidR="004E7DD3" w:rsidRPr="00DD5980" w14:paraId="378C19F5" w14:textId="77777777" w:rsidTr="000B6948">
        <w:tc>
          <w:tcPr>
            <w:cnfStyle w:val="001000000000" w:firstRow="0" w:lastRow="0" w:firstColumn="1" w:lastColumn="0" w:oddVBand="0" w:evenVBand="0" w:oddHBand="0" w:evenHBand="0" w:firstRowFirstColumn="0" w:firstRowLastColumn="0" w:lastRowFirstColumn="0" w:lastRowLastColumn="0"/>
            <w:tcW w:w="1319" w:type="dxa"/>
            <w:tcBorders>
              <w:top w:val="single" w:sz="4" w:space="0" w:color="auto"/>
              <w:left w:val="single" w:sz="4" w:space="0" w:color="auto"/>
              <w:bottom w:val="single" w:sz="4" w:space="0" w:color="auto"/>
            </w:tcBorders>
          </w:tcPr>
          <w:p w14:paraId="2034633E" w14:textId="77777777" w:rsidR="004E7DD3" w:rsidRPr="00DD5980" w:rsidRDefault="004E7DD3" w:rsidP="000B6948">
            <w:pPr>
              <w:spacing w:after="160" w:line="259" w:lineRule="auto"/>
              <w:jc w:val="left"/>
              <w:rPr>
                <w:rFonts w:ascii="Times New Roman" w:eastAsia="Calibri" w:hAnsi="Times New Roman" w:cs="Times New Roman"/>
                <w:sz w:val="16"/>
                <w:szCs w:val="16"/>
              </w:rPr>
            </w:pPr>
            <w:r w:rsidRPr="00DD5980">
              <w:rPr>
                <w:rFonts w:ascii="Times New Roman" w:eastAsia="Calibri" w:hAnsi="Times New Roman" w:cs="Times New Roman"/>
                <w:sz w:val="16"/>
                <w:szCs w:val="16"/>
              </w:rPr>
              <w:t>Wessells et al., 2021</w:t>
            </w:r>
            <w:r>
              <w:rPr>
                <w:rFonts w:ascii="Times New Roman" w:eastAsia="Calibri" w:hAnsi="Times New Roman" w:cs="Times New Roman"/>
                <w:sz w:val="16"/>
                <w:szCs w:val="16"/>
              </w:rPr>
              <w:t xml:space="preserve"> </w:t>
            </w:r>
            <w:r>
              <w:rPr>
                <w:rFonts w:ascii="Times New Roman" w:eastAsia="Calibri" w:hAnsi="Times New Roman" w:cs="Times New Roman"/>
                <w:sz w:val="16"/>
                <w:szCs w:val="16"/>
              </w:rPr>
              <w:fldChar w:fldCharType="begin"/>
            </w:r>
            <w:r>
              <w:rPr>
                <w:rFonts w:ascii="Times New Roman" w:eastAsia="Calibri" w:hAnsi="Times New Roman" w:cs="Times New Roman"/>
                <w:sz w:val="16"/>
                <w:szCs w:val="16"/>
              </w:rPr>
              <w:instrText xml:space="preserve"> ADDIN ZOTERO_ITEM CSL_CITATION {"citationID":"ZnwhbbpP","properties":{"formattedCitation":"(41)","plainCitation":"(41)","noteIndex":0},"citationItems":[{"id":180,"uris":["http://zotero.org/users/13596477/items/D8EW9R5B"],"itemData":{"id":180,"type":"article-journal","container-title":"The American Journal of Clinical Nutrition","DOI":"10.1093/ajcn/nqab276","ISSN":"00029165","journalAbbreviation":"The American Journal of Clinical Nutrition","language":"en","page":"68S-94S","source":"DOI.org (Crossref)","title":"Characteristics that modify the effect of small-quantity lipid-based nutrient supplementation on child anemia and micronutrient status: an individual participant data meta-analysis of randomized controlled trials","title-short":"Characteristics that modify the effect of small-quantity lipid-based nutrient supplementation on child anemia and micronutrient status","volume":"114","author":[{"family":"Wessells","given":"K Ryan"},{"family":"Arnold","given":"Charles D"},{"family":"Stewart","given":"Christine P"},{"family":"Prado","given":"Elizabeth L"},{"family":"Abbeddou","given":"Souheila"},{"family":"Adu-Afarwuah","given":"Seth"},{"family":"Arnold","given":"Benjamin F"},{"family":"Ashorn","given":"Per"},{"family":"Ashorn","given":"Ulla"},{"family":"Becquey","given":"Elodie"},{"family":"Brown","given":"Kenneth H"},{"family":"Byrd","given":"Kendra A"},{"family":"Campbell","given":"Rebecca K"},{"family":"Christian","given":"Parul"},{"family":"Fernald","given":"Lia Ch"},{"family":"Fan","given":"Yue-Mei"},{"family":"Galasso","given":"Emanuela"},{"family":"Hess","given":"Sonja Y"},{"family":"Huybregts","given":"Lieven"},{"family":"Jorgensen","given":"Josh M"},{"family":"Kiprotich","given":"Marion"},{"family":"Kortekangas","given":"Emma"},{"family":"Lartey","given":"Anna"},{"family":"Le Port","given":"Agnes"},{"family":"Leroy","given":"Jef L"},{"family":"Lin","given":"Audrie"},{"family":"Maleta","given":"Kenneth"},{"family":"Matias","given":"Susana L"},{"family":"Mbuya","given":"Mduduzi Nn"},{"family":"Mridha","given":"Malay K"},{"family":"Mutasa","given":"Kuda"},{"family":"Naser","given":"Abu M"},{"family":"Paul","given":"Rina R"},{"family":"Okronipa","given":"Harriet"},{"family":"Ouédraogo","given":"Jean-Bosco"},{"family":"Pickering","given":"Amy J"},{"family":"Rahman","given":"Mahbubur"},{"family":"Schulze","given":"Kerry"},{"family":"Smith","given":"Laura E"},{"family":"Weber","given":"Ann M"},{"family":"Zongrone","given":"Amanda"},{"family":"Dewey","given":"Kathryn G"}],"issued":{"date-parts":[["2021",11]]}}}],"schema":"https://github.com/citation-style-language/schema/raw/master/csl-citation.json"} </w:instrText>
            </w:r>
            <w:r>
              <w:rPr>
                <w:rFonts w:ascii="Times New Roman" w:eastAsia="Calibri" w:hAnsi="Times New Roman" w:cs="Times New Roman"/>
                <w:sz w:val="16"/>
                <w:szCs w:val="16"/>
              </w:rPr>
              <w:fldChar w:fldCharType="separate"/>
            </w:r>
            <w:r>
              <w:rPr>
                <w:rFonts w:ascii="Times New Roman" w:eastAsia="Calibri" w:hAnsi="Times New Roman" w:cs="Times New Roman"/>
                <w:noProof/>
                <w:sz w:val="16"/>
                <w:szCs w:val="16"/>
              </w:rPr>
              <w:t>(41)</w:t>
            </w:r>
            <w:r>
              <w:rPr>
                <w:rFonts w:ascii="Times New Roman" w:eastAsia="Calibri" w:hAnsi="Times New Roman" w:cs="Times New Roman"/>
                <w:sz w:val="16"/>
                <w:szCs w:val="16"/>
              </w:rPr>
              <w:fldChar w:fldCharType="end"/>
            </w:r>
          </w:p>
        </w:tc>
        <w:tc>
          <w:tcPr>
            <w:tcW w:w="2286" w:type="dxa"/>
          </w:tcPr>
          <w:p w14:paraId="14D0172C"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To identify study-level and individual-level modifiers of the effect of SQ-LNSs on anemia and micronutrient status outcomes in children aged 6–24 months.</w:t>
            </w:r>
          </w:p>
        </w:tc>
        <w:tc>
          <w:tcPr>
            <w:tcW w:w="2423" w:type="dxa"/>
          </w:tcPr>
          <w:p w14:paraId="0E15A334" w14:textId="736B470C"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Sub-Saharan Africa and South Asia</w:t>
            </w:r>
            <w:r w:rsidRPr="00DD5980">
              <w:rPr>
                <w:rFonts w:ascii="Times New Roman" w:eastAsia="Calibri" w:hAnsi="Times New Roman" w:cs="Times New Roman"/>
                <w:sz w:val="16"/>
                <w:szCs w:val="16"/>
              </w:rPr>
              <w:br/>
              <w:t xml:space="preserve">Burkina Faso (2), Ghana (2), Kenya (1), Madagascar (1), Malawi (2), Mali (1), Zimbabwe (2), and Bangladesh.  N=11    </w:t>
            </w:r>
          </w:p>
        </w:tc>
        <w:tc>
          <w:tcPr>
            <w:tcW w:w="1866" w:type="dxa"/>
          </w:tcPr>
          <w:p w14:paraId="6F22C42A"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Participants: infants and young children</w:t>
            </w:r>
          </w:p>
          <w:p w14:paraId="23CC5F48" w14:textId="77777777" w:rsidR="004E7DD3" w:rsidRPr="00DD5980" w:rsidRDefault="004E7DD3" w:rsidP="000B6948">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 xml:space="preserve">Sample size: 15,946 </w:t>
            </w:r>
          </w:p>
          <w:p w14:paraId="72700B1F"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p>
        </w:tc>
        <w:tc>
          <w:tcPr>
            <w:tcW w:w="1812" w:type="dxa"/>
          </w:tcPr>
          <w:p w14:paraId="4F67866B"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SQ-LNS vs. Control</w:t>
            </w:r>
          </w:p>
        </w:tc>
        <w:tc>
          <w:tcPr>
            <w:tcW w:w="1823" w:type="dxa"/>
          </w:tcPr>
          <w:p w14:paraId="519C8EC3" w14:textId="77777777" w:rsidR="004E7DD3" w:rsidRPr="00FA1EC2"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s-MX"/>
              </w:rPr>
            </w:pPr>
            <w:r w:rsidRPr="00FA1EC2">
              <w:rPr>
                <w:rFonts w:ascii="Times New Roman" w:eastAsia="Calibri" w:hAnsi="Times New Roman" w:cs="Times New Roman"/>
                <w:sz w:val="16"/>
                <w:szCs w:val="16"/>
                <w:lang w:val="es-MX"/>
              </w:rPr>
              <w:t>Anemia, moderate to severe anemia, iron deficiency anemia</w:t>
            </w:r>
          </w:p>
        </w:tc>
        <w:tc>
          <w:tcPr>
            <w:tcW w:w="1187" w:type="dxa"/>
          </w:tcPr>
          <w:p w14:paraId="7E1DAB26"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Yes - GRADE.</w:t>
            </w:r>
            <w:r w:rsidRPr="00DD5980">
              <w:rPr>
                <w:rFonts w:ascii="Times New Roman" w:eastAsia="Calibri" w:hAnsi="Times New Roman" w:cs="Times New Roman"/>
                <w:sz w:val="16"/>
                <w:szCs w:val="16"/>
              </w:rPr>
              <w:br/>
            </w:r>
          </w:p>
        </w:tc>
        <w:tc>
          <w:tcPr>
            <w:tcW w:w="1864" w:type="dxa"/>
          </w:tcPr>
          <w:p w14:paraId="533BC89D" w14:textId="77777777" w:rsidR="004E7DD3" w:rsidRPr="00DD5980" w:rsidRDefault="004E7DD3" w:rsidP="000B694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Two-stage meta-analysis: Fixed-effects models for pooled estimates; random-effects meta-regression for effect modification.</w:t>
            </w:r>
          </w:p>
        </w:tc>
      </w:tr>
      <w:tr w:rsidR="004E7DD3" w:rsidRPr="00DD5980" w14:paraId="4C25C672" w14:textId="77777777" w:rsidTr="000B69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9" w:type="dxa"/>
            <w:tcBorders>
              <w:top w:val="single" w:sz="4" w:space="0" w:color="auto"/>
              <w:left w:val="single" w:sz="4" w:space="0" w:color="auto"/>
              <w:bottom w:val="single" w:sz="4" w:space="0" w:color="auto"/>
            </w:tcBorders>
          </w:tcPr>
          <w:p w14:paraId="14CCAD90" w14:textId="77777777" w:rsidR="004E7DD3" w:rsidRPr="00DD5980" w:rsidRDefault="004E7DD3" w:rsidP="000B6948">
            <w:pPr>
              <w:spacing w:after="160" w:line="259" w:lineRule="auto"/>
              <w:jc w:val="left"/>
              <w:rPr>
                <w:rFonts w:ascii="Times New Roman" w:eastAsia="Calibri" w:hAnsi="Times New Roman" w:cs="Times New Roman"/>
                <w:sz w:val="16"/>
                <w:szCs w:val="16"/>
              </w:rPr>
            </w:pPr>
            <w:r w:rsidRPr="00DD5980">
              <w:rPr>
                <w:rFonts w:ascii="Times New Roman" w:eastAsia="Calibri" w:hAnsi="Times New Roman" w:cs="Times New Roman"/>
                <w:sz w:val="16"/>
                <w:szCs w:val="16"/>
              </w:rPr>
              <w:t>Zhao et al., 2019</w:t>
            </w:r>
            <w:r>
              <w:rPr>
                <w:rFonts w:ascii="Times New Roman" w:eastAsia="Calibri" w:hAnsi="Times New Roman" w:cs="Times New Roman"/>
                <w:sz w:val="16"/>
                <w:szCs w:val="16"/>
              </w:rPr>
              <w:t xml:space="preserve"> </w:t>
            </w:r>
            <w:r>
              <w:rPr>
                <w:rFonts w:ascii="Times New Roman" w:eastAsia="Calibri" w:hAnsi="Times New Roman" w:cs="Times New Roman"/>
                <w:sz w:val="16"/>
                <w:szCs w:val="16"/>
              </w:rPr>
              <w:fldChar w:fldCharType="begin"/>
            </w:r>
            <w:r>
              <w:rPr>
                <w:rFonts w:ascii="Times New Roman" w:eastAsia="Calibri" w:hAnsi="Times New Roman" w:cs="Times New Roman"/>
                <w:sz w:val="16"/>
                <w:szCs w:val="16"/>
              </w:rPr>
              <w:instrText xml:space="preserve"> ADDIN ZOTERO_ITEM CSL_CITATION {"citationID":"LcBHoEK9","properties":{"formattedCitation":"(27)","plainCitation":"(27)","noteIndex":0},"citationItems":[{"id":147,"uris":["http://zotero.org/users/13596477/items/6UY9ESUV"],"itemData":{"id":147,"type":"article-journal","container-title":"International Journal of Nursing Studies","DOI":"10.1016/j.ijnurstu.2019.01.012","ISSN":"00207489","journalAbbreviation":"International Journal of Nursing Studies","language":"en","page":"97-108","source":"DOI.org (Crossref)","title":"Effects of delayed cord clamping on infants after neonatal period: A systematic review and meta-analysis","title-short":"Effects of delayed cord clamping on infants after neonatal period","volume":"92","author":[{"family":"Zhao","given":"Yang"},{"family":"Hou","given":"Rui"},{"family":"Zhu","given":"Xiu"},{"family":"Ren","given":"Lihua"},{"family":"Lu","given":"Hong"}],"issued":{"date-parts":[["2019",4]]}}}],"schema":"https://github.com/citation-style-language/schema/raw/master/csl-citation.json"} </w:instrText>
            </w:r>
            <w:r>
              <w:rPr>
                <w:rFonts w:ascii="Times New Roman" w:eastAsia="Calibri" w:hAnsi="Times New Roman" w:cs="Times New Roman"/>
                <w:sz w:val="16"/>
                <w:szCs w:val="16"/>
              </w:rPr>
              <w:fldChar w:fldCharType="separate"/>
            </w:r>
            <w:r>
              <w:rPr>
                <w:rFonts w:ascii="Times New Roman" w:eastAsia="Calibri" w:hAnsi="Times New Roman" w:cs="Times New Roman"/>
                <w:noProof/>
                <w:sz w:val="16"/>
                <w:szCs w:val="16"/>
              </w:rPr>
              <w:t>(27)</w:t>
            </w:r>
            <w:r>
              <w:rPr>
                <w:rFonts w:ascii="Times New Roman" w:eastAsia="Calibri" w:hAnsi="Times New Roman" w:cs="Times New Roman"/>
                <w:sz w:val="16"/>
                <w:szCs w:val="16"/>
              </w:rPr>
              <w:fldChar w:fldCharType="end"/>
            </w:r>
          </w:p>
        </w:tc>
        <w:tc>
          <w:tcPr>
            <w:tcW w:w="2286" w:type="dxa"/>
          </w:tcPr>
          <w:p w14:paraId="0B2B33D3"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To evaluate the long-term effects of delayed cord clamping compared with early cord clamping</w:t>
            </w:r>
            <w:r w:rsidRPr="00DD5980">
              <w:rPr>
                <w:rFonts w:ascii="Times New Roman" w:eastAsia="Calibri" w:hAnsi="Times New Roman" w:cs="Times New Roman"/>
                <w:sz w:val="16"/>
                <w:szCs w:val="16"/>
              </w:rPr>
              <w:br/>
              <w:t>on infants after neonatal period.</w:t>
            </w:r>
          </w:p>
        </w:tc>
        <w:tc>
          <w:tcPr>
            <w:tcW w:w="2423" w:type="dxa"/>
          </w:tcPr>
          <w:p w14:paraId="136FD635"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FA1EC2">
              <w:rPr>
                <w:rFonts w:ascii="Times New Roman" w:eastAsia="Calibri" w:hAnsi="Times New Roman" w:cs="Times New Roman"/>
                <w:sz w:val="16"/>
                <w:szCs w:val="16"/>
                <w:lang w:val="es-MX"/>
              </w:rPr>
              <w:t xml:space="preserve">South Africa (1), Canada(1), USA (3), India (4), Zambia (1), Netherlands (2), Argetina (1), Sweden (4) , China (1), Egypt (1), Nepal (1). </w:t>
            </w:r>
            <w:r w:rsidRPr="00DD5980">
              <w:rPr>
                <w:rFonts w:ascii="Times New Roman" w:eastAsia="Calibri" w:hAnsi="Times New Roman" w:cs="Times New Roman"/>
                <w:sz w:val="16"/>
                <w:szCs w:val="16"/>
              </w:rPr>
              <w:t>N=20</w:t>
            </w:r>
          </w:p>
        </w:tc>
        <w:tc>
          <w:tcPr>
            <w:tcW w:w="1866" w:type="dxa"/>
          </w:tcPr>
          <w:p w14:paraId="44797DB4"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Participants: infants beyond 1 month of age</w:t>
            </w:r>
            <w:r w:rsidRPr="00DD5980">
              <w:rPr>
                <w:rFonts w:ascii="Times New Roman" w:eastAsia="Calibri" w:hAnsi="Times New Roman" w:cs="Times New Roman"/>
                <w:sz w:val="16"/>
                <w:szCs w:val="16"/>
              </w:rPr>
              <w:br/>
              <w:t>Sample size: 3733</w:t>
            </w:r>
          </w:p>
        </w:tc>
        <w:tc>
          <w:tcPr>
            <w:tcW w:w="1812" w:type="dxa"/>
          </w:tcPr>
          <w:p w14:paraId="03D8430D"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Delayed vs. Immediate or Early Clamping</w:t>
            </w:r>
          </w:p>
        </w:tc>
        <w:tc>
          <w:tcPr>
            <w:tcW w:w="1823" w:type="dxa"/>
          </w:tcPr>
          <w:p w14:paraId="1A910957"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Decreased: Anemia in Term Infants</w:t>
            </w:r>
            <w:r w:rsidRPr="00DD5980">
              <w:rPr>
                <w:rFonts w:ascii="Times New Roman" w:eastAsia="Calibri" w:hAnsi="Times New Roman" w:cs="Times New Roman"/>
                <w:sz w:val="16"/>
                <w:szCs w:val="16"/>
              </w:rPr>
              <w:br/>
              <w:t>Increased: Hemoglobin</w:t>
            </w:r>
          </w:p>
        </w:tc>
        <w:tc>
          <w:tcPr>
            <w:tcW w:w="1187" w:type="dxa"/>
          </w:tcPr>
          <w:p w14:paraId="49200A40"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Yes - Cochrane Risk of Bias Tool]</w:t>
            </w:r>
          </w:p>
        </w:tc>
        <w:tc>
          <w:tcPr>
            <w:tcW w:w="1864" w:type="dxa"/>
          </w:tcPr>
          <w:p w14:paraId="6D360334" w14:textId="77777777" w:rsidR="004E7DD3" w:rsidRPr="00DD5980" w:rsidRDefault="004E7DD3" w:rsidP="000B694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rPr>
            </w:pPr>
            <w:r w:rsidRPr="00DD5980">
              <w:rPr>
                <w:rFonts w:ascii="Times New Roman" w:eastAsia="Calibri" w:hAnsi="Times New Roman" w:cs="Times New Roman"/>
                <w:sz w:val="16"/>
                <w:szCs w:val="16"/>
              </w:rPr>
              <w:t>Random-effects meta-analysis</w:t>
            </w:r>
            <w:r>
              <w:rPr>
                <w:rFonts w:ascii="Times New Roman" w:eastAsia="Calibri" w:hAnsi="Times New Roman" w:cs="Times New Roman"/>
                <w:sz w:val="16"/>
                <w:szCs w:val="16"/>
              </w:rPr>
              <w:t>, h</w:t>
            </w:r>
            <w:r w:rsidRPr="00DD5980">
              <w:rPr>
                <w:rFonts w:ascii="Times New Roman" w:eastAsia="Calibri" w:hAnsi="Times New Roman" w:cs="Times New Roman"/>
                <w:sz w:val="16"/>
                <w:szCs w:val="16"/>
              </w:rPr>
              <w:t xml:space="preserve">eterogeneity tests. </w:t>
            </w:r>
            <w:r w:rsidRPr="00DD5980">
              <w:rPr>
                <w:rFonts w:ascii="Times New Roman" w:eastAsia="Calibri" w:hAnsi="Times New Roman" w:cs="Times New Roman"/>
                <w:sz w:val="16"/>
                <w:szCs w:val="16"/>
              </w:rPr>
              <w:br/>
            </w:r>
          </w:p>
        </w:tc>
      </w:tr>
    </w:tbl>
    <w:p w14:paraId="603AD41C" w14:textId="77777777" w:rsidR="004E7DD3" w:rsidRPr="00FA1EC2" w:rsidRDefault="004E7DD3" w:rsidP="004E7DD3">
      <w:pPr>
        <w:ind w:left="-993" w:right="-507"/>
        <w:rPr>
          <w:rFonts w:ascii="Times New Roman" w:eastAsia="Calibri" w:hAnsi="Times New Roman" w:cs="Times New Roman"/>
          <w:sz w:val="16"/>
          <w:szCs w:val="16"/>
        </w:rPr>
      </w:pPr>
      <w:r w:rsidRPr="00FA1EC2">
        <w:rPr>
          <w:rFonts w:ascii="Times New Roman" w:eastAsia="Calibri" w:hAnsi="Times New Roman" w:cs="Times New Roman"/>
          <w:sz w:val="16"/>
          <w:szCs w:val="16"/>
        </w:rPr>
        <w:t xml:space="preserve">Notes: </w:t>
      </w:r>
      <w:r w:rsidRPr="00AE3A00">
        <w:rPr>
          <w:rFonts w:ascii="Times New Roman" w:eastAsia="Calibri" w:hAnsi="Times New Roman" w:cs="Times New Roman"/>
          <w:sz w:val="16"/>
          <w:szCs w:val="16"/>
        </w:rPr>
        <w:t>BEP = Balanced Energy Protein</w:t>
      </w:r>
      <w:r>
        <w:rPr>
          <w:rFonts w:ascii="Times New Roman" w:eastAsia="Calibri" w:hAnsi="Times New Roman" w:cs="Times New Roman"/>
          <w:sz w:val="16"/>
          <w:szCs w:val="16"/>
        </w:rPr>
        <w:t xml:space="preserve">, </w:t>
      </w:r>
      <w:r w:rsidRPr="00AE3A00">
        <w:rPr>
          <w:rFonts w:ascii="Times New Roman" w:eastAsia="Calibri" w:hAnsi="Times New Roman" w:cs="Times New Roman"/>
          <w:sz w:val="16"/>
          <w:szCs w:val="16"/>
        </w:rPr>
        <w:t>EBF = exclusive breast feeding</w:t>
      </w:r>
      <w:r>
        <w:rPr>
          <w:rFonts w:ascii="Times New Roman" w:eastAsia="Calibri" w:hAnsi="Times New Roman" w:cs="Times New Roman"/>
          <w:sz w:val="16"/>
          <w:szCs w:val="16"/>
        </w:rPr>
        <w:t xml:space="preserve">, </w:t>
      </w:r>
      <w:r w:rsidRPr="00AE3A00">
        <w:rPr>
          <w:rFonts w:ascii="Times New Roman" w:eastAsia="Calibri" w:hAnsi="Times New Roman" w:cs="Times New Roman"/>
          <w:sz w:val="16"/>
          <w:szCs w:val="16"/>
        </w:rPr>
        <w:t>HAZ</w:t>
      </w:r>
      <w:r>
        <w:rPr>
          <w:rFonts w:ascii="Times New Roman" w:eastAsia="Calibri" w:hAnsi="Times New Roman" w:cs="Times New Roman"/>
          <w:sz w:val="16"/>
          <w:szCs w:val="16"/>
        </w:rPr>
        <w:t xml:space="preserve"> = height-for-age z-score</w:t>
      </w:r>
      <w:r w:rsidRPr="00AE3A00">
        <w:rPr>
          <w:rFonts w:ascii="Times New Roman" w:eastAsia="Calibri" w:hAnsi="Times New Roman" w:cs="Times New Roman"/>
          <w:sz w:val="16"/>
          <w:szCs w:val="16"/>
        </w:rPr>
        <w:t>, WHZ</w:t>
      </w:r>
      <w:r>
        <w:rPr>
          <w:rFonts w:ascii="Times New Roman" w:eastAsia="Calibri" w:hAnsi="Times New Roman" w:cs="Times New Roman"/>
          <w:sz w:val="16"/>
          <w:szCs w:val="16"/>
        </w:rPr>
        <w:t xml:space="preserve"> = weight-for-age z-score, KMC = </w:t>
      </w:r>
      <w:r w:rsidRPr="00AE3A00">
        <w:rPr>
          <w:rFonts w:ascii="Times New Roman" w:eastAsia="Calibri" w:hAnsi="Times New Roman" w:cs="Times New Roman"/>
          <w:sz w:val="16"/>
          <w:szCs w:val="16"/>
        </w:rPr>
        <w:t>Kangaroo Mother Care</w:t>
      </w:r>
      <w:r>
        <w:rPr>
          <w:rFonts w:ascii="Times New Roman" w:eastAsia="Calibri" w:hAnsi="Times New Roman" w:cs="Times New Roman"/>
          <w:sz w:val="16"/>
          <w:szCs w:val="16"/>
        </w:rPr>
        <w:t xml:space="preserve">, </w:t>
      </w:r>
      <w:r w:rsidRPr="00AE3A00">
        <w:rPr>
          <w:rFonts w:ascii="Times New Roman" w:eastAsia="Calibri" w:hAnsi="Times New Roman" w:cs="Times New Roman"/>
          <w:sz w:val="16"/>
          <w:szCs w:val="16"/>
        </w:rPr>
        <w:t>LMICs = Low or middle-income countries</w:t>
      </w:r>
      <w:r>
        <w:rPr>
          <w:rFonts w:ascii="Times New Roman" w:eastAsia="Calibri" w:hAnsi="Times New Roman" w:cs="Times New Roman"/>
          <w:sz w:val="16"/>
          <w:szCs w:val="16"/>
        </w:rPr>
        <w:t xml:space="preserve">, </w:t>
      </w:r>
      <w:r w:rsidRPr="00C13844">
        <w:rPr>
          <w:rFonts w:ascii="Times New Roman" w:eastAsia="Calibri" w:hAnsi="Times New Roman" w:cs="Times New Roman"/>
          <w:sz w:val="16"/>
          <w:szCs w:val="16"/>
        </w:rPr>
        <w:t>MMN = Multiple micronutrients</w:t>
      </w:r>
      <w:r w:rsidRPr="00FA1EC2">
        <w:rPr>
          <w:rFonts w:ascii="Times New Roman" w:eastAsia="Calibri" w:hAnsi="Times New Roman" w:cs="Times New Roman"/>
          <w:sz w:val="16"/>
          <w:szCs w:val="16"/>
        </w:rPr>
        <w:t xml:space="preserve">, </w:t>
      </w:r>
      <w:r w:rsidRPr="006149B4">
        <w:rPr>
          <w:rFonts w:ascii="Times New Roman" w:eastAsia="Calibri" w:hAnsi="Times New Roman" w:cs="Times New Roman"/>
          <w:sz w:val="16"/>
          <w:szCs w:val="16"/>
        </w:rPr>
        <w:t>MMS = Multiple micronutrient supplement</w:t>
      </w:r>
      <w:r w:rsidRPr="00FA1EC2">
        <w:rPr>
          <w:rFonts w:ascii="Times New Roman" w:eastAsia="Calibri" w:hAnsi="Times New Roman" w:cs="Times New Roman"/>
          <w:sz w:val="16"/>
          <w:szCs w:val="16"/>
        </w:rPr>
        <w:t xml:space="preserve">, </w:t>
      </w:r>
      <w:r w:rsidRPr="006149B4">
        <w:rPr>
          <w:rFonts w:ascii="Times New Roman" w:eastAsia="Calibri" w:hAnsi="Times New Roman" w:cs="Times New Roman"/>
          <w:sz w:val="16"/>
          <w:szCs w:val="16"/>
        </w:rPr>
        <w:t>MMP = multiple micronutrient powders</w:t>
      </w:r>
      <w:r w:rsidRPr="00FA1EC2">
        <w:rPr>
          <w:rFonts w:ascii="Times New Roman" w:eastAsia="Calibri" w:hAnsi="Times New Roman" w:cs="Times New Roman"/>
          <w:sz w:val="16"/>
          <w:szCs w:val="16"/>
        </w:rPr>
        <w:t xml:space="preserve">, </w:t>
      </w:r>
      <w:r w:rsidRPr="006149B4">
        <w:rPr>
          <w:rFonts w:ascii="Times New Roman" w:eastAsia="Calibri" w:hAnsi="Times New Roman" w:cs="Times New Roman"/>
          <w:sz w:val="16"/>
          <w:szCs w:val="16"/>
        </w:rPr>
        <w:t xml:space="preserve">MQ-LNS = </w:t>
      </w:r>
      <w:r>
        <w:rPr>
          <w:rFonts w:ascii="Times New Roman" w:eastAsia="Calibri" w:hAnsi="Times New Roman" w:cs="Times New Roman"/>
          <w:sz w:val="16"/>
          <w:szCs w:val="16"/>
        </w:rPr>
        <w:t xml:space="preserve">medium-quantity </w:t>
      </w:r>
      <w:r w:rsidRPr="00AE3A00">
        <w:rPr>
          <w:rFonts w:ascii="Times New Roman" w:eastAsia="Calibri" w:hAnsi="Times New Roman" w:cs="Times New Roman"/>
          <w:sz w:val="16"/>
          <w:szCs w:val="16"/>
        </w:rPr>
        <w:t>lipid-based nutrient supplements</w:t>
      </w:r>
      <w:r>
        <w:rPr>
          <w:rFonts w:ascii="Times New Roman" w:eastAsia="Calibri" w:hAnsi="Times New Roman" w:cs="Times New Roman"/>
          <w:sz w:val="16"/>
          <w:szCs w:val="16"/>
        </w:rPr>
        <w:t xml:space="preserve">, </w:t>
      </w:r>
      <w:r w:rsidRPr="00AE3A00">
        <w:rPr>
          <w:rFonts w:ascii="Times New Roman" w:eastAsia="Calibri" w:hAnsi="Times New Roman" w:cs="Times New Roman"/>
          <w:sz w:val="16"/>
          <w:szCs w:val="16"/>
        </w:rPr>
        <w:t>SBBC = social behavior change communication</w:t>
      </w:r>
      <w:r>
        <w:rPr>
          <w:rFonts w:ascii="Times New Roman" w:eastAsia="Calibri" w:hAnsi="Times New Roman" w:cs="Times New Roman"/>
          <w:sz w:val="16"/>
          <w:szCs w:val="16"/>
        </w:rPr>
        <w:t xml:space="preserve">, </w:t>
      </w:r>
      <w:r w:rsidRPr="00AE3A00">
        <w:rPr>
          <w:rFonts w:ascii="Times New Roman" w:eastAsia="Calibri" w:hAnsi="Times New Roman" w:cs="Times New Roman"/>
          <w:sz w:val="16"/>
          <w:szCs w:val="16"/>
        </w:rPr>
        <w:t>SQ-LNS = small-quantity lipid-based nutrient supplements</w:t>
      </w:r>
      <w:r>
        <w:rPr>
          <w:rFonts w:ascii="Times New Roman" w:eastAsia="Calibri" w:hAnsi="Times New Roman" w:cs="Times New Roman"/>
          <w:sz w:val="16"/>
          <w:szCs w:val="16"/>
        </w:rPr>
        <w:t xml:space="preserve">, </w:t>
      </w:r>
      <w:r w:rsidRPr="00AE3A00">
        <w:rPr>
          <w:rFonts w:ascii="Times New Roman" w:eastAsia="Calibri" w:hAnsi="Times New Roman" w:cs="Times New Roman"/>
          <w:sz w:val="16"/>
          <w:szCs w:val="16"/>
        </w:rPr>
        <w:t>SGA = small for gestation</w:t>
      </w:r>
      <w:r>
        <w:rPr>
          <w:rFonts w:ascii="Times New Roman" w:eastAsia="Calibri" w:hAnsi="Times New Roman" w:cs="Times New Roman"/>
          <w:sz w:val="16"/>
          <w:szCs w:val="16"/>
        </w:rPr>
        <w:t xml:space="preserve">, </w:t>
      </w:r>
      <w:r w:rsidRPr="00AE3A00">
        <w:rPr>
          <w:rFonts w:ascii="Times New Roman" w:eastAsia="Calibri" w:hAnsi="Times New Roman" w:cs="Times New Roman"/>
          <w:sz w:val="16"/>
          <w:szCs w:val="16"/>
        </w:rPr>
        <w:t>SAM = severe acute malnutrition</w:t>
      </w:r>
      <w:r>
        <w:rPr>
          <w:rFonts w:ascii="Times New Roman" w:eastAsia="Calibri" w:hAnsi="Times New Roman" w:cs="Times New Roman"/>
          <w:sz w:val="16"/>
          <w:szCs w:val="16"/>
        </w:rPr>
        <w:t xml:space="preserve">, </w:t>
      </w:r>
      <w:r w:rsidRPr="00AE3A00">
        <w:rPr>
          <w:rFonts w:ascii="Times New Roman" w:eastAsia="Calibri" w:hAnsi="Times New Roman" w:cs="Times New Roman"/>
          <w:sz w:val="16"/>
          <w:szCs w:val="16"/>
        </w:rPr>
        <w:t>MAM  = moderate acute malnutrition</w:t>
      </w:r>
      <w:r>
        <w:rPr>
          <w:rFonts w:ascii="Times New Roman" w:eastAsia="Calibri" w:hAnsi="Times New Roman" w:cs="Times New Roman"/>
          <w:sz w:val="16"/>
          <w:szCs w:val="16"/>
        </w:rPr>
        <w:t xml:space="preserve">, </w:t>
      </w:r>
      <w:r w:rsidRPr="00AE3A00">
        <w:rPr>
          <w:rFonts w:ascii="Times New Roman" w:eastAsia="Calibri" w:hAnsi="Times New Roman" w:cs="Times New Roman"/>
          <w:sz w:val="16"/>
          <w:szCs w:val="16"/>
        </w:rPr>
        <w:t>RUTF = ready-to-use therapeutic food</w:t>
      </w:r>
      <w:r>
        <w:rPr>
          <w:rFonts w:ascii="Times New Roman" w:eastAsia="Calibri" w:hAnsi="Times New Roman" w:cs="Times New Roman"/>
          <w:sz w:val="16"/>
          <w:szCs w:val="16"/>
        </w:rPr>
        <w:t xml:space="preserve">, </w:t>
      </w:r>
      <w:r w:rsidRPr="00AE3A00">
        <w:rPr>
          <w:rFonts w:ascii="Times New Roman" w:eastAsia="Calibri" w:hAnsi="Times New Roman" w:cs="Times New Roman"/>
          <w:sz w:val="16"/>
          <w:szCs w:val="16"/>
        </w:rPr>
        <w:t>RUSF=  ready-to-use supplementary food</w:t>
      </w:r>
      <w:r>
        <w:rPr>
          <w:rFonts w:ascii="Times New Roman" w:eastAsia="Calibri" w:hAnsi="Times New Roman" w:cs="Times New Roman"/>
          <w:sz w:val="16"/>
          <w:szCs w:val="16"/>
        </w:rPr>
        <w:t xml:space="preserve">, </w:t>
      </w:r>
      <w:r w:rsidRPr="00FA1EC2">
        <w:rPr>
          <w:rFonts w:ascii="Times New Roman" w:eastAsia="Calibri" w:hAnsi="Times New Roman" w:cs="Times New Roman"/>
          <w:sz w:val="16"/>
          <w:szCs w:val="16"/>
        </w:rPr>
        <w:t>LBW = Low birthweight , VAS = Vitamin A supplement.</w:t>
      </w:r>
    </w:p>
    <w:p w14:paraId="25FFF062" w14:textId="77777777" w:rsidR="00D2197F" w:rsidRDefault="00D2197F"/>
    <w:sectPr w:rsidR="00D2197F" w:rsidSect="0091044E">
      <w:pgSz w:w="15840" w:h="12240" w:orient="landscape"/>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ireya Vilar" w:date="2025-01-22T17:52:00Z" w:initials="MV">
    <w:p w14:paraId="69B934AD" w14:textId="77777777" w:rsidR="0091044E" w:rsidRDefault="0091044E" w:rsidP="0091044E">
      <w:pPr>
        <w:pStyle w:val="CommentText"/>
      </w:pPr>
      <w:r>
        <w:rPr>
          <w:rStyle w:val="CommentReference"/>
        </w:rPr>
        <w:annotationRef/>
      </w:r>
      <w:r>
        <w:t>References of each paper need to be included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9B934AD"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8D1CA48" w16cex:dateUtc="2025-01-22T22:52:00Z">
    <w16cex:extLst>
      <w16:ext w16:uri="{CE6994B0-6A32-4C9F-8C6B-6E91EDA988CE}">
        <cr:reactions xmlns:cr="http://schemas.microsoft.com/office/comments/2020/reactions">
          <cr:reaction reactionType="1">
            <cr:reactionInfo dateUtc="2025-02-26T19:32:54Z">
              <cr:user userId="S::natalia.rovelovelazquez@yale.edu::b679b9fc-81d0-4ea1-a343-c97894f17731" userProvider="AD" userName="Revelo Velazquez, Natalia"/>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9B934AD" w16cid:durableId="28D1CA4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ACFF" w:usb2="00000009" w:usb3="00000000" w:csb0="000001FF" w:csb1="00000000"/>
  </w:font>
  <w:font w:name="Gotham Book">
    <w:altName w:val="Calibri"/>
    <w:charset w:val="00"/>
    <w:family w:val="swiss"/>
    <w:pitch w:val="default"/>
    <w:sig w:usb0="00000003" w:usb1="00000000" w:usb2="00000000" w:usb3="00000000" w:csb0="00000001" w:csb1="00000000"/>
  </w:font>
  <w:font w:name="Gotham Narrow Bold">
    <w:altName w:val="Tahoma"/>
    <w:charset w:val="00"/>
    <w:family w:val="swiss"/>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535553"/>
    <w:multiLevelType w:val="multilevel"/>
    <w:tmpl w:val="4E021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601015"/>
    <w:multiLevelType w:val="multilevel"/>
    <w:tmpl w:val="624A1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874293"/>
    <w:multiLevelType w:val="hybridMultilevel"/>
    <w:tmpl w:val="9FF29D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ADD2093"/>
    <w:multiLevelType w:val="multilevel"/>
    <w:tmpl w:val="A4EA0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B63219A"/>
    <w:multiLevelType w:val="hybridMultilevel"/>
    <w:tmpl w:val="95EADA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39A696E"/>
    <w:multiLevelType w:val="multilevel"/>
    <w:tmpl w:val="DE087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18C69E1"/>
    <w:multiLevelType w:val="multilevel"/>
    <w:tmpl w:val="48288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7F662FA"/>
    <w:multiLevelType w:val="multilevel"/>
    <w:tmpl w:val="C74AD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37182242">
    <w:abstractNumId w:val="5"/>
  </w:num>
  <w:num w:numId="2" w16cid:durableId="1754665692">
    <w:abstractNumId w:val="3"/>
  </w:num>
  <w:num w:numId="3" w16cid:durableId="325013422">
    <w:abstractNumId w:val="7"/>
  </w:num>
  <w:num w:numId="4" w16cid:durableId="1639533765">
    <w:abstractNumId w:val="6"/>
  </w:num>
  <w:num w:numId="5" w16cid:durableId="900021653">
    <w:abstractNumId w:val="4"/>
  </w:num>
  <w:num w:numId="6" w16cid:durableId="949311686">
    <w:abstractNumId w:val="8"/>
  </w:num>
  <w:num w:numId="7" w16cid:durableId="678699935">
    <w:abstractNumId w:val="1"/>
  </w:num>
  <w:num w:numId="8" w16cid:durableId="634146336">
    <w:abstractNumId w:val="2"/>
  </w:num>
  <w:num w:numId="9" w16cid:durableId="44466335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reya Vilar">
    <w15:presenceInfo w15:providerId="AD" w15:userId="S::mvilar@worldbank.org::6d60cc9f-fc62-49d2-8be6-60a99273f0f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44E"/>
    <w:rsid w:val="002C00CA"/>
    <w:rsid w:val="003F29F5"/>
    <w:rsid w:val="004E7DD3"/>
    <w:rsid w:val="00563E94"/>
    <w:rsid w:val="00881F8B"/>
    <w:rsid w:val="008D5540"/>
    <w:rsid w:val="0091044E"/>
    <w:rsid w:val="00D2197F"/>
    <w:rsid w:val="00E71DAF"/>
    <w:rsid w:val="00F7413F"/>
    <w:rsid w:val="00F82B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032D1"/>
  <w15:chartTrackingRefBased/>
  <w15:docId w15:val="{CD4B3B87-D15D-4743-944F-DF79B831D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04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04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04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04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04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04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04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04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04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04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04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04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04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04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04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04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04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044E"/>
    <w:rPr>
      <w:rFonts w:eastAsiaTheme="majorEastAsia" w:cstheme="majorBidi"/>
      <w:color w:val="272727" w:themeColor="text1" w:themeTint="D8"/>
    </w:rPr>
  </w:style>
  <w:style w:type="paragraph" w:styleId="Title">
    <w:name w:val="Title"/>
    <w:basedOn w:val="Normal"/>
    <w:next w:val="Normal"/>
    <w:link w:val="TitleChar"/>
    <w:uiPriority w:val="10"/>
    <w:qFormat/>
    <w:rsid w:val="009104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04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04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04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044E"/>
    <w:pPr>
      <w:spacing w:before="160"/>
      <w:jc w:val="center"/>
    </w:pPr>
    <w:rPr>
      <w:i/>
      <w:iCs/>
      <w:color w:val="404040" w:themeColor="text1" w:themeTint="BF"/>
    </w:rPr>
  </w:style>
  <w:style w:type="character" w:customStyle="1" w:styleId="QuoteChar">
    <w:name w:val="Quote Char"/>
    <w:basedOn w:val="DefaultParagraphFont"/>
    <w:link w:val="Quote"/>
    <w:uiPriority w:val="29"/>
    <w:rsid w:val="0091044E"/>
    <w:rPr>
      <w:i/>
      <w:iCs/>
      <w:color w:val="404040" w:themeColor="text1" w:themeTint="BF"/>
    </w:rPr>
  </w:style>
  <w:style w:type="paragraph" w:styleId="ListParagraph">
    <w:name w:val="List Paragraph"/>
    <w:basedOn w:val="Normal"/>
    <w:uiPriority w:val="34"/>
    <w:qFormat/>
    <w:rsid w:val="0091044E"/>
    <w:pPr>
      <w:ind w:left="720"/>
      <w:contextualSpacing/>
    </w:pPr>
  </w:style>
  <w:style w:type="character" w:styleId="IntenseEmphasis">
    <w:name w:val="Intense Emphasis"/>
    <w:basedOn w:val="DefaultParagraphFont"/>
    <w:uiPriority w:val="21"/>
    <w:qFormat/>
    <w:rsid w:val="0091044E"/>
    <w:rPr>
      <w:i/>
      <w:iCs/>
      <w:color w:val="0F4761" w:themeColor="accent1" w:themeShade="BF"/>
    </w:rPr>
  </w:style>
  <w:style w:type="paragraph" w:styleId="IntenseQuote">
    <w:name w:val="Intense Quote"/>
    <w:basedOn w:val="Normal"/>
    <w:next w:val="Normal"/>
    <w:link w:val="IntenseQuoteChar"/>
    <w:uiPriority w:val="30"/>
    <w:qFormat/>
    <w:rsid w:val="009104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044E"/>
    <w:rPr>
      <w:i/>
      <w:iCs/>
      <w:color w:val="0F4761" w:themeColor="accent1" w:themeShade="BF"/>
    </w:rPr>
  </w:style>
  <w:style w:type="character" w:styleId="IntenseReference">
    <w:name w:val="Intense Reference"/>
    <w:basedOn w:val="DefaultParagraphFont"/>
    <w:uiPriority w:val="32"/>
    <w:qFormat/>
    <w:rsid w:val="0091044E"/>
    <w:rPr>
      <w:b/>
      <w:bCs/>
      <w:smallCaps/>
      <w:color w:val="0F4761" w:themeColor="accent1" w:themeShade="BF"/>
      <w:spacing w:val="5"/>
    </w:rPr>
  </w:style>
  <w:style w:type="character" w:styleId="CommentReference">
    <w:name w:val="annotation reference"/>
    <w:basedOn w:val="DefaultParagraphFont"/>
    <w:uiPriority w:val="99"/>
    <w:semiHidden/>
    <w:unhideWhenUsed/>
    <w:rsid w:val="0091044E"/>
    <w:rPr>
      <w:sz w:val="16"/>
      <w:szCs w:val="16"/>
    </w:rPr>
  </w:style>
  <w:style w:type="paragraph" w:styleId="CommentText">
    <w:name w:val="annotation text"/>
    <w:basedOn w:val="Normal"/>
    <w:link w:val="CommentTextChar"/>
    <w:uiPriority w:val="99"/>
    <w:unhideWhenUsed/>
    <w:rsid w:val="0091044E"/>
    <w:pPr>
      <w:spacing w:line="240" w:lineRule="auto"/>
    </w:pPr>
    <w:rPr>
      <w:sz w:val="20"/>
      <w:szCs w:val="20"/>
    </w:rPr>
  </w:style>
  <w:style w:type="character" w:customStyle="1" w:styleId="CommentTextChar">
    <w:name w:val="Comment Text Char"/>
    <w:basedOn w:val="DefaultParagraphFont"/>
    <w:link w:val="CommentText"/>
    <w:uiPriority w:val="99"/>
    <w:qFormat/>
    <w:rsid w:val="0091044E"/>
    <w:rPr>
      <w:sz w:val="20"/>
      <w:szCs w:val="20"/>
    </w:rPr>
  </w:style>
  <w:style w:type="table" w:styleId="GridTable3">
    <w:name w:val="Grid Table 3"/>
    <w:basedOn w:val="TableNormal"/>
    <w:uiPriority w:val="48"/>
    <w:rsid w:val="0091044E"/>
    <w:pPr>
      <w:spacing w:after="0" w:line="240" w:lineRule="auto"/>
    </w:pPr>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Grid">
    <w:name w:val="Table Grid"/>
    <w:basedOn w:val="TableNormal"/>
    <w:uiPriority w:val="39"/>
    <w:rsid w:val="009104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E7DD3"/>
    <w:pPr>
      <w:spacing w:after="0" w:line="240" w:lineRule="auto"/>
    </w:pPr>
  </w:style>
  <w:style w:type="character" w:styleId="Hyperlink">
    <w:name w:val="Hyperlink"/>
    <w:basedOn w:val="DefaultParagraphFont"/>
    <w:uiPriority w:val="99"/>
    <w:unhideWhenUsed/>
    <w:rsid w:val="004E7DD3"/>
    <w:rPr>
      <w:color w:val="0000FF"/>
      <w:u w:val="single"/>
    </w:rPr>
  </w:style>
  <w:style w:type="paragraph" w:customStyle="1" w:styleId="AuthorList">
    <w:name w:val="Author List"/>
    <w:aliases w:val="Keywords,Abstract"/>
    <w:basedOn w:val="Subtitle"/>
    <w:next w:val="Normal"/>
    <w:uiPriority w:val="1"/>
    <w:qFormat/>
    <w:rsid w:val="004E7DD3"/>
    <w:pPr>
      <w:numPr>
        <w:ilvl w:val="0"/>
      </w:numPr>
      <w:spacing w:before="240" w:after="0" w:line="240" w:lineRule="auto"/>
    </w:pPr>
    <w:rPr>
      <w:rFonts w:ascii="Times New Roman" w:eastAsia="Times New Roman" w:hAnsi="Times New Roman" w:cs="Times New Roman"/>
      <w:b/>
      <w:color w:val="auto"/>
      <w:spacing w:val="0"/>
      <w:kern w:val="0"/>
      <w:sz w:val="24"/>
      <w:szCs w:val="24"/>
      <w:lang w:val="es-MX" w:eastAsia="es-MX"/>
      <w14:ligatures w14:val="none"/>
    </w:rPr>
  </w:style>
  <w:style w:type="character" w:styleId="UnresolvedMention">
    <w:name w:val="Unresolved Mention"/>
    <w:basedOn w:val="DefaultParagraphFont"/>
    <w:uiPriority w:val="99"/>
    <w:semiHidden/>
    <w:unhideWhenUsed/>
    <w:rsid w:val="004E7DD3"/>
    <w:rPr>
      <w:color w:val="605E5C"/>
      <w:shd w:val="clear" w:color="auto" w:fill="E1DFDD"/>
    </w:rPr>
  </w:style>
  <w:style w:type="table" w:customStyle="1" w:styleId="TableGrid1">
    <w:name w:val="Table Grid1"/>
    <w:basedOn w:val="TableNormal"/>
    <w:next w:val="TableGrid"/>
    <w:uiPriority w:val="99"/>
    <w:qFormat/>
    <w:rsid w:val="004E7D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E7D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7DD3"/>
  </w:style>
  <w:style w:type="paragraph" w:styleId="Footer">
    <w:name w:val="footer"/>
    <w:basedOn w:val="Normal"/>
    <w:link w:val="FooterChar"/>
    <w:uiPriority w:val="99"/>
    <w:unhideWhenUsed/>
    <w:rsid w:val="004E7D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7DD3"/>
  </w:style>
  <w:style w:type="paragraph" w:styleId="CommentSubject">
    <w:name w:val="annotation subject"/>
    <w:basedOn w:val="CommentText"/>
    <w:next w:val="CommentText"/>
    <w:link w:val="CommentSubjectChar"/>
    <w:uiPriority w:val="99"/>
    <w:semiHidden/>
    <w:unhideWhenUsed/>
    <w:rsid w:val="004E7DD3"/>
    <w:rPr>
      <w:b/>
      <w:bCs/>
    </w:rPr>
  </w:style>
  <w:style w:type="character" w:customStyle="1" w:styleId="CommentSubjectChar">
    <w:name w:val="Comment Subject Char"/>
    <w:basedOn w:val="CommentTextChar"/>
    <w:link w:val="CommentSubject"/>
    <w:uiPriority w:val="99"/>
    <w:semiHidden/>
    <w:rsid w:val="004E7DD3"/>
    <w:rPr>
      <w:b/>
      <w:bCs/>
      <w:sz w:val="20"/>
      <w:szCs w:val="20"/>
    </w:rPr>
  </w:style>
  <w:style w:type="paragraph" w:customStyle="1" w:styleId="Default">
    <w:name w:val="Default"/>
    <w:rsid w:val="004E7DD3"/>
    <w:pPr>
      <w:widowControl w:val="0"/>
      <w:autoSpaceDE w:val="0"/>
      <w:autoSpaceDN w:val="0"/>
      <w:adjustRightInd w:val="0"/>
      <w:spacing w:after="0" w:line="240" w:lineRule="auto"/>
    </w:pPr>
    <w:rPr>
      <w:rFonts w:ascii="Calibri" w:eastAsia="Times New Roman" w:hAnsi="Calibri" w:cs="Calibri"/>
      <w:color w:val="000000"/>
      <w:kern w:val="0"/>
      <w:sz w:val="24"/>
      <w:szCs w:val="24"/>
      <w:lang w:val="en-CA" w:eastAsia="en-CA"/>
      <w14:ligatures w14:val="none"/>
    </w:rPr>
  </w:style>
  <w:style w:type="paragraph" w:styleId="NormalWeb">
    <w:name w:val="Normal (Web)"/>
    <w:basedOn w:val="Normal"/>
    <w:uiPriority w:val="99"/>
    <w:semiHidden/>
    <w:unhideWhenUsed/>
    <w:rsid w:val="004E7DD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Bibliography">
    <w:name w:val="Bibliography"/>
    <w:basedOn w:val="Normal"/>
    <w:next w:val="Normal"/>
    <w:uiPriority w:val="37"/>
    <w:unhideWhenUsed/>
    <w:rsid w:val="004E7DD3"/>
  </w:style>
  <w:style w:type="paragraph" w:styleId="Caption">
    <w:name w:val="caption"/>
    <w:basedOn w:val="Normal"/>
    <w:next w:val="Normal"/>
    <w:uiPriority w:val="35"/>
    <w:unhideWhenUsed/>
    <w:qFormat/>
    <w:rsid w:val="004E7DD3"/>
    <w:pPr>
      <w:spacing w:after="200" w:line="240" w:lineRule="auto"/>
    </w:pPr>
    <w:rPr>
      <w:rFonts w:ascii="Times New Roman" w:eastAsia="Times New Roman" w:hAnsi="Times New Roman" w:cs="Times New Roman"/>
      <w:i/>
      <w:iCs/>
      <w:color w:val="0E2841" w:themeColor="text2"/>
      <w:kern w:val="0"/>
      <w:sz w:val="18"/>
      <w:szCs w:val="18"/>
      <w14:ligatures w14:val="none"/>
    </w:rPr>
  </w:style>
  <w:style w:type="paragraph" w:customStyle="1" w:styleId="Pa20">
    <w:name w:val="Pa20"/>
    <w:basedOn w:val="Normal"/>
    <w:next w:val="Normal"/>
    <w:uiPriority w:val="99"/>
    <w:rsid w:val="004E7DD3"/>
    <w:pPr>
      <w:autoSpaceDE w:val="0"/>
      <w:autoSpaceDN w:val="0"/>
      <w:adjustRightInd w:val="0"/>
      <w:spacing w:after="0" w:line="181" w:lineRule="atLeast"/>
    </w:pPr>
    <w:rPr>
      <w:rFonts w:ascii="Gotham Book" w:eastAsia="Times New Roman" w:hAnsi="Gotham Book" w:cs="Times New Roman"/>
      <w:kern w:val="0"/>
      <w:sz w:val="24"/>
      <w:szCs w:val="24"/>
      <w14:ligatures w14:val="none"/>
    </w:rPr>
  </w:style>
  <w:style w:type="paragraph" w:customStyle="1" w:styleId="Pa5">
    <w:name w:val="Pa5"/>
    <w:basedOn w:val="Normal"/>
    <w:next w:val="Normal"/>
    <w:uiPriority w:val="99"/>
    <w:rsid w:val="004E7DD3"/>
    <w:pPr>
      <w:autoSpaceDE w:val="0"/>
      <w:autoSpaceDN w:val="0"/>
      <w:adjustRightInd w:val="0"/>
      <w:spacing w:after="0" w:line="181" w:lineRule="atLeast"/>
    </w:pPr>
    <w:rPr>
      <w:rFonts w:ascii="Gotham Narrow Bold" w:eastAsia="Times New Roman" w:hAnsi="Gotham Narrow Bold" w:cs="Times New Roman"/>
      <w:kern w:val="0"/>
      <w:sz w:val="24"/>
      <w:szCs w:val="24"/>
      <w14:ligatures w14:val="none"/>
    </w:rPr>
  </w:style>
  <w:style w:type="paragraph" w:styleId="NoSpacing">
    <w:name w:val="No Spacing"/>
    <w:uiPriority w:val="1"/>
    <w:qFormat/>
    <w:rsid w:val="004E7DD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18997</Words>
  <Characters>108288</Characters>
  <Application>Microsoft Office Word</Application>
  <DocSecurity>4</DocSecurity>
  <Lines>902</Lines>
  <Paragraphs>254</Paragraphs>
  <ScaleCrop>false</ScaleCrop>
  <HeadingPairs>
    <vt:vector size="2" baseType="variant">
      <vt:variant>
        <vt:lpstr>Title</vt:lpstr>
      </vt:variant>
      <vt:variant>
        <vt:i4>1</vt:i4>
      </vt:variant>
    </vt:vector>
  </HeadingPairs>
  <TitlesOfParts>
    <vt:vector size="1" baseType="lpstr">
      <vt:lpstr/>
    </vt:vector>
  </TitlesOfParts>
  <Company>WBG</Company>
  <LinksUpToDate>false</LinksUpToDate>
  <CharactersWithSpaces>127031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Mireya Vilar</dc:creator>
  <cp:keywords/>
  <dc:description/>
  <cp:lastModifiedBy>Mireya Vilar</cp:lastModifiedBy>
  <cp:revision>2</cp:revision>
  <dcterms:created xsi:type="dcterms:W3CDTF">2025-02-28T22:00:00Z</dcterms:created>
  <dcterms:modified xsi:type="dcterms:W3CDTF">2025-02-28T22:00:00Z</dcterms:modified>
</cp:coreProperties>
</file>