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0D93D6">
      <w:pPr>
        <w:rPr>
          <w:rFonts w:ascii="Times New Roman" w:hAnsi="Times New Roman" w:eastAsia="宋体" w:cs="Times New Roman"/>
          <w:color w:val="000000"/>
          <w:kern w:val="0"/>
          <w:sz w:val="20"/>
          <w:szCs w:val="20"/>
          <w:lang w:bidi="ar"/>
        </w:rPr>
      </w:pPr>
      <w:r>
        <w:rPr>
          <w:rFonts w:hint="eastAsia" w:ascii="Times New Roman" w:hAnsi="Times New Roman" w:cs="Times New Roman"/>
          <w:b/>
          <w:bCs/>
          <w:sz w:val="24"/>
          <w:szCs w:val="32"/>
          <w:lang w:val="en-AU" w:eastAsia="en-GB"/>
        </w:rPr>
        <w:t>Supplementary material</w:t>
      </w:r>
    </w:p>
    <w:p w14:paraId="481A6DF9">
      <w:pPr>
        <w:jc w:val="center"/>
        <w:rPr>
          <w:rFonts w:ascii="Times New Roman" w:hAnsi="Times New Roman" w:eastAsia="宋体" w:cs="Times New Roman"/>
          <w:color w:val="000000"/>
          <w:kern w:val="0"/>
          <w:sz w:val="20"/>
          <w:szCs w:val="20"/>
          <w:lang w:bidi="ar"/>
        </w:rPr>
      </w:pPr>
      <w:r>
        <w:rPr>
          <w:rFonts w:ascii="Arial" w:hAnsi="Arial" w:eastAsia="MS Mincho" w:cs="Arial"/>
          <w:color w:val="231F20"/>
          <w:kern w:val="0"/>
          <w:sz w:val="20"/>
          <w:lang w:val="en-AU" w:eastAsia="ja-JP"/>
        </w:rPr>
        <w:drawing>
          <wp:inline distT="0" distB="0" distL="114300" distR="114300">
            <wp:extent cx="3390265" cy="2465705"/>
            <wp:effectExtent l="0" t="0" r="13335" b="23495"/>
            <wp:docPr id="2" name="图片 1" descr="/Users/Administrator1/Desktop/Graph.jpg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Users/Administrator1/Desktop/Graph.jpgGraph"/>
                    <pic:cNvPicPr>
                      <a:picLocks noChangeAspect="1"/>
                    </pic:cNvPicPr>
                  </pic:nvPicPr>
                  <pic:blipFill>
                    <a:blip r:embed="rId4"/>
                    <a:srcRect l="26" r="26"/>
                    <a:stretch>
                      <a:fillRect/>
                    </a:stretch>
                  </pic:blipFill>
                  <pic:spPr>
                    <a:xfrm>
                      <a:off x="0" y="0"/>
                      <a:ext cx="3423981" cy="2465705"/>
                    </a:xfrm>
                    <a:prstGeom prst="rect">
                      <a:avLst/>
                    </a:prstGeom>
                    <a:noFill/>
                    <a:ln>
                      <a:noFill/>
                    </a:ln>
                  </pic:spPr>
                </pic:pic>
              </a:graphicData>
            </a:graphic>
          </wp:inline>
        </w:drawing>
      </w:r>
    </w:p>
    <w:p w14:paraId="298BB618">
      <w:pPr>
        <w:jc w:val="center"/>
        <w:rPr>
          <w:rFonts w:ascii="Times New Roman Regular" w:hAnsi="Times New Roman Regular" w:eastAsia="宋体" w:cs="Times New Roman Regular"/>
          <w:color w:val="000000"/>
          <w:kern w:val="0"/>
          <w:sz w:val="22"/>
          <w:szCs w:val="22"/>
          <w:lang w:bidi="ar"/>
        </w:rPr>
      </w:pPr>
      <w:r>
        <w:rPr>
          <w:rFonts w:ascii="Times New Roman Regular" w:hAnsi="Times New Roman Regular" w:eastAsia="宋体" w:cs="Times New Roman Regular"/>
          <w:b/>
          <w:bCs/>
          <w:color w:val="000000"/>
          <w:kern w:val="0"/>
          <w:sz w:val="22"/>
          <w:szCs w:val="22"/>
          <w:lang w:bidi="ar"/>
        </w:rPr>
        <w:t>Fig. S1</w:t>
      </w:r>
      <w:r>
        <w:rPr>
          <w:rFonts w:ascii="Times New Roman Regular" w:hAnsi="Times New Roman Regular" w:eastAsia="宋体" w:cs="Times New Roman Regular"/>
          <w:color w:val="000000"/>
          <w:kern w:val="0"/>
          <w:sz w:val="22"/>
          <w:szCs w:val="22"/>
          <w:lang w:bidi="ar"/>
        </w:rPr>
        <w:t xml:space="preserve"> Box plots of Surgical OOP Costs between Two Data Groups</w:t>
      </w:r>
    </w:p>
    <w:p w14:paraId="4DA7A154">
      <w:pP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 xml:space="preserve">Based on hospital administrative data, the average surgical OOP cost was RMB 2652(SD: 1983.5) and the median surgical OOP cost was RMB 2049, with interQuintile ranges (IQR) from just over RMB 1,000 to just over RMB 4,000. In contrast, the patient survey data showed a higher average surgical OOP cost (RMB 2848, SD: 2238.1) and a higher median surgical OOP cost (RMB 2535). The IQR was broader, ranging from about RMB 1,000 to nearly RMB 5,000. The p-value for the t-test was 0.161, indicating no statistically significant difference between the surgical OOP costs reported in the hospital administrative data and the patient survey data (Figure </w:t>
      </w:r>
      <w:r>
        <w:rPr>
          <w:rFonts w:ascii="Times New Roman" w:hAnsi="Times New Roman" w:eastAsia="宋体" w:cs="Times New Roman"/>
          <w:color w:val="000000"/>
          <w:kern w:val="0"/>
          <w:sz w:val="20"/>
          <w:szCs w:val="20"/>
          <w:lang w:bidi="ar"/>
        </w:rPr>
        <w:t>S1</w:t>
      </w:r>
      <w:r>
        <w:rPr>
          <w:rFonts w:hint="eastAsia" w:ascii="Times New Roman" w:hAnsi="Times New Roman" w:eastAsia="宋体" w:cs="Times New Roman"/>
          <w:color w:val="000000"/>
          <w:kern w:val="0"/>
          <w:sz w:val="20"/>
          <w:szCs w:val="20"/>
          <w:lang w:bidi="ar"/>
        </w:rPr>
        <w:t>).</w:t>
      </w:r>
    </w:p>
    <w:p w14:paraId="6FD7D8D0"/>
    <w:p w14:paraId="395B42D7"/>
    <w:p w14:paraId="65EA15C0">
      <w:pPr>
        <w:jc w:val="left"/>
        <w:rPr>
          <w:rFonts w:ascii="Times New Roman Regular" w:hAnsi="Times New Roman Regular" w:eastAsia="宋体" w:cs="Times New Roman Regular"/>
          <w:color w:val="000000"/>
          <w:kern w:val="0"/>
          <w:sz w:val="22"/>
          <w:szCs w:val="22"/>
          <w:lang w:eastAsia="ja-JP" w:bidi="ar"/>
        </w:rPr>
      </w:pPr>
      <w:r>
        <w:rPr>
          <w:rFonts w:ascii="Times New Roman Regular" w:hAnsi="Times New Roman Regular" w:eastAsia="宋体" w:cs="Times New Roman Regular"/>
          <w:b/>
          <w:bCs/>
          <w:color w:val="000000"/>
          <w:kern w:val="0"/>
          <w:sz w:val="22"/>
          <w:szCs w:val="22"/>
          <w:lang w:bidi="ar"/>
        </w:rPr>
        <w:t>Table S</w:t>
      </w:r>
      <w:r>
        <w:rPr>
          <w:rFonts w:hint="eastAsia" w:ascii="Times New Roman Regular" w:hAnsi="Times New Roman Regular" w:eastAsia="宋体" w:cs="Times New Roman Regular"/>
          <w:b/>
          <w:bCs/>
          <w:color w:val="000000"/>
          <w:kern w:val="0"/>
          <w:sz w:val="22"/>
          <w:szCs w:val="22"/>
          <w:lang w:bidi="ar"/>
        </w:rPr>
        <w:t>1</w:t>
      </w:r>
      <w:r>
        <w:rPr>
          <w:rFonts w:ascii="Times New Roman Regular" w:hAnsi="Times New Roman Regular" w:eastAsia="宋体" w:cs="Times New Roman Regular"/>
          <w:color w:val="000000"/>
          <w:kern w:val="0"/>
          <w:sz w:val="22"/>
          <w:szCs w:val="22"/>
          <w:lang w:bidi="ar"/>
        </w:rPr>
        <w:t xml:space="preserve"> Overview of China's Health Financing Reforms (2018-Present) and Their Impact on Healthcare Stakeholders</w:t>
      </w:r>
    </w:p>
    <w:tbl>
      <w:tblPr>
        <w:tblStyle w:val="2"/>
        <w:tblW w:w="4997" w:type="pct"/>
        <w:tblInd w:w="0" w:type="dxa"/>
        <w:tblLayout w:type="autofit"/>
        <w:tblCellMar>
          <w:top w:w="0" w:type="dxa"/>
          <w:left w:w="108" w:type="dxa"/>
          <w:bottom w:w="0" w:type="dxa"/>
          <w:right w:w="108" w:type="dxa"/>
        </w:tblCellMar>
      </w:tblPr>
      <w:tblGrid>
        <w:gridCol w:w="728"/>
        <w:gridCol w:w="1305"/>
        <w:gridCol w:w="1993"/>
        <w:gridCol w:w="4491"/>
      </w:tblGrid>
      <w:tr w14:paraId="4CE1F906">
        <w:trPr>
          <w:trHeight w:val="850" w:hRule="atLeast"/>
        </w:trPr>
        <w:tc>
          <w:tcPr>
            <w:tcW w:w="371" w:type="pct"/>
            <w:tcBorders>
              <w:top w:val="single" w:color="000000" w:sz="4" w:space="0"/>
              <w:left w:val="nil"/>
              <w:bottom w:val="single" w:color="000000" w:sz="4" w:space="0"/>
              <w:right w:val="nil"/>
            </w:tcBorders>
            <w:vAlign w:val="center"/>
          </w:tcPr>
          <w:p w14:paraId="1499B979">
            <w:pPr>
              <w:jc w:val="left"/>
              <w:rPr>
                <w:rFonts w:ascii="Times New Roman" w:hAnsi="Times New Roman" w:eastAsia="宋体" w:cs="Times New Roman"/>
                <w:color w:val="000000"/>
                <w:kern w:val="0"/>
                <w:sz w:val="20"/>
                <w:szCs w:val="20"/>
                <w:lang w:val="en-AU" w:eastAsia="ja-JP" w:bidi="ar"/>
              </w:rPr>
            </w:pPr>
            <w:r>
              <w:rPr>
                <w:rFonts w:hint="eastAsia" w:ascii="Times New Roman" w:hAnsi="Times New Roman" w:eastAsia="宋体" w:cs="Times New Roman"/>
                <w:color w:val="000000"/>
                <w:kern w:val="0"/>
                <w:sz w:val="20"/>
                <w:szCs w:val="20"/>
                <w:lang w:bidi="ar"/>
              </w:rPr>
              <w:t>Policy Year</w:t>
            </w:r>
          </w:p>
        </w:tc>
        <w:tc>
          <w:tcPr>
            <w:tcW w:w="648" w:type="pct"/>
            <w:tcBorders>
              <w:top w:val="single" w:color="000000" w:sz="4" w:space="0"/>
              <w:left w:val="nil"/>
              <w:bottom w:val="single" w:color="000000" w:sz="4" w:space="0"/>
              <w:right w:val="nil"/>
            </w:tcBorders>
            <w:vAlign w:val="center"/>
          </w:tcPr>
          <w:p w14:paraId="75D8BA75">
            <w:pPr>
              <w:jc w:val="left"/>
              <w:rPr>
                <w:rFonts w:ascii="Times New Roman" w:hAnsi="Times New Roman" w:eastAsia="宋体" w:cs="Times New Roman"/>
                <w:color w:val="000000"/>
                <w:kern w:val="0"/>
                <w:sz w:val="20"/>
                <w:szCs w:val="20"/>
                <w:lang w:val="en-AU" w:eastAsia="ja-JP" w:bidi="ar"/>
              </w:rPr>
            </w:pPr>
            <w:r>
              <w:rPr>
                <w:rFonts w:hint="eastAsia" w:ascii="Times New Roman" w:hAnsi="Times New Roman" w:eastAsia="宋体" w:cs="Times New Roman"/>
                <w:color w:val="000000"/>
                <w:kern w:val="0"/>
                <w:sz w:val="20"/>
                <w:szCs w:val="20"/>
                <w:lang w:bidi="ar"/>
              </w:rPr>
              <w:t>Reform Priority</w:t>
            </w:r>
          </w:p>
        </w:tc>
        <w:tc>
          <w:tcPr>
            <w:tcW w:w="1257" w:type="pct"/>
            <w:tcBorders>
              <w:top w:val="single" w:color="000000" w:sz="4" w:space="0"/>
              <w:left w:val="nil"/>
              <w:bottom w:val="single" w:color="000000" w:sz="4" w:space="0"/>
              <w:right w:val="nil"/>
            </w:tcBorders>
            <w:vAlign w:val="center"/>
          </w:tcPr>
          <w:p w14:paraId="2EC6C64F">
            <w:pPr>
              <w:jc w:val="left"/>
              <w:rPr>
                <w:rFonts w:ascii="Times New Roman" w:hAnsi="Times New Roman" w:eastAsia="宋体" w:cs="Times New Roman"/>
                <w:color w:val="000000"/>
                <w:kern w:val="0"/>
                <w:sz w:val="20"/>
                <w:szCs w:val="20"/>
                <w:lang w:val="en-AU" w:eastAsia="ja-JP" w:bidi="ar"/>
              </w:rPr>
            </w:pPr>
            <w:r>
              <w:rPr>
                <w:rFonts w:hint="eastAsia" w:ascii="Times New Roman" w:hAnsi="Times New Roman" w:eastAsia="宋体" w:cs="Times New Roman"/>
                <w:color w:val="000000"/>
                <w:kern w:val="0"/>
                <w:sz w:val="20"/>
                <w:szCs w:val="20"/>
                <w:lang w:bidi="ar"/>
              </w:rPr>
              <w:t>Policy Name</w:t>
            </w:r>
          </w:p>
        </w:tc>
        <w:tc>
          <w:tcPr>
            <w:tcW w:w="2723" w:type="pct"/>
            <w:tcBorders>
              <w:top w:val="single" w:color="000000" w:sz="4" w:space="0"/>
              <w:left w:val="nil"/>
              <w:bottom w:val="single" w:color="000000" w:sz="4" w:space="0"/>
              <w:right w:val="nil"/>
            </w:tcBorders>
            <w:vAlign w:val="center"/>
          </w:tcPr>
          <w:p w14:paraId="583E9A0D">
            <w:pPr>
              <w:jc w:val="left"/>
              <w:rPr>
                <w:rFonts w:ascii="Times New Roman" w:hAnsi="Times New Roman" w:eastAsia="宋体" w:cs="Times New Roman"/>
                <w:color w:val="000000"/>
                <w:kern w:val="0"/>
                <w:sz w:val="20"/>
                <w:szCs w:val="20"/>
                <w:lang w:val="en-AU" w:eastAsia="ja-JP" w:bidi="ar"/>
              </w:rPr>
            </w:pPr>
            <w:r>
              <w:rPr>
                <w:rFonts w:hint="eastAsia" w:ascii="Times New Roman" w:hAnsi="Times New Roman" w:eastAsia="宋体" w:cs="Times New Roman"/>
                <w:color w:val="000000"/>
                <w:kern w:val="0"/>
                <w:sz w:val="20"/>
                <w:szCs w:val="20"/>
                <w:lang w:bidi="ar"/>
              </w:rPr>
              <w:t>Policy Description and Potential Impact on Payers, Providers, and Patients</w:t>
            </w:r>
          </w:p>
        </w:tc>
      </w:tr>
      <w:tr w14:paraId="766E0E0E">
        <w:trPr>
          <w:trHeight w:val="1720" w:hRule="atLeast"/>
        </w:trPr>
        <w:tc>
          <w:tcPr>
            <w:tcW w:w="371" w:type="pct"/>
            <w:tcBorders>
              <w:top w:val="nil"/>
              <w:left w:val="nil"/>
              <w:bottom w:val="nil"/>
              <w:right w:val="nil"/>
            </w:tcBorders>
            <w:vAlign w:val="center"/>
          </w:tcPr>
          <w:p w14:paraId="6BBA81CB">
            <w:pPr>
              <w:jc w:val="left"/>
              <w:rPr>
                <w:rFonts w:ascii="Times New Roman" w:hAnsi="Times New Roman" w:eastAsia="宋体" w:cs="Times New Roman"/>
                <w:color w:val="000000"/>
                <w:kern w:val="0"/>
                <w:sz w:val="20"/>
                <w:szCs w:val="20"/>
                <w:lang w:val="en-AU" w:eastAsia="ja-JP" w:bidi="ar"/>
              </w:rPr>
            </w:pPr>
            <w:r>
              <w:rPr>
                <w:rFonts w:hint="eastAsia" w:ascii="Times New Roman" w:hAnsi="Times New Roman" w:eastAsia="宋体" w:cs="Times New Roman"/>
                <w:color w:val="000000"/>
                <w:kern w:val="0"/>
                <w:sz w:val="20"/>
                <w:szCs w:val="20"/>
                <w:lang w:bidi="ar"/>
              </w:rPr>
              <w:t>2018</w:t>
            </w:r>
          </w:p>
        </w:tc>
        <w:tc>
          <w:tcPr>
            <w:tcW w:w="648" w:type="pct"/>
            <w:tcBorders>
              <w:top w:val="nil"/>
              <w:left w:val="nil"/>
              <w:bottom w:val="nil"/>
              <w:right w:val="nil"/>
            </w:tcBorders>
            <w:vAlign w:val="center"/>
          </w:tcPr>
          <w:p w14:paraId="4E725053">
            <w:pPr>
              <w:jc w:val="left"/>
              <w:rPr>
                <w:rFonts w:ascii="Times New Roman" w:hAnsi="Times New Roman" w:eastAsia="宋体" w:cs="Times New Roman"/>
                <w:color w:val="000000"/>
                <w:kern w:val="0"/>
                <w:sz w:val="20"/>
                <w:szCs w:val="20"/>
                <w:lang w:val="en-AU" w:eastAsia="ja-JP" w:bidi="ar"/>
              </w:rPr>
            </w:pPr>
            <w:r>
              <w:rPr>
                <w:rFonts w:hint="eastAsia" w:ascii="Times New Roman" w:hAnsi="Times New Roman" w:eastAsia="宋体" w:cs="Times New Roman"/>
                <w:color w:val="000000"/>
                <w:kern w:val="0"/>
                <w:sz w:val="20"/>
                <w:szCs w:val="20"/>
                <w:lang w:bidi="ar"/>
              </w:rPr>
              <w:t>Health Governance Restructuring</w:t>
            </w:r>
          </w:p>
        </w:tc>
        <w:tc>
          <w:tcPr>
            <w:tcW w:w="1257" w:type="pct"/>
            <w:tcBorders>
              <w:top w:val="nil"/>
              <w:left w:val="nil"/>
              <w:bottom w:val="nil"/>
              <w:right w:val="nil"/>
            </w:tcBorders>
            <w:vAlign w:val="center"/>
          </w:tcPr>
          <w:p w14:paraId="03E59ABD">
            <w:pPr>
              <w:jc w:val="left"/>
              <w:rPr>
                <w:rFonts w:ascii="Times New Roman" w:hAnsi="Times New Roman" w:eastAsia="宋体" w:cs="Times New Roman"/>
                <w:color w:val="000000"/>
                <w:kern w:val="0"/>
                <w:sz w:val="20"/>
                <w:szCs w:val="20"/>
                <w:lang w:val="en-AU" w:eastAsia="ja-JP" w:bidi="ar"/>
              </w:rPr>
            </w:pPr>
            <w:r>
              <w:rPr>
                <w:rFonts w:hint="eastAsia" w:ascii="Times New Roman" w:hAnsi="Times New Roman" w:eastAsia="宋体" w:cs="Times New Roman"/>
                <w:color w:val="000000"/>
                <w:kern w:val="0"/>
                <w:sz w:val="20"/>
                <w:szCs w:val="20"/>
                <w:lang w:bidi="ar"/>
              </w:rPr>
              <w:t>Establishment of the National Healthcare Security Administration (NHSA)</w:t>
            </w:r>
          </w:p>
        </w:tc>
        <w:tc>
          <w:tcPr>
            <w:tcW w:w="2723" w:type="pct"/>
            <w:tcBorders>
              <w:top w:val="nil"/>
              <w:left w:val="nil"/>
              <w:bottom w:val="nil"/>
              <w:right w:val="nil"/>
            </w:tcBorders>
            <w:vAlign w:val="center"/>
          </w:tcPr>
          <w:p w14:paraId="041F6223">
            <w:pPr>
              <w:jc w:val="left"/>
              <w:rPr>
                <w:rFonts w:ascii="Times New Roman" w:hAnsi="Times New Roman" w:eastAsia="宋体" w:cs="Times New Roman"/>
                <w:color w:val="000000"/>
                <w:kern w:val="0"/>
                <w:sz w:val="20"/>
                <w:szCs w:val="20"/>
                <w:lang w:val="en-AU" w:eastAsia="ja-JP" w:bidi="ar"/>
              </w:rPr>
            </w:pPr>
            <w:r>
              <w:rPr>
                <w:rFonts w:hint="eastAsia" w:ascii="Times New Roman" w:hAnsi="Times New Roman" w:eastAsia="宋体" w:cs="Times New Roman"/>
                <w:color w:val="000000"/>
                <w:kern w:val="0"/>
                <w:sz w:val="20"/>
                <w:szCs w:val="20"/>
                <w:lang w:bidi="ar"/>
              </w:rPr>
              <w:t xml:space="preserve">The NHSA not only assumes the administrative responsibility for all social health insurance schemes (UEBMI, the newly merged URRBMI) as well as medical assistance (which provides health security for low-income households), it also incorporates the previously separated purchasing power, including pricing setting, drug and medical consumables procurement, and provider payments (which recently including the implementations of mixed payment for example diagnostic-related-group, DRG). </w:t>
            </w:r>
          </w:p>
        </w:tc>
      </w:tr>
      <w:tr w14:paraId="32875F9B">
        <w:trPr>
          <w:trHeight w:val="850" w:hRule="atLeast"/>
        </w:trPr>
        <w:tc>
          <w:tcPr>
            <w:tcW w:w="371" w:type="pct"/>
            <w:tcBorders>
              <w:top w:val="nil"/>
              <w:left w:val="nil"/>
              <w:bottom w:val="nil"/>
              <w:right w:val="nil"/>
            </w:tcBorders>
            <w:vAlign w:val="center"/>
          </w:tcPr>
          <w:p w14:paraId="06EA786B">
            <w:pPr>
              <w:jc w:val="left"/>
              <w:rPr>
                <w:rFonts w:ascii="Times New Roman" w:hAnsi="Times New Roman" w:eastAsia="宋体" w:cs="Times New Roman"/>
                <w:color w:val="000000"/>
                <w:kern w:val="0"/>
                <w:sz w:val="20"/>
                <w:szCs w:val="20"/>
                <w:lang w:val="en-AU" w:eastAsia="ja-JP" w:bidi="ar"/>
              </w:rPr>
            </w:pPr>
            <w:r>
              <w:rPr>
                <w:rFonts w:hint="eastAsia" w:ascii="Times New Roman" w:hAnsi="Times New Roman" w:eastAsia="宋体" w:cs="Times New Roman"/>
                <w:color w:val="000000"/>
                <w:kern w:val="0"/>
                <w:sz w:val="20"/>
                <w:szCs w:val="20"/>
                <w:lang w:bidi="ar"/>
              </w:rPr>
              <w:t>2018</w:t>
            </w:r>
          </w:p>
        </w:tc>
        <w:tc>
          <w:tcPr>
            <w:tcW w:w="648" w:type="pct"/>
            <w:tcBorders>
              <w:top w:val="nil"/>
              <w:left w:val="nil"/>
              <w:bottom w:val="nil"/>
              <w:right w:val="nil"/>
            </w:tcBorders>
            <w:vAlign w:val="center"/>
          </w:tcPr>
          <w:p w14:paraId="15F1962C">
            <w:pPr>
              <w:jc w:val="left"/>
              <w:rPr>
                <w:rFonts w:ascii="Times New Roman" w:hAnsi="Times New Roman" w:eastAsia="宋体" w:cs="Times New Roman"/>
                <w:color w:val="000000"/>
                <w:kern w:val="0"/>
                <w:sz w:val="20"/>
                <w:szCs w:val="20"/>
                <w:lang w:val="en-AU" w:eastAsia="ja-JP" w:bidi="ar"/>
              </w:rPr>
            </w:pPr>
            <w:r>
              <w:rPr>
                <w:rFonts w:hint="eastAsia" w:ascii="Times New Roman" w:hAnsi="Times New Roman" w:eastAsia="宋体" w:cs="Times New Roman"/>
                <w:color w:val="000000"/>
                <w:kern w:val="0"/>
                <w:sz w:val="20"/>
                <w:szCs w:val="20"/>
                <w:lang w:bidi="ar"/>
              </w:rPr>
              <w:t>Health Governance Restructuring</w:t>
            </w:r>
          </w:p>
        </w:tc>
        <w:tc>
          <w:tcPr>
            <w:tcW w:w="1257" w:type="pct"/>
            <w:tcBorders>
              <w:top w:val="nil"/>
              <w:left w:val="nil"/>
              <w:bottom w:val="nil"/>
              <w:right w:val="nil"/>
            </w:tcBorders>
            <w:vAlign w:val="center"/>
          </w:tcPr>
          <w:p w14:paraId="0D657DB5">
            <w:pPr>
              <w:jc w:val="left"/>
              <w:rPr>
                <w:rFonts w:ascii="Times New Roman" w:hAnsi="Times New Roman" w:eastAsia="宋体" w:cs="Times New Roman"/>
                <w:color w:val="000000"/>
                <w:kern w:val="0"/>
                <w:sz w:val="20"/>
                <w:szCs w:val="20"/>
                <w:lang w:val="en-AU" w:eastAsia="ja-JP" w:bidi="ar"/>
              </w:rPr>
            </w:pPr>
            <w:r>
              <w:rPr>
                <w:rFonts w:hint="eastAsia" w:ascii="Times New Roman" w:hAnsi="Times New Roman" w:eastAsia="宋体" w:cs="Times New Roman"/>
                <w:color w:val="000000"/>
                <w:kern w:val="0"/>
                <w:sz w:val="20"/>
                <w:szCs w:val="20"/>
                <w:lang w:bidi="ar"/>
              </w:rPr>
              <w:t>The National Health Commission(NHC) Role Expansion</w:t>
            </w:r>
          </w:p>
        </w:tc>
        <w:tc>
          <w:tcPr>
            <w:tcW w:w="2723" w:type="pct"/>
            <w:tcBorders>
              <w:top w:val="nil"/>
              <w:left w:val="nil"/>
              <w:bottom w:val="nil"/>
              <w:right w:val="nil"/>
            </w:tcBorders>
            <w:vAlign w:val="center"/>
          </w:tcPr>
          <w:p w14:paraId="25DE2CA7">
            <w:pPr>
              <w:jc w:val="left"/>
              <w:rPr>
                <w:rFonts w:ascii="Times New Roman" w:hAnsi="Times New Roman" w:eastAsia="宋体" w:cs="Times New Roman"/>
                <w:color w:val="000000"/>
                <w:kern w:val="0"/>
                <w:sz w:val="20"/>
                <w:szCs w:val="20"/>
                <w:lang w:val="en-AU" w:eastAsia="ja-JP" w:bidi="ar"/>
              </w:rPr>
            </w:pPr>
            <w:r>
              <w:rPr>
                <w:rFonts w:hint="eastAsia" w:ascii="Times New Roman" w:hAnsi="Times New Roman" w:eastAsia="宋体" w:cs="Times New Roman"/>
                <w:color w:val="000000"/>
                <w:kern w:val="0"/>
                <w:sz w:val="20"/>
                <w:szCs w:val="20"/>
                <w:lang w:bidi="ar"/>
              </w:rPr>
              <w:t>The National Health Commission (originally called the Ministry of Health) continued to plan, administer, and regulate the health-care delivery system while taking on two new areas of responsibility: elderly care and tobacco control.</w:t>
            </w:r>
          </w:p>
        </w:tc>
      </w:tr>
      <w:tr w14:paraId="53122865">
        <w:trPr>
          <w:trHeight w:val="850" w:hRule="atLeast"/>
        </w:trPr>
        <w:tc>
          <w:tcPr>
            <w:tcW w:w="371" w:type="pct"/>
            <w:tcBorders>
              <w:top w:val="nil"/>
              <w:left w:val="nil"/>
              <w:bottom w:val="nil"/>
              <w:right w:val="nil"/>
            </w:tcBorders>
            <w:vAlign w:val="center"/>
          </w:tcPr>
          <w:p w14:paraId="290DB61E">
            <w:pPr>
              <w:jc w:val="left"/>
              <w:rPr>
                <w:rFonts w:ascii="Times New Roman" w:hAnsi="Times New Roman" w:eastAsia="宋体" w:cs="Times New Roman"/>
                <w:color w:val="000000"/>
                <w:kern w:val="0"/>
                <w:sz w:val="20"/>
                <w:szCs w:val="20"/>
                <w:lang w:val="en-AU" w:eastAsia="ja-JP" w:bidi="ar"/>
              </w:rPr>
            </w:pPr>
            <w:r>
              <w:rPr>
                <w:rFonts w:hint="eastAsia" w:ascii="Times New Roman" w:hAnsi="Times New Roman" w:eastAsia="宋体" w:cs="Times New Roman"/>
                <w:color w:val="000000"/>
                <w:kern w:val="0"/>
                <w:sz w:val="20"/>
                <w:szCs w:val="20"/>
                <w:lang w:bidi="ar"/>
              </w:rPr>
              <w:t>2018</w:t>
            </w:r>
          </w:p>
        </w:tc>
        <w:tc>
          <w:tcPr>
            <w:tcW w:w="648" w:type="pct"/>
            <w:tcBorders>
              <w:top w:val="nil"/>
              <w:left w:val="nil"/>
              <w:bottom w:val="nil"/>
              <w:right w:val="nil"/>
            </w:tcBorders>
            <w:vAlign w:val="center"/>
          </w:tcPr>
          <w:p w14:paraId="57F37B9F">
            <w:pPr>
              <w:jc w:val="left"/>
              <w:rPr>
                <w:rFonts w:ascii="Times New Roman" w:hAnsi="Times New Roman" w:eastAsia="宋体" w:cs="Times New Roman"/>
                <w:color w:val="000000"/>
                <w:kern w:val="0"/>
                <w:sz w:val="20"/>
                <w:szCs w:val="20"/>
                <w:lang w:val="en-AU" w:eastAsia="ja-JP" w:bidi="ar"/>
              </w:rPr>
            </w:pPr>
            <w:r>
              <w:rPr>
                <w:rFonts w:hint="eastAsia" w:ascii="Times New Roman" w:hAnsi="Times New Roman" w:eastAsia="宋体" w:cs="Times New Roman"/>
                <w:color w:val="000000"/>
                <w:kern w:val="0"/>
                <w:sz w:val="20"/>
                <w:szCs w:val="20"/>
                <w:lang w:bidi="ar"/>
              </w:rPr>
              <w:t>Public Hospitals</w:t>
            </w:r>
          </w:p>
        </w:tc>
        <w:tc>
          <w:tcPr>
            <w:tcW w:w="1257" w:type="pct"/>
            <w:tcBorders>
              <w:top w:val="nil"/>
              <w:left w:val="nil"/>
              <w:bottom w:val="nil"/>
              <w:right w:val="nil"/>
            </w:tcBorders>
            <w:vAlign w:val="center"/>
          </w:tcPr>
          <w:p w14:paraId="340B0311">
            <w:pPr>
              <w:jc w:val="left"/>
              <w:rPr>
                <w:rFonts w:ascii="Times New Roman" w:hAnsi="Times New Roman" w:eastAsia="宋体" w:cs="Times New Roman"/>
                <w:color w:val="000000"/>
                <w:kern w:val="0"/>
                <w:sz w:val="20"/>
                <w:szCs w:val="20"/>
                <w:lang w:val="en-AU" w:eastAsia="ja-JP" w:bidi="ar"/>
              </w:rPr>
            </w:pPr>
            <w:r>
              <w:rPr>
                <w:rFonts w:hint="eastAsia" w:ascii="Times New Roman" w:hAnsi="Times New Roman" w:eastAsia="宋体" w:cs="Times New Roman"/>
                <w:color w:val="000000"/>
                <w:kern w:val="0"/>
                <w:sz w:val="20"/>
                <w:szCs w:val="20"/>
                <w:lang w:bidi="ar"/>
              </w:rPr>
              <w:t>Cancellation of Drug Mark-ups</w:t>
            </w:r>
          </w:p>
        </w:tc>
        <w:tc>
          <w:tcPr>
            <w:tcW w:w="2723" w:type="pct"/>
            <w:tcBorders>
              <w:top w:val="nil"/>
              <w:left w:val="nil"/>
              <w:bottom w:val="nil"/>
              <w:right w:val="nil"/>
            </w:tcBorders>
            <w:vAlign w:val="center"/>
          </w:tcPr>
          <w:p w14:paraId="503F9A17">
            <w:pPr>
              <w:jc w:val="left"/>
              <w:rPr>
                <w:rFonts w:ascii="Times New Roman" w:hAnsi="Times New Roman" w:eastAsia="宋体" w:cs="Times New Roman"/>
                <w:color w:val="000000"/>
                <w:kern w:val="0"/>
                <w:sz w:val="20"/>
                <w:szCs w:val="20"/>
                <w:lang w:val="en-AU" w:eastAsia="ja-JP" w:bidi="ar"/>
              </w:rPr>
            </w:pPr>
            <w:r>
              <w:rPr>
                <w:rFonts w:hint="eastAsia" w:ascii="Times New Roman" w:hAnsi="Times New Roman" w:eastAsia="宋体" w:cs="Times New Roman"/>
                <w:color w:val="000000"/>
                <w:kern w:val="0"/>
                <w:sz w:val="20"/>
                <w:szCs w:val="20"/>
                <w:lang w:bidi="ar"/>
              </w:rPr>
              <w:t>Public hospitals were prohibited from adding mark-ups to drugs, aiming to reduce out-of-pocket expenses for patients and potentially impacting hospital revenue.</w:t>
            </w:r>
          </w:p>
        </w:tc>
      </w:tr>
      <w:tr w14:paraId="6836EE1C">
        <w:trPr>
          <w:trHeight w:val="850" w:hRule="atLeast"/>
        </w:trPr>
        <w:tc>
          <w:tcPr>
            <w:tcW w:w="371" w:type="pct"/>
            <w:tcBorders>
              <w:top w:val="nil"/>
              <w:left w:val="nil"/>
              <w:bottom w:val="nil"/>
              <w:right w:val="nil"/>
            </w:tcBorders>
            <w:vAlign w:val="center"/>
          </w:tcPr>
          <w:p w14:paraId="14675807">
            <w:pPr>
              <w:jc w:val="left"/>
              <w:rPr>
                <w:rFonts w:ascii="Times New Roman" w:hAnsi="Times New Roman" w:eastAsia="宋体" w:cs="Times New Roman"/>
                <w:color w:val="000000"/>
                <w:kern w:val="0"/>
                <w:sz w:val="20"/>
                <w:szCs w:val="20"/>
                <w:lang w:val="en-AU" w:eastAsia="ja-JP" w:bidi="ar"/>
              </w:rPr>
            </w:pPr>
            <w:r>
              <w:rPr>
                <w:rFonts w:hint="eastAsia" w:ascii="Times New Roman" w:hAnsi="Times New Roman" w:eastAsia="宋体" w:cs="Times New Roman"/>
                <w:color w:val="000000"/>
                <w:kern w:val="0"/>
                <w:sz w:val="20"/>
                <w:szCs w:val="20"/>
                <w:lang w:bidi="ar"/>
              </w:rPr>
              <w:t>2018</w:t>
            </w:r>
          </w:p>
        </w:tc>
        <w:tc>
          <w:tcPr>
            <w:tcW w:w="648" w:type="pct"/>
            <w:tcBorders>
              <w:top w:val="nil"/>
              <w:left w:val="nil"/>
              <w:bottom w:val="nil"/>
              <w:right w:val="nil"/>
            </w:tcBorders>
            <w:vAlign w:val="center"/>
          </w:tcPr>
          <w:p w14:paraId="25D82BF2">
            <w:pPr>
              <w:jc w:val="left"/>
              <w:rPr>
                <w:rFonts w:ascii="Times New Roman" w:hAnsi="Times New Roman" w:eastAsia="宋体" w:cs="Times New Roman"/>
                <w:color w:val="000000"/>
                <w:kern w:val="0"/>
                <w:sz w:val="20"/>
                <w:szCs w:val="20"/>
                <w:lang w:val="en-AU" w:eastAsia="ja-JP" w:bidi="ar"/>
              </w:rPr>
            </w:pPr>
            <w:r>
              <w:rPr>
                <w:rFonts w:hint="eastAsia" w:ascii="Times New Roman" w:hAnsi="Times New Roman" w:eastAsia="宋体" w:cs="Times New Roman"/>
                <w:color w:val="000000"/>
                <w:kern w:val="0"/>
                <w:sz w:val="20"/>
                <w:szCs w:val="20"/>
                <w:lang w:bidi="ar"/>
              </w:rPr>
              <w:t>Essential Medicines</w:t>
            </w:r>
          </w:p>
        </w:tc>
        <w:tc>
          <w:tcPr>
            <w:tcW w:w="1257" w:type="pct"/>
            <w:tcBorders>
              <w:top w:val="nil"/>
              <w:left w:val="nil"/>
              <w:bottom w:val="nil"/>
              <w:right w:val="nil"/>
            </w:tcBorders>
            <w:vAlign w:val="center"/>
          </w:tcPr>
          <w:p w14:paraId="04EBA96E">
            <w:pPr>
              <w:jc w:val="left"/>
              <w:rPr>
                <w:rFonts w:ascii="Times New Roman" w:hAnsi="Times New Roman" w:eastAsia="宋体" w:cs="Times New Roman"/>
                <w:color w:val="000000"/>
                <w:kern w:val="0"/>
                <w:sz w:val="20"/>
                <w:szCs w:val="20"/>
                <w:lang w:val="en-AU" w:eastAsia="ja-JP" w:bidi="ar"/>
              </w:rPr>
            </w:pPr>
            <w:r>
              <w:rPr>
                <w:rFonts w:hint="eastAsia" w:ascii="Times New Roman" w:hAnsi="Times New Roman" w:eastAsia="宋体" w:cs="Times New Roman"/>
                <w:color w:val="000000"/>
                <w:kern w:val="0"/>
                <w:sz w:val="20"/>
                <w:szCs w:val="20"/>
                <w:lang w:bidi="ar"/>
              </w:rPr>
              <w:t>National Volume-Based Procurement Policy</w:t>
            </w:r>
          </w:p>
        </w:tc>
        <w:tc>
          <w:tcPr>
            <w:tcW w:w="2723" w:type="pct"/>
            <w:tcBorders>
              <w:top w:val="nil"/>
              <w:left w:val="nil"/>
              <w:bottom w:val="nil"/>
              <w:right w:val="nil"/>
            </w:tcBorders>
            <w:vAlign w:val="center"/>
          </w:tcPr>
          <w:p w14:paraId="510FB22C">
            <w:pPr>
              <w:jc w:val="left"/>
              <w:rPr>
                <w:rFonts w:ascii="Times New Roman" w:hAnsi="Times New Roman" w:eastAsia="宋体" w:cs="Times New Roman"/>
                <w:color w:val="000000"/>
                <w:kern w:val="0"/>
                <w:sz w:val="20"/>
                <w:szCs w:val="20"/>
                <w:lang w:val="en-AU" w:eastAsia="ja-JP" w:bidi="ar"/>
              </w:rPr>
            </w:pPr>
            <w:r>
              <w:rPr>
                <w:rFonts w:hint="eastAsia" w:ascii="Times New Roman" w:hAnsi="Times New Roman" w:eastAsia="宋体" w:cs="Times New Roman"/>
                <w:color w:val="000000"/>
                <w:kern w:val="0"/>
                <w:sz w:val="20"/>
                <w:szCs w:val="20"/>
                <w:lang w:bidi="ar"/>
              </w:rPr>
              <w:t>Initiated to lower drug prices through bulk purchasing, benefiting patients through reduced costs and challenging providers to maintain quality with reduced drug sale revenue.</w:t>
            </w:r>
          </w:p>
        </w:tc>
      </w:tr>
      <w:tr w14:paraId="5082BD3B">
        <w:trPr>
          <w:trHeight w:val="850" w:hRule="atLeast"/>
        </w:trPr>
        <w:tc>
          <w:tcPr>
            <w:tcW w:w="371" w:type="pct"/>
            <w:tcBorders>
              <w:top w:val="nil"/>
              <w:left w:val="nil"/>
              <w:bottom w:val="nil"/>
              <w:right w:val="nil"/>
            </w:tcBorders>
            <w:vAlign w:val="center"/>
          </w:tcPr>
          <w:p w14:paraId="7D8F6E0C">
            <w:pPr>
              <w:jc w:val="left"/>
              <w:rPr>
                <w:rFonts w:ascii="Times New Roman" w:hAnsi="Times New Roman" w:eastAsia="宋体" w:cs="Times New Roman"/>
                <w:color w:val="000000"/>
                <w:kern w:val="0"/>
                <w:sz w:val="20"/>
                <w:szCs w:val="20"/>
                <w:lang w:val="en-AU" w:eastAsia="ja-JP" w:bidi="ar"/>
              </w:rPr>
            </w:pPr>
            <w:r>
              <w:rPr>
                <w:rFonts w:hint="eastAsia" w:ascii="Times New Roman" w:hAnsi="Times New Roman" w:eastAsia="宋体" w:cs="Times New Roman"/>
                <w:color w:val="000000"/>
                <w:kern w:val="0"/>
                <w:sz w:val="20"/>
                <w:szCs w:val="20"/>
                <w:lang w:bidi="ar"/>
              </w:rPr>
              <w:t>2018</w:t>
            </w:r>
          </w:p>
        </w:tc>
        <w:tc>
          <w:tcPr>
            <w:tcW w:w="648" w:type="pct"/>
            <w:tcBorders>
              <w:top w:val="nil"/>
              <w:left w:val="nil"/>
              <w:bottom w:val="nil"/>
              <w:right w:val="nil"/>
            </w:tcBorders>
            <w:vAlign w:val="center"/>
          </w:tcPr>
          <w:p w14:paraId="7EB81B3E">
            <w:pPr>
              <w:jc w:val="left"/>
              <w:rPr>
                <w:rFonts w:ascii="Times New Roman" w:hAnsi="Times New Roman" w:eastAsia="宋体" w:cs="Times New Roman"/>
                <w:color w:val="000000"/>
                <w:kern w:val="0"/>
                <w:sz w:val="20"/>
                <w:szCs w:val="20"/>
                <w:lang w:val="en-AU" w:eastAsia="ja-JP" w:bidi="ar"/>
              </w:rPr>
            </w:pPr>
            <w:r>
              <w:rPr>
                <w:rFonts w:hint="eastAsia" w:ascii="Times New Roman" w:hAnsi="Times New Roman" w:eastAsia="宋体" w:cs="Times New Roman"/>
                <w:color w:val="000000"/>
                <w:kern w:val="0"/>
                <w:sz w:val="20"/>
                <w:szCs w:val="20"/>
                <w:lang w:bidi="ar"/>
              </w:rPr>
              <w:t>Social Health Security</w:t>
            </w:r>
          </w:p>
        </w:tc>
        <w:tc>
          <w:tcPr>
            <w:tcW w:w="1257" w:type="pct"/>
            <w:tcBorders>
              <w:top w:val="nil"/>
              <w:left w:val="nil"/>
              <w:bottom w:val="nil"/>
              <w:right w:val="nil"/>
            </w:tcBorders>
            <w:vAlign w:val="center"/>
          </w:tcPr>
          <w:p w14:paraId="13857095">
            <w:pPr>
              <w:jc w:val="left"/>
              <w:rPr>
                <w:rFonts w:ascii="Times New Roman" w:hAnsi="Times New Roman" w:eastAsia="宋体" w:cs="Times New Roman"/>
                <w:color w:val="000000"/>
                <w:kern w:val="0"/>
                <w:sz w:val="20"/>
                <w:szCs w:val="20"/>
                <w:lang w:val="en-AU" w:eastAsia="ja-JP" w:bidi="ar"/>
              </w:rPr>
            </w:pPr>
            <w:r>
              <w:rPr>
                <w:rFonts w:hint="eastAsia" w:ascii="Times New Roman" w:hAnsi="Times New Roman" w:eastAsia="宋体" w:cs="Times New Roman"/>
                <w:color w:val="000000"/>
                <w:kern w:val="0"/>
                <w:sz w:val="20"/>
                <w:szCs w:val="20"/>
                <w:lang w:bidi="ar"/>
              </w:rPr>
              <w:t>Diagnostic-Related Group (DRG) Payment Pilot</w:t>
            </w:r>
          </w:p>
        </w:tc>
        <w:tc>
          <w:tcPr>
            <w:tcW w:w="2723" w:type="pct"/>
            <w:tcBorders>
              <w:top w:val="nil"/>
              <w:left w:val="nil"/>
              <w:bottom w:val="nil"/>
              <w:right w:val="nil"/>
            </w:tcBorders>
            <w:vAlign w:val="center"/>
          </w:tcPr>
          <w:p w14:paraId="7BFAFF72">
            <w:pPr>
              <w:jc w:val="left"/>
              <w:rPr>
                <w:rFonts w:ascii="Times New Roman" w:hAnsi="Times New Roman" w:eastAsia="宋体" w:cs="Times New Roman"/>
                <w:color w:val="000000"/>
                <w:kern w:val="0"/>
                <w:sz w:val="20"/>
                <w:szCs w:val="20"/>
                <w:lang w:val="en-AU" w:eastAsia="ja-JP" w:bidi="ar"/>
              </w:rPr>
            </w:pPr>
            <w:r>
              <w:rPr>
                <w:rFonts w:hint="eastAsia" w:ascii="Times New Roman" w:hAnsi="Times New Roman" w:eastAsia="宋体" w:cs="Times New Roman"/>
                <w:color w:val="000000"/>
                <w:kern w:val="0"/>
                <w:sz w:val="20"/>
                <w:szCs w:val="20"/>
                <w:lang w:bidi="ar"/>
              </w:rPr>
              <w:t>Introduced to encourage efficiency and quality in hospital care, impacting providers by incentivizing cost-effective treatment approaches.</w:t>
            </w:r>
          </w:p>
        </w:tc>
      </w:tr>
      <w:tr w14:paraId="4EDACB69">
        <w:trPr>
          <w:trHeight w:val="850" w:hRule="atLeast"/>
        </w:trPr>
        <w:tc>
          <w:tcPr>
            <w:tcW w:w="371" w:type="pct"/>
            <w:tcBorders>
              <w:top w:val="nil"/>
              <w:left w:val="nil"/>
              <w:bottom w:val="nil"/>
              <w:right w:val="nil"/>
            </w:tcBorders>
            <w:vAlign w:val="center"/>
          </w:tcPr>
          <w:p w14:paraId="2381CED5">
            <w:pPr>
              <w:jc w:val="left"/>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2018</w:t>
            </w:r>
          </w:p>
        </w:tc>
        <w:tc>
          <w:tcPr>
            <w:tcW w:w="648" w:type="pct"/>
            <w:tcBorders>
              <w:top w:val="nil"/>
              <w:left w:val="nil"/>
              <w:bottom w:val="nil"/>
              <w:right w:val="nil"/>
            </w:tcBorders>
            <w:vAlign w:val="center"/>
          </w:tcPr>
          <w:p w14:paraId="2B88B8BF">
            <w:pPr>
              <w:jc w:val="left"/>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Eye</w:t>
            </w:r>
          </w:p>
        </w:tc>
        <w:tc>
          <w:tcPr>
            <w:tcW w:w="1257" w:type="pct"/>
            <w:tcBorders>
              <w:top w:val="nil"/>
              <w:left w:val="nil"/>
              <w:bottom w:val="nil"/>
              <w:right w:val="nil"/>
            </w:tcBorders>
            <w:vAlign w:val="center"/>
          </w:tcPr>
          <w:p w14:paraId="74170026">
            <w:pPr>
              <w:jc w:val="left"/>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Bright Eye Project for Cataract Patients</w:t>
            </w:r>
          </w:p>
        </w:tc>
        <w:tc>
          <w:tcPr>
            <w:tcW w:w="2723" w:type="pct"/>
            <w:tcBorders>
              <w:top w:val="nil"/>
              <w:left w:val="nil"/>
              <w:bottom w:val="nil"/>
              <w:right w:val="nil"/>
            </w:tcBorders>
            <w:vAlign w:val="center"/>
          </w:tcPr>
          <w:p w14:paraId="350370C1">
            <w:pPr>
              <w:jc w:val="left"/>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Aims to alleviate the economic pressures of cataract treatment for rural low-income populations by providing financial assistance. As of December 2023, it has become China's largest eye health charity initiative, significantly aiding in cataract treatment and surgery.</w:t>
            </w:r>
          </w:p>
        </w:tc>
      </w:tr>
      <w:tr w14:paraId="4850795F">
        <w:trPr>
          <w:trHeight w:val="850" w:hRule="atLeast"/>
        </w:trPr>
        <w:tc>
          <w:tcPr>
            <w:tcW w:w="371" w:type="pct"/>
            <w:tcBorders>
              <w:top w:val="nil"/>
              <w:left w:val="nil"/>
              <w:bottom w:val="nil"/>
              <w:right w:val="nil"/>
            </w:tcBorders>
            <w:vAlign w:val="center"/>
          </w:tcPr>
          <w:p w14:paraId="1EA464A3">
            <w:pPr>
              <w:jc w:val="left"/>
              <w:rPr>
                <w:rFonts w:ascii="Times New Roman" w:hAnsi="Times New Roman" w:eastAsia="宋体" w:cs="Times New Roman"/>
                <w:color w:val="000000"/>
                <w:kern w:val="0"/>
                <w:sz w:val="20"/>
                <w:szCs w:val="20"/>
                <w:lang w:val="en-AU" w:eastAsia="ja-JP" w:bidi="ar"/>
              </w:rPr>
            </w:pPr>
            <w:r>
              <w:rPr>
                <w:rFonts w:hint="eastAsia" w:ascii="Times New Roman" w:hAnsi="Times New Roman" w:eastAsia="宋体" w:cs="Times New Roman"/>
                <w:color w:val="000000"/>
                <w:kern w:val="0"/>
                <w:sz w:val="20"/>
                <w:szCs w:val="20"/>
                <w:lang w:bidi="ar"/>
              </w:rPr>
              <w:t>2019</w:t>
            </w:r>
          </w:p>
        </w:tc>
        <w:tc>
          <w:tcPr>
            <w:tcW w:w="648" w:type="pct"/>
            <w:tcBorders>
              <w:top w:val="nil"/>
              <w:left w:val="nil"/>
              <w:bottom w:val="nil"/>
              <w:right w:val="nil"/>
            </w:tcBorders>
            <w:vAlign w:val="center"/>
          </w:tcPr>
          <w:p w14:paraId="305367A1">
            <w:pPr>
              <w:jc w:val="left"/>
              <w:rPr>
                <w:rFonts w:ascii="Times New Roman" w:hAnsi="Times New Roman" w:eastAsia="宋体" w:cs="Times New Roman"/>
                <w:color w:val="000000"/>
                <w:kern w:val="0"/>
                <w:sz w:val="20"/>
                <w:szCs w:val="20"/>
                <w:lang w:val="en-AU" w:eastAsia="ja-JP" w:bidi="ar"/>
              </w:rPr>
            </w:pPr>
            <w:r>
              <w:rPr>
                <w:rFonts w:hint="eastAsia" w:ascii="Times New Roman" w:hAnsi="Times New Roman" w:eastAsia="宋体" w:cs="Times New Roman"/>
                <w:color w:val="000000"/>
                <w:kern w:val="0"/>
                <w:sz w:val="20"/>
                <w:szCs w:val="20"/>
                <w:lang w:bidi="ar"/>
              </w:rPr>
              <w:t>Public Hospitals</w:t>
            </w:r>
          </w:p>
        </w:tc>
        <w:tc>
          <w:tcPr>
            <w:tcW w:w="1257" w:type="pct"/>
            <w:tcBorders>
              <w:top w:val="nil"/>
              <w:left w:val="nil"/>
              <w:bottom w:val="nil"/>
              <w:right w:val="nil"/>
            </w:tcBorders>
            <w:vAlign w:val="center"/>
          </w:tcPr>
          <w:p w14:paraId="3A3B460A">
            <w:pPr>
              <w:jc w:val="left"/>
              <w:rPr>
                <w:rFonts w:ascii="Times New Roman" w:hAnsi="Times New Roman" w:eastAsia="宋体" w:cs="Times New Roman"/>
                <w:color w:val="000000"/>
                <w:kern w:val="0"/>
                <w:sz w:val="20"/>
                <w:szCs w:val="20"/>
                <w:lang w:val="en-AU" w:eastAsia="ja-JP" w:bidi="ar"/>
              </w:rPr>
            </w:pPr>
            <w:r>
              <w:rPr>
                <w:rFonts w:hint="eastAsia" w:ascii="Times New Roman" w:hAnsi="Times New Roman" w:eastAsia="宋体" w:cs="Times New Roman"/>
                <w:color w:val="000000"/>
                <w:kern w:val="0"/>
                <w:sz w:val="20"/>
                <w:szCs w:val="20"/>
                <w:lang w:bidi="ar"/>
              </w:rPr>
              <w:t>Zero Markup Policy for Medical Consumables</w:t>
            </w:r>
          </w:p>
        </w:tc>
        <w:tc>
          <w:tcPr>
            <w:tcW w:w="2723" w:type="pct"/>
            <w:tcBorders>
              <w:top w:val="nil"/>
              <w:left w:val="nil"/>
              <w:bottom w:val="nil"/>
              <w:right w:val="nil"/>
            </w:tcBorders>
            <w:vAlign w:val="center"/>
          </w:tcPr>
          <w:p w14:paraId="4CE44BBE">
            <w:pPr>
              <w:jc w:val="left"/>
              <w:rPr>
                <w:rFonts w:ascii="Times New Roman" w:hAnsi="Times New Roman" w:eastAsia="宋体" w:cs="Times New Roman"/>
                <w:color w:val="000000"/>
                <w:kern w:val="0"/>
                <w:sz w:val="20"/>
                <w:szCs w:val="20"/>
                <w:lang w:val="en-AU" w:eastAsia="ja-JP" w:bidi="ar"/>
              </w:rPr>
            </w:pPr>
            <w:r>
              <w:rPr>
                <w:rFonts w:hint="eastAsia" w:ascii="Times New Roman" w:hAnsi="Times New Roman" w:eastAsia="宋体" w:cs="Times New Roman"/>
                <w:color w:val="000000"/>
                <w:kern w:val="0"/>
                <w:sz w:val="20"/>
                <w:szCs w:val="20"/>
                <w:lang w:bidi="ar"/>
              </w:rPr>
              <w:t>Eliminated mark-ups on consumables in all public hospitals, further reducing patient expenses.</w:t>
            </w:r>
          </w:p>
        </w:tc>
      </w:tr>
      <w:tr w14:paraId="1F09299A">
        <w:trPr>
          <w:trHeight w:val="850" w:hRule="atLeast"/>
        </w:trPr>
        <w:tc>
          <w:tcPr>
            <w:tcW w:w="371" w:type="pct"/>
            <w:tcBorders>
              <w:top w:val="nil"/>
              <w:left w:val="nil"/>
              <w:bottom w:val="nil"/>
              <w:right w:val="nil"/>
            </w:tcBorders>
            <w:vAlign w:val="center"/>
          </w:tcPr>
          <w:p w14:paraId="459379BF">
            <w:pPr>
              <w:jc w:val="left"/>
              <w:rPr>
                <w:rFonts w:ascii="Times New Roman" w:hAnsi="Times New Roman" w:eastAsia="宋体" w:cs="Times New Roman"/>
                <w:color w:val="000000"/>
                <w:kern w:val="0"/>
                <w:sz w:val="20"/>
                <w:szCs w:val="20"/>
                <w:lang w:val="en-AU" w:eastAsia="ja-JP" w:bidi="ar"/>
              </w:rPr>
            </w:pPr>
            <w:r>
              <w:rPr>
                <w:rFonts w:hint="eastAsia" w:ascii="Times New Roman" w:hAnsi="Times New Roman" w:eastAsia="宋体" w:cs="Times New Roman"/>
                <w:color w:val="000000"/>
                <w:kern w:val="0"/>
                <w:sz w:val="20"/>
                <w:szCs w:val="20"/>
                <w:lang w:bidi="ar"/>
              </w:rPr>
              <w:t>2019</w:t>
            </w:r>
          </w:p>
        </w:tc>
        <w:tc>
          <w:tcPr>
            <w:tcW w:w="648" w:type="pct"/>
            <w:tcBorders>
              <w:top w:val="nil"/>
              <w:left w:val="nil"/>
              <w:bottom w:val="nil"/>
              <w:right w:val="nil"/>
            </w:tcBorders>
            <w:vAlign w:val="center"/>
          </w:tcPr>
          <w:p w14:paraId="57614CA4">
            <w:pPr>
              <w:jc w:val="left"/>
              <w:rPr>
                <w:rFonts w:ascii="Times New Roman" w:hAnsi="Times New Roman" w:eastAsia="宋体" w:cs="Times New Roman"/>
                <w:color w:val="000000"/>
                <w:kern w:val="0"/>
                <w:sz w:val="20"/>
                <w:szCs w:val="20"/>
                <w:lang w:val="en-AU" w:eastAsia="ja-JP" w:bidi="ar"/>
              </w:rPr>
            </w:pPr>
            <w:r>
              <w:rPr>
                <w:rFonts w:hint="eastAsia" w:ascii="Times New Roman" w:hAnsi="Times New Roman" w:eastAsia="宋体" w:cs="Times New Roman"/>
                <w:color w:val="000000"/>
                <w:kern w:val="0"/>
                <w:sz w:val="20"/>
                <w:szCs w:val="20"/>
                <w:lang w:bidi="ar"/>
              </w:rPr>
              <w:t>Primary Healthcare</w:t>
            </w:r>
          </w:p>
        </w:tc>
        <w:tc>
          <w:tcPr>
            <w:tcW w:w="1257" w:type="pct"/>
            <w:tcBorders>
              <w:top w:val="nil"/>
              <w:left w:val="nil"/>
              <w:bottom w:val="nil"/>
              <w:right w:val="nil"/>
            </w:tcBorders>
            <w:vAlign w:val="center"/>
          </w:tcPr>
          <w:p w14:paraId="3DF177B2">
            <w:pPr>
              <w:jc w:val="left"/>
              <w:rPr>
                <w:rFonts w:ascii="Times New Roman" w:hAnsi="Times New Roman" w:eastAsia="宋体" w:cs="Times New Roman"/>
                <w:color w:val="000000"/>
                <w:kern w:val="0"/>
                <w:sz w:val="20"/>
                <w:szCs w:val="20"/>
                <w:lang w:val="en-AU" w:eastAsia="ja-JP" w:bidi="ar"/>
              </w:rPr>
            </w:pPr>
            <w:r>
              <w:rPr>
                <w:rFonts w:hint="eastAsia" w:ascii="Times New Roman" w:hAnsi="Times New Roman" w:eastAsia="宋体" w:cs="Times New Roman"/>
                <w:color w:val="000000"/>
                <w:kern w:val="0"/>
                <w:sz w:val="20"/>
                <w:szCs w:val="20"/>
                <w:lang w:bidi="ar"/>
              </w:rPr>
              <w:t>Promotion of County Health Systems</w:t>
            </w:r>
          </w:p>
        </w:tc>
        <w:tc>
          <w:tcPr>
            <w:tcW w:w="2723" w:type="pct"/>
            <w:tcBorders>
              <w:top w:val="nil"/>
              <w:left w:val="nil"/>
              <w:bottom w:val="nil"/>
              <w:right w:val="nil"/>
            </w:tcBorders>
            <w:vAlign w:val="center"/>
          </w:tcPr>
          <w:p w14:paraId="64CC4800">
            <w:pPr>
              <w:jc w:val="left"/>
              <w:rPr>
                <w:rFonts w:ascii="Times New Roman" w:hAnsi="Times New Roman" w:eastAsia="宋体" w:cs="Times New Roman"/>
                <w:color w:val="000000"/>
                <w:kern w:val="0"/>
                <w:sz w:val="20"/>
                <w:szCs w:val="20"/>
                <w:lang w:val="en-AU" w:eastAsia="ja-JP" w:bidi="ar"/>
              </w:rPr>
            </w:pPr>
            <w:r>
              <w:rPr>
                <w:rFonts w:hint="eastAsia" w:ascii="Times New Roman" w:hAnsi="Times New Roman" w:eastAsia="宋体" w:cs="Times New Roman"/>
                <w:color w:val="000000"/>
                <w:kern w:val="0"/>
                <w:sz w:val="20"/>
                <w:szCs w:val="20"/>
                <w:lang w:bidi="ar"/>
              </w:rPr>
              <w:t>Aims to strengthen local health services and access, supporting patients in rural areas but presenting challenges and opportunities for healthcare providers to integrate services.</w:t>
            </w:r>
          </w:p>
        </w:tc>
      </w:tr>
      <w:tr w14:paraId="1CD29631">
        <w:trPr>
          <w:trHeight w:val="850" w:hRule="atLeast"/>
        </w:trPr>
        <w:tc>
          <w:tcPr>
            <w:tcW w:w="371" w:type="pct"/>
            <w:tcBorders>
              <w:top w:val="nil"/>
              <w:left w:val="nil"/>
              <w:bottom w:val="nil"/>
              <w:right w:val="nil"/>
            </w:tcBorders>
            <w:vAlign w:val="center"/>
          </w:tcPr>
          <w:p w14:paraId="4B38FB73">
            <w:pPr>
              <w:jc w:val="left"/>
              <w:rPr>
                <w:rFonts w:ascii="Times New Roman" w:hAnsi="Times New Roman" w:eastAsia="宋体" w:cs="Times New Roman"/>
                <w:color w:val="000000"/>
                <w:kern w:val="0"/>
                <w:sz w:val="20"/>
                <w:szCs w:val="20"/>
                <w:lang w:val="en-AU" w:eastAsia="ja-JP" w:bidi="ar"/>
              </w:rPr>
            </w:pPr>
            <w:r>
              <w:rPr>
                <w:rFonts w:hint="eastAsia" w:ascii="Times New Roman" w:hAnsi="Times New Roman" w:eastAsia="宋体" w:cs="Times New Roman"/>
                <w:color w:val="000000"/>
                <w:kern w:val="0"/>
                <w:sz w:val="20"/>
                <w:szCs w:val="20"/>
                <w:lang w:bidi="ar"/>
              </w:rPr>
              <w:t>2020</w:t>
            </w:r>
          </w:p>
        </w:tc>
        <w:tc>
          <w:tcPr>
            <w:tcW w:w="648" w:type="pct"/>
            <w:tcBorders>
              <w:top w:val="nil"/>
              <w:left w:val="nil"/>
              <w:bottom w:val="nil"/>
              <w:right w:val="nil"/>
            </w:tcBorders>
            <w:vAlign w:val="center"/>
          </w:tcPr>
          <w:p w14:paraId="5665253A">
            <w:pPr>
              <w:jc w:val="left"/>
              <w:rPr>
                <w:rFonts w:ascii="Times New Roman" w:hAnsi="Times New Roman" w:eastAsia="宋体" w:cs="Times New Roman"/>
                <w:color w:val="000000"/>
                <w:kern w:val="0"/>
                <w:sz w:val="20"/>
                <w:szCs w:val="20"/>
                <w:lang w:val="en-AU" w:eastAsia="ja-JP" w:bidi="ar"/>
              </w:rPr>
            </w:pPr>
            <w:r>
              <w:rPr>
                <w:rFonts w:hint="eastAsia" w:ascii="Times New Roman" w:hAnsi="Times New Roman" w:eastAsia="宋体" w:cs="Times New Roman"/>
                <w:color w:val="000000"/>
                <w:kern w:val="0"/>
                <w:sz w:val="20"/>
                <w:szCs w:val="20"/>
                <w:lang w:bidi="ar"/>
              </w:rPr>
              <w:t>Essential Medicines</w:t>
            </w:r>
          </w:p>
        </w:tc>
        <w:tc>
          <w:tcPr>
            <w:tcW w:w="1257" w:type="pct"/>
            <w:tcBorders>
              <w:top w:val="nil"/>
              <w:left w:val="nil"/>
              <w:bottom w:val="nil"/>
              <w:right w:val="nil"/>
            </w:tcBorders>
            <w:vAlign w:val="center"/>
          </w:tcPr>
          <w:p w14:paraId="18CBB5CA">
            <w:pPr>
              <w:jc w:val="left"/>
              <w:rPr>
                <w:rFonts w:ascii="Times New Roman" w:hAnsi="Times New Roman" w:eastAsia="宋体" w:cs="Times New Roman"/>
                <w:color w:val="000000"/>
                <w:kern w:val="0"/>
                <w:sz w:val="20"/>
                <w:szCs w:val="20"/>
                <w:lang w:val="en-AU" w:eastAsia="ja-JP" w:bidi="ar"/>
              </w:rPr>
            </w:pPr>
            <w:r>
              <w:rPr>
                <w:rFonts w:hint="eastAsia" w:ascii="Times New Roman" w:hAnsi="Times New Roman" w:eastAsia="宋体" w:cs="Times New Roman"/>
                <w:color w:val="000000"/>
                <w:kern w:val="0"/>
                <w:sz w:val="20"/>
                <w:szCs w:val="20"/>
                <w:lang w:bidi="ar"/>
              </w:rPr>
              <w:t>High-Value Medical Consumables National Procurement</w:t>
            </w:r>
          </w:p>
        </w:tc>
        <w:tc>
          <w:tcPr>
            <w:tcW w:w="2723" w:type="pct"/>
            <w:tcBorders>
              <w:top w:val="nil"/>
              <w:left w:val="nil"/>
              <w:bottom w:val="nil"/>
              <w:right w:val="nil"/>
            </w:tcBorders>
            <w:vAlign w:val="center"/>
          </w:tcPr>
          <w:p w14:paraId="491425C7">
            <w:pPr>
              <w:jc w:val="left"/>
              <w:rPr>
                <w:rFonts w:ascii="Times New Roman" w:hAnsi="Times New Roman" w:eastAsia="宋体" w:cs="Times New Roman"/>
                <w:color w:val="000000"/>
                <w:kern w:val="0"/>
                <w:sz w:val="20"/>
                <w:szCs w:val="20"/>
                <w:lang w:val="en-AU" w:eastAsia="ja-JP" w:bidi="ar"/>
              </w:rPr>
            </w:pPr>
            <w:r>
              <w:rPr>
                <w:rFonts w:hint="eastAsia" w:ascii="Times New Roman" w:hAnsi="Times New Roman" w:eastAsia="宋体" w:cs="Times New Roman"/>
                <w:color w:val="000000"/>
                <w:kern w:val="0"/>
                <w:sz w:val="20"/>
                <w:szCs w:val="20"/>
                <w:lang w:bidi="ar"/>
              </w:rPr>
              <w:t>Aimed to lower costs for high-value consumables, affecting both provider financials and patient out-of-pocket costs.</w:t>
            </w:r>
          </w:p>
        </w:tc>
      </w:tr>
      <w:tr w14:paraId="46FAB8B8">
        <w:trPr>
          <w:trHeight w:val="850" w:hRule="atLeast"/>
        </w:trPr>
        <w:tc>
          <w:tcPr>
            <w:tcW w:w="371" w:type="pct"/>
            <w:tcBorders>
              <w:top w:val="nil"/>
              <w:left w:val="nil"/>
              <w:bottom w:val="nil"/>
              <w:right w:val="nil"/>
            </w:tcBorders>
            <w:vAlign w:val="center"/>
          </w:tcPr>
          <w:p w14:paraId="0B324433">
            <w:pPr>
              <w:jc w:val="left"/>
              <w:rPr>
                <w:rFonts w:ascii="Times New Roman" w:hAnsi="Times New Roman" w:eastAsia="宋体" w:cs="Times New Roman"/>
                <w:color w:val="000000"/>
                <w:kern w:val="0"/>
                <w:sz w:val="20"/>
                <w:szCs w:val="20"/>
                <w:lang w:val="en-AU" w:eastAsia="ja-JP" w:bidi="ar"/>
              </w:rPr>
            </w:pPr>
            <w:r>
              <w:rPr>
                <w:rFonts w:hint="eastAsia" w:ascii="Times New Roman" w:hAnsi="Times New Roman" w:eastAsia="宋体" w:cs="Times New Roman"/>
                <w:color w:val="000000"/>
                <w:kern w:val="0"/>
                <w:sz w:val="20"/>
                <w:szCs w:val="20"/>
                <w:lang w:bidi="ar"/>
              </w:rPr>
              <w:t>2020</w:t>
            </w:r>
          </w:p>
        </w:tc>
        <w:tc>
          <w:tcPr>
            <w:tcW w:w="648" w:type="pct"/>
            <w:tcBorders>
              <w:top w:val="nil"/>
              <w:left w:val="nil"/>
              <w:bottom w:val="nil"/>
              <w:right w:val="nil"/>
            </w:tcBorders>
            <w:vAlign w:val="center"/>
          </w:tcPr>
          <w:p w14:paraId="7ECF42CF">
            <w:pPr>
              <w:jc w:val="left"/>
              <w:rPr>
                <w:rFonts w:ascii="Times New Roman" w:hAnsi="Times New Roman" w:eastAsia="宋体" w:cs="Times New Roman"/>
                <w:color w:val="000000"/>
                <w:kern w:val="0"/>
                <w:sz w:val="20"/>
                <w:szCs w:val="20"/>
                <w:lang w:val="en-AU" w:eastAsia="ja-JP" w:bidi="ar"/>
              </w:rPr>
            </w:pPr>
            <w:r>
              <w:rPr>
                <w:rFonts w:hint="eastAsia" w:ascii="Times New Roman" w:hAnsi="Times New Roman" w:eastAsia="宋体" w:cs="Times New Roman"/>
                <w:color w:val="000000"/>
                <w:kern w:val="0"/>
                <w:sz w:val="20"/>
                <w:szCs w:val="20"/>
                <w:lang w:bidi="ar"/>
              </w:rPr>
              <w:t>Social Health Security</w:t>
            </w:r>
          </w:p>
        </w:tc>
        <w:tc>
          <w:tcPr>
            <w:tcW w:w="1257" w:type="pct"/>
            <w:tcBorders>
              <w:top w:val="nil"/>
              <w:left w:val="nil"/>
              <w:bottom w:val="nil"/>
              <w:right w:val="nil"/>
            </w:tcBorders>
            <w:vAlign w:val="center"/>
          </w:tcPr>
          <w:p w14:paraId="3ABA18C2">
            <w:pPr>
              <w:jc w:val="left"/>
              <w:rPr>
                <w:rFonts w:ascii="Times New Roman" w:hAnsi="Times New Roman" w:eastAsia="宋体" w:cs="Times New Roman"/>
                <w:color w:val="000000"/>
                <w:kern w:val="0"/>
                <w:sz w:val="20"/>
                <w:szCs w:val="20"/>
                <w:lang w:val="en-AU" w:eastAsia="ja-JP" w:bidi="ar"/>
              </w:rPr>
            </w:pPr>
            <w:r>
              <w:rPr>
                <w:rFonts w:hint="eastAsia" w:ascii="Times New Roman" w:hAnsi="Times New Roman" w:eastAsia="宋体" w:cs="Times New Roman"/>
                <w:color w:val="000000"/>
                <w:kern w:val="0"/>
                <w:sz w:val="20"/>
                <w:szCs w:val="20"/>
                <w:lang w:bidi="ar"/>
              </w:rPr>
              <w:t>DRG Payment for Urban Medical Insurance</w:t>
            </w:r>
          </w:p>
        </w:tc>
        <w:tc>
          <w:tcPr>
            <w:tcW w:w="2723" w:type="pct"/>
            <w:tcBorders>
              <w:top w:val="nil"/>
              <w:left w:val="nil"/>
              <w:bottom w:val="nil"/>
              <w:right w:val="nil"/>
            </w:tcBorders>
            <w:vAlign w:val="center"/>
          </w:tcPr>
          <w:p w14:paraId="3D6CE285">
            <w:pPr>
              <w:jc w:val="left"/>
              <w:rPr>
                <w:rFonts w:ascii="Times New Roman" w:hAnsi="Times New Roman" w:eastAsia="宋体" w:cs="Times New Roman"/>
                <w:color w:val="000000"/>
                <w:kern w:val="0"/>
                <w:sz w:val="20"/>
                <w:szCs w:val="20"/>
                <w:lang w:val="en-AU" w:eastAsia="ja-JP" w:bidi="ar"/>
              </w:rPr>
            </w:pPr>
            <w:r>
              <w:rPr>
                <w:rFonts w:hint="eastAsia" w:ascii="Times New Roman" w:hAnsi="Times New Roman" w:eastAsia="宋体" w:cs="Times New Roman"/>
                <w:color w:val="000000"/>
                <w:kern w:val="0"/>
                <w:sz w:val="20"/>
                <w:szCs w:val="20"/>
                <w:lang w:bidi="ar"/>
              </w:rPr>
              <w:t>Expanded the use of DRG payment systems to urban areas, affecting how providers manage care and billing.</w:t>
            </w:r>
          </w:p>
        </w:tc>
      </w:tr>
      <w:tr w14:paraId="5AE4A4D2">
        <w:trPr>
          <w:trHeight w:val="850" w:hRule="atLeast"/>
        </w:trPr>
        <w:tc>
          <w:tcPr>
            <w:tcW w:w="371" w:type="pct"/>
            <w:tcBorders>
              <w:top w:val="nil"/>
              <w:left w:val="nil"/>
              <w:bottom w:val="single" w:color="000000" w:sz="4" w:space="0"/>
              <w:right w:val="nil"/>
            </w:tcBorders>
            <w:vAlign w:val="center"/>
          </w:tcPr>
          <w:p w14:paraId="57BB2202">
            <w:pPr>
              <w:jc w:val="left"/>
              <w:rPr>
                <w:rFonts w:ascii="Times New Roman" w:hAnsi="Times New Roman" w:eastAsia="宋体" w:cs="Times New Roman"/>
                <w:color w:val="000000"/>
                <w:kern w:val="0"/>
                <w:sz w:val="20"/>
                <w:szCs w:val="20"/>
                <w:lang w:val="en-AU" w:eastAsia="ja-JP" w:bidi="ar"/>
              </w:rPr>
            </w:pPr>
            <w:r>
              <w:rPr>
                <w:rFonts w:hint="eastAsia" w:ascii="Times New Roman" w:hAnsi="Times New Roman" w:eastAsia="宋体" w:cs="Times New Roman"/>
                <w:color w:val="000000"/>
                <w:kern w:val="0"/>
                <w:sz w:val="20"/>
                <w:szCs w:val="20"/>
                <w:lang w:bidi="ar"/>
              </w:rPr>
              <w:t>2022</w:t>
            </w:r>
          </w:p>
        </w:tc>
        <w:tc>
          <w:tcPr>
            <w:tcW w:w="648" w:type="pct"/>
            <w:tcBorders>
              <w:top w:val="nil"/>
              <w:left w:val="nil"/>
              <w:bottom w:val="single" w:color="000000" w:sz="4" w:space="0"/>
              <w:right w:val="nil"/>
            </w:tcBorders>
            <w:vAlign w:val="center"/>
          </w:tcPr>
          <w:p w14:paraId="5D1F309F">
            <w:pPr>
              <w:jc w:val="left"/>
              <w:rPr>
                <w:rFonts w:ascii="Times New Roman" w:hAnsi="Times New Roman" w:eastAsia="宋体" w:cs="Times New Roman"/>
                <w:color w:val="000000"/>
                <w:kern w:val="0"/>
                <w:sz w:val="20"/>
                <w:szCs w:val="20"/>
                <w:lang w:val="en-AU" w:eastAsia="ja-JP" w:bidi="ar"/>
              </w:rPr>
            </w:pPr>
            <w:r>
              <w:rPr>
                <w:rFonts w:hint="eastAsia" w:ascii="Times New Roman" w:hAnsi="Times New Roman" w:eastAsia="宋体" w:cs="Times New Roman"/>
                <w:color w:val="000000"/>
                <w:kern w:val="0"/>
                <w:sz w:val="20"/>
                <w:szCs w:val="20"/>
                <w:lang w:bidi="ar"/>
              </w:rPr>
              <w:t>Eye</w:t>
            </w:r>
          </w:p>
        </w:tc>
        <w:tc>
          <w:tcPr>
            <w:tcW w:w="1257" w:type="pct"/>
            <w:tcBorders>
              <w:top w:val="nil"/>
              <w:left w:val="nil"/>
              <w:bottom w:val="single" w:color="000000" w:sz="4" w:space="0"/>
              <w:right w:val="nil"/>
            </w:tcBorders>
            <w:vAlign w:val="center"/>
          </w:tcPr>
          <w:p w14:paraId="7360A05F">
            <w:pPr>
              <w:jc w:val="left"/>
              <w:rPr>
                <w:rFonts w:ascii="Times New Roman" w:hAnsi="Times New Roman" w:eastAsia="宋体" w:cs="Times New Roman"/>
                <w:color w:val="000000"/>
                <w:kern w:val="0"/>
                <w:sz w:val="20"/>
                <w:szCs w:val="20"/>
                <w:lang w:val="en-AU" w:eastAsia="ja-JP" w:bidi="ar"/>
              </w:rPr>
            </w:pPr>
            <w:r>
              <w:rPr>
                <w:rFonts w:hint="eastAsia" w:ascii="Times New Roman" w:hAnsi="Times New Roman" w:eastAsia="宋体" w:cs="Times New Roman"/>
                <w:color w:val="000000"/>
                <w:kern w:val="0"/>
                <w:sz w:val="20"/>
                <w:szCs w:val="20"/>
                <w:lang w:bidi="ar"/>
              </w:rPr>
              <w:t>China Eye Health Plan</w:t>
            </w:r>
          </w:p>
        </w:tc>
        <w:tc>
          <w:tcPr>
            <w:tcW w:w="2723" w:type="pct"/>
            <w:tcBorders>
              <w:top w:val="nil"/>
              <w:left w:val="nil"/>
              <w:bottom w:val="single" w:color="000000" w:sz="4" w:space="0"/>
              <w:right w:val="nil"/>
            </w:tcBorders>
            <w:vAlign w:val="center"/>
          </w:tcPr>
          <w:p w14:paraId="7A86BA65">
            <w:pPr>
              <w:jc w:val="left"/>
              <w:rPr>
                <w:rFonts w:ascii="Times New Roman" w:hAnsi="Times New Roman" w:eastAsia="宋体" w:cs="Times New Roman"/>
                <w:color w:val="000000"/>
                <w:kern w:val="0"/>
                <w:sz w:val="20"/>
                <w:szCs w:val="20"/>
                <w:lang w:val="en-AU" w:eastAsia="ja-JP" w:bidi="ar"/>
              </w:rPr>
            </w:pPr>
            <w:r>
              <w:rPr>
                <w:rFonts w:hint="eastAsia" w:ascii="Times New Roman" w:hAnsi="Times New Roman" w:eastAsia="宋体" w:cs="Times New Roman"/>
                <w:color w:val="000000"/>
                <w:kern w:val="0"/>
                <w:sz w:val="20"/>
                <w:szCs w:val="20"/>
                <w:lang w:bidi="ar"/>
              </w:rPr>
              <w:t>Focused on improving eye health services across the country, with specific implications for enhancing access and reducing financial burdens for eye care patients.</w:t>
            </w:r>
          </w:p>
        </w:tc>
      </w:tr>
    </w:tbl>
    <w:p w14:paraId="59AC7FB6">
      <w:pPr>
        <w:rPr>
          <w:rFonts w:ascii="Times New Roman" w:hAnsi="Times New Roman" w:cs="Times New Roman"/>
        </w:rPr>
      </w:pPr>
    </w:p>
    <w:p w14:paraId="02779D04">
      <w:pPr>
        <w:rPr>
          <w:rFonts w:ascii="Times New Roman" w:hAnsi="Times New Roman" w:cs="Times New Roman"/>
        </w:rPr>
      </w:pPr>
    </w:p>
    <w:p w14:paraId="0914F14F">
      <w:pPr>
        <w:rPr>
          <w:rFonts w:ascii="Times New Roman" w:hAnsi="Times New Roman" w:cs="Times New Roman"/>
        </w:rPr>
      </w:pPr>
    </w:p>
    <w:p w14:paraId="5FDEDCA6">
      <w:pPr>
        <w:rPr>
          <w:rFonts w:ascii="Times New Roman" w:hAnsi="Times New Roman" w:cs="Times New Roman"/>
        </w:rPr>
      </w:pPr>
    </w:p>
    <w:p w14:paraId="0086F233">
      <w:pPr>
        <w:rPr>
          <w:rFonts w:ascii="Times New Roman" w:hAnsi="Times New Roman" w:cs="Times New Roman"/>
        </w:rPr>
      </w:pPr>
    </w:p>
    <w:p w14:paraId="6828F1E0">
      <w:pPr>
        <w:rPr>
          <w:rFonts w:ascii="Times New Roman" w:hAnsi="Times New Roman" w:cs="Times New Roman"/>
        </w:rPr>
      </w:pPr>
    </w:p>
    <w:p w14:paraId="144C5718">
      <w:pPr>
        <w:rPr>
          <w:rFonts w:ascii="Times New Roman" w:hAnsi="Times New Roman" w:cs="Times New Roman"/>
        </w:rPr>
      </w:pPr>
    </w:p>
    <w:p w14:paraId="521C5A27">
      <w:pPr>
        <w:widowControl/>
        <w:adjustRightInd w:val="0"/>
        <w:snapToGrid w:val="0"/>
        <w:spacing w:after="113" w:line="280" w:lineRule="atLeast"/>
        <w:jc w:val="center"/>
      </w:pPr>
      <w:r>
        <w:drawing>
          <wp:inline distT="0" distB="0" distL="114300" distR="114300">
            <wp:extent cx="4071620" cy="2373630"/>
            <wp:effectExtent l="6350" t="6350" r="11430" b="7620"/>
            <wp:docPr id="1"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4CC9DF25">
      <w:pPr>
        <w:jc w:val="center"/>
        <w:rPr>
          <w:rFonts w:ascii="Times New Roman" w:hAnsi="Times New Roman" w:eastAsia="宋体" w:cs="Times New Roman"/>
          <w:color w:val="000000"/>
          <w:kern w:val="0"/>
          <w:sz w:val="22"/>
          <w:szCs w:val="22"/>
          <w:lang w:bidi="ar"/>
        </w:rPr>
      </w:pPr>
      <w:r>
        <w:rPr>
          <w:rFonts w:ascii="Times New Roman Bold" w:hAnsi="Times New Roman Bold" w:eastAsia="宋体" w:cs="Times New Roman Bold"/>
          <w:b/>
          <w:bCs/>
          <w:color w:val="000000"/>
          <w:kern w:val="0"/>
          <w:sz w:val="22"/>
          <w:szCs w:val="22"/>
          <w:lang w:bidi="ar"/>
        </w:rPr>
        <w:t>Fig. S3</w:t>
      </w:r>
      <w:r>
        <w:rPr>
          <w:rFonts w:hint="eastAsia" w:ascii="Times New Roman" w:hAnsi="Times New Roman" w:eastAsia="宋体" w:cs="Times New Roman"/>
          <w:color w:val="000000"/>
          <w:kern w:val="0"/>
          <w:sz w:val="22"/>
          <w:szCs w:val="22"/>
          <w:lang w:bidi="ar"/>
        </w:rPr>
        <w:t xml:space="preserve"> Average inpatient medical expenses distribution of cataract surgery, 2013-2021</w:t>
      </w:r>
    </w:p>
    <w:p w14:paraId="76BD6D13">
      <w:pPr>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Source: China National Health Statistical Yearbook</w:t>
      </w:r>
    </w:p>
    <w:p w14:paraId="6A482A11">
      <w:pPr>
        <w:jc w:val="left"/>
        <w:rPr>
          <w:rFonts w:ascii="Times New Roman Regular" w:hAnsi="Times New Roman Regular" w:cs="Times New Roman Regular"/>
          <w:sz w:val="20"/>
          <w:szCs w:val="20"/>
        </w:rPr>
      </w:pPr>
    </w:p>
    <w:p w14:paraId="2057D68D">
      <w:pPr>
        <w:jc w:val="left"/>
        <w:rPr>
          <w:rFonts w:ascii="Times New Roman Regular" w:hAnsi="Times New Roman Regular" w:cs="Times New Roman Regular"/>
          <w:sz w:val="20"/>
          <w:szCs w:val="20"/>
        </w:rPr>
        <w:sectPr>
          <w:pgSz w:w="11906" w:h="16838"/>
          <w:pgMar w:top="1440" w:right="1800" w:bottom="1440" w:left="1800" w:header="851" w:footer="992" w:gutter="0"/>
          <w:cols w:space="425" w:num="1"/>
          <w:docGrid w:type="lines" w:linePitch="312" w:charSpace="0"/>
        </w:sectPr>
      </w:pPr>
    </w:p>
    <w:p w14:paraId="62E8C9A4">
      <w:pPr>
        <w:jc w:val="left"/>
        <w:rPr>
          <w:rFonts w:ascii="Times New Roman Regular" w:hAnsi="Times New Roman Regular" w:cs="Times New Roman Regular"/>
          <w:sz w:val="20"/>
          <w:szCs w:val="20"/>
        </w:rPr>
      </w:pPr>
    </w:p>
    <w:p w14:paraId="0D068021">
      <w:pPr>
        <w:jc w:val="left"/>
        <w:rPr>
          <w:rFonts w:ascii="Times New Roman Regular" w:hAnsi="Times New Roman Regular" w:eastAsia="宋体" w:cs="Times New Roman Regular"/>
          <w:color w:val="000000"/>
          <w:kern w:val="0"/>
          <w:sz w:val="22"/>
          <w:szCs w:val="22"/>
          <w:lang w:bidi="ar"/>
        </w:rPr>
      </w:pPr>
      <w:r>
        <w:rPr>
          <w:rFonts w:ascii="Times New Roman Regular" w:hAnsi="Times New Roman Regular" w:eastAsia="宋体" w:cs="Times New Roman Regular"/>
          <w:b/>
          <w:bCs/>
          <w:color w:val="000000"/>
          <w:kern w:val="0"/>
          <w:sz w:val="22"/>
          <w:szCs w:val="22"/>
          <w:lang w:bidi="ar"/>
        </w:rPr>
        <w:t>Table S</w:t>
      </w:r>
      <w:r>
        <w:rPr>
          <w:rFonts w:hint="eastAsia" w:ascii="Times New Roman Regular" w:hAnsi="Times New Roman Regular" w:eastAsia="宋体" w:cs="Times New Roman Regular"/>
          <w:b/>
          <w:bCs/>
          <w:color w:val="000000"/>
          <w:kern w:val="0"/>
          <w:sz w:val="22"/>
          <w:szCs w:val="22"/>
          <w:lang w:bidi="ar"/>
        </w:rPr>
        <w:t>2</w:t>
      </w:r>
      <w:r>
        <w:rPr>
          <w:rFonts w:ascii="Times New Roman Regular" w:hAnsi="Times New Roman Regular" w:eastAsia="宋体" w:cs="Times New Roman Regular"/>
          <w:b/>
          <w:bCs/>
          <w:color w:val="000000"/>
          <w:kern w:val="0"/>
          <w:sz w:val="22"/>
          <w:szCs w:val="22"/>
          <w:lang w:bidi="ar"/>
        </w:rPr>
        <w:t xml:space="preserve"> HLM Estimates of Out-of-Pocket Cataract Surgery Costs, Survey Data</w:t>
      </w:r>
    </w:p>
    <w:p w14:paraId="6233EA47">
      <w:pPr>
        <w:jc w:val="left"/>
        <w:rPr>
          <w:rFonts w:ascii="Times New Roman Regular" w:hAnsi="Times New Roman Regular" w:cs="Times New Roman Regular"/>
          <w:sz w:val="20"/>
          <w:szCs w:val="20"/>
        </w:rPr>
      </w:pPr>
    </w:p>
    <w:tbl>
      <w:tblPr>
        <w:tblStyle w:val="2"/>
        <w:tblW w:w="0" w:type="auto"/>
        <w:tblCellSpacing w:w="15" w:type="dxa"/>
        <w:tblInd w:w="0" w:type="dxa"/>
        <w:tblLayout w:type="autofit"/>
        <w:tblCellMar>
          <w:top w:w="15" w:type="dxa"/>
          <w:left w:w="15" w:type="dxa"/>
          <w:bottom w:w="15" w:type="dxa"/>
          <w:right w:w="15" w:type="dxa"/>
        </w:tblCellMar>
      </w:tblPr>
      <w:tblGrid>
        <w:gridCol w:w="3602"/>
        <w:gridCol w:w="2565"/>
        <w:gridCol w:w="2383"/>
        <w:gridCol w:w="3057"/>
        <w:gridCol w:w="2891"/>
      </w:tblGrid>
      <w:tr w14:paraId="6537552D">
        <w:trPr>
          <w:tblHeader/>
          <w:tblCellSpacing w:w="15" w:type="dxa"/>
        </w:trPr>
        <w:tc>
          <w:tcPr>
            <w:tcW w:w="0" w:type="auto"/>
            <w:tcBorders>
              <w:top w:val="single" w:color="auto" w:sz="4" w:space="0"/>
              <w:bottom w:val="single" w:color="auto" w:sz="4" w:space="0"/>
              <w:right w:val="nil"/>
            </w:tcBorders>
            <w:tcMar>
              <w:top w:w="120" w:type="dxa"/>
              <w:left w:w="240" w:type="dxa"/>
              <w:bottom w:w="120" w:type="dxa"/>
              <w:right w:w="240" w:type="dxa"/>
            </w:tcMar>
            <w:vAlign w:val="center"/>
          </w:tcPr>
          <w:p w14:paraId="777AE0D4">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Variable</w:t>
            </w:r>
          </w:p>
        </w:tc>
        <w:tc>
          <w:tcPr>
            <w:tcW w:w="0" w:type="auto"/>
            <w:tcBorders>
              <w:top w:val="single" w:color="auto" w:sz="4" w:space="0"/>
              <w:bottom w:val="single" w:color="auto" w:sz="4" w:space="0"/>
              <w:right w:val="nil"/>
            </w:tcBorders>
            <w:tcMar>
              <w:top w:w="120" w:type="dxa"/>
              <w:left w:w="240" w:type="dxa"/>
              <w:bottom w:w="120" w:type="dxa"/>
              <w:right w:w="240" w:type="dxa"/>
            </w:tcMar>
            <w:vAlign w:val="center"/>
          </w:tcPr>
          <w:p w14:paraId="62277E9E">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(1) Log of Surgical OOP Costs</w:t>
            </w:r>
          </w:p>
        </w:tc>
        <w:tc>
          <w:tcPr>
            <w:tcW w:w="0" w:type="auto"/>
            <w:tcBorders>
              <w:top w:val="single" w:color="auto" w:sz="4" w:space="0"/>
              <w:bottom w:val="single" w:color="auto" w:sz="4" w:space="0"/>
              <w:right w:val="nil"/>
            </w:tcBorders>
            <w:tcMar>
              <w:top w:w="120" w:type="dxa"/>
              <w:left w:w="240" w:type="dxa"/>
              <w:bottom w:w="120" w:type="dxa"/>
              <w:right w:w="240" w:type="dxa"/>
            </w:tcMar>
            <w:vAlign w:val="center"/>
          </w:tcPr>
          <w:p w14:paraId="73E4EE27">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(2) Log of Total OOP Costs</w:t>
            </w:r>
          </w:p>
        </w:tc>
        <w:tc>
          <w:tcPr>
            <w:tcW w:w="0" w:type="auto"/>
            <w:tcBorders>
              <w:top w:val="single" w:color="auto" w:sz="4" w:space="0"/>
              <w:bottom w:val="single" w:color="auto" w:sz="4" w:space="0"/>
              <w:right w:val="nil"/>
            </w:tcBorders>
            <w:tcMar>
              <w:top w:w="120" w:type="dxa"/>
              <w:left w:w="240" w:type="dxa"/>
              <w:bottom w:w="120" w:type="dxa"/>
              <w:right w:w="240" w:type="dxa"/>
            </w:tcMar>
            <w:vAlign w:val="center"/>
          </w:tcPr>
          <w:p w14:paraId="5F1972B9">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(3) Surgical OOP Costs (% of Income)</w:t>
            </w:r>
          </w:p>
        </w:tc>
        <w:tc>
          <w:tcPr>
            <w:tcW w:w="0" w:type="auto"/>
            <w:tcBorders>
              <w:top w:val="single" w:color="auto" w:sz="4" w:space="0"/>
              <w:bottom w:val="single" w:color="auto" w:sz="4" w:space="0"/>
              <w:right w:val="nil"/>
            </w:tcBorders>
            <w:tcMar>
              <w:top w:w="120" w:type="dxa"/>
              <w:left w:w="240" w:type="dxa"/>
              <w:bottom w:w="120" w:type="dxa"/>
              <w:right w:w="240" w:type="dxa"/>
            </w:tcMar>
            <w:vAlign w:val="center"/>
          </w:tcPr>
          <w:p w14:paraId="7243A090">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(4) Total OOP Costs (% of Income)</w:t>
            </w:r>
          </w:p>
        </w:tc>
      </w:tr>
      <w:tr w14:paraId="3F8CF57A">
        <w:trPr>
          <w:trHeight w:val="90" w:hRule="atLeast"/>
          <w:tblHeader/>
          <w:tblCellSpacing w:w="15" w:type="dxa"/>
        </w:trPr>
        <w:tc>
          <w:tcPr>
            <w:tcW w:w="0" w:type="auto"/>
            <w:tcBorders>
              <w:right w:val="nil"/>
            </w:tcBorders>
            <w:tcMar>
              <w:top w:w="120" w:type="dxa"/>
              <w:left w:w="240" w:type="dxa"/>
              <w:bottom w:w="120" w:type="dxa"/>
              <w:right w:w="240" w:type="dxa"/>
            </w:tcMar>
            <w:vAlign w:val="center"/>
          </w:tcPr>
          <w:p w14:paraId="02C00BE4">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Fixed Effects</w:t>
            </w:r>
          </w:p>
        </w:tc>
        <w:tc>
          <w:tcPr>
            <w:tcW w:w="0" w:type="auto"/>
            <w:tcBorders>
              <w:right w:val="nil"/>
            </w:tcBorders>
            <w:tcMar>
              <w:top w:w="120" w:type="dxa"/>
              <w:left w:w="240" w:type="dxa"/>
              <w:bottom w:w="120" w:type="dxa"/>
              <w:right w:w="240" w:type="dxa"/>
            </w:tcMar>
            <w:vAlign w:val="center"/>
          </w:tcPr>
          <w:p w14:paraId="4CDA49C6">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713D928A">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131E1CC2">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3CD8F3C0">
            <w:pPr>
              <w:spacing w:line="160" w:lineRule="atLeast"/>
              <w:jc w:val="left"/>
              <w:rPr>
                <w:rFonts w:ascii="Times New Roman Regular" w:hAnsi="Times New Roman Regular" w:cs="Times New Roman Regular"/>
                <w:sz w:val="20"/>
                <w:szCs w:val="20"/>
              </w:rPr>
            </w:pPr>
          </w:p>
        </w:tc>
      </w:tr>
      <w:tr w14:paraId="5156D4B2">
        <w:trPr>
          <w:tblHeader/>
          <w:tblCellSpacing w:w="15" w:type="dxa"/>
        </w:trPr>
        <w:tc>
          <w:tcPr>
            <w:tcW w:w="0" w:type="auto"/>
            <w:tcBorders>
              <w:right w:val="nil"/>
            </w:tcBorders>
            <w:tcMar>
              <w:top w:w="120" w:type="dxa"/>
              <w:left w:w="240" w:type="dxa"/>
              <w:bottom w:w="120" w:type="dxa"/>
              <w:right w:w="240" w:type="dxa"/>
            </w:tcMar>
            <w:vAlign w:val="center"/>
          </w:tcPr>
          <w:p w14:paraId="1A11F596">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Region [Ref: Wenshan region]</w:t>
            </w:r>
          </w:p>
        </w:tc>
        <w:tc>
          <w:tcPr>
            <w:tcW w:w="0" w:type="auto"/>
            <w:tcBorders>
              <w:right w:val="nil"/>
            </w:tcBorders>
            <w:tcMar>
              <w:top w:w="120" w:type="dxa"/>
              <w:left w:w="240" w:type="dxa"/>
              <w:bottom w:w="120" w:type="dxa"/>
              <w:right w:w="240" w:type="dxa"/>
            </w:tcMar>
            <w:vAlign w:val="center"/>
          </w:tcPr>
          <w:p w14:paraId="6426BC26">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04DC06FC">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2885FBB4">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2934AD90">
            <w:pPr>
              <w:spacing w:line="160" w:lineRule="atLeast"/>
              <w:jc w:val="left"/>
              <w:rPr>
                <w:rFonts w:ascii="Times New Roman Regular" w:hAnsi="Times New Roman Regular" w:cs="Times New Roman Regular"/>
                <w:sz w:val="20"/>
                <w:szCs w:val="20"/>
              </w:rPr>
            </w:pPr>
          </w:p>
        </w:tc>
      </w:tr>
      <w:tr w14:paraId="591E6E39">
        <w:trPr>
          <w:tblHeader/>
          <w:tblCellSpacing w:w="15" w:type="dxa"/>
        </w:trPr>
        <w:tc>
          <w:tcPr>
            <w:tcW w:w="0" w:type="auto"/>
            <w:tcBorders>
              <w:right w:val="nil"/>
            </w:tcBorders>
            <w:tcMar>
              <w:top w:w="120" w:type="dxa"/>
              <w:left w:w="240" w:type="dxa"/>
              <w:bottom w:w="120" w:type="dxa"/>
              <w:right w:w="240" w:type="dxa"/>
            </w:tcMar>
            <w:vAlign w:val="center"/>
          </w:tcPr>
          <w:p w14:paraId="61190EE6">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Dali region</w:t>
            </w:r>
          </w:p>
        </w:tc>
        <w:tc>
          <w:tcPr>
            <w:tcW w:w="0" w:type="auto"/>
            <w:tcBorders>
              <w:right w:val="nil"/>
            </w:tcBorders>
            <w:tcMar>
              <w:top w:w="120" w:type="dxa"/>
              <w:left w:w="240" w:type="dxa"/>
              <w:bottom w:w="120" w:type="dxa"/>
              <w:right w:w="240" w:type="dxa"/>
            </w:tcMar>
            <w:vAlign w:val="center"/>
          </w:tcPr>
          <w:p w14:paraId="49B0780F">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-0.174</w:t>
            </w:r>
          </w:p>
        </w:tc>
        <w:tc>
          <w:tcPr>
            <w:tcW w:w="0" w:type="auto"/>
            <w:tcBorders>
              <w:right w:val="nil"/>
            </w:tcBorders>
            <w:tcMar>
              <w:top w:w="120" w:type="dxa"/>
              <w:left w:w="240" w:type="dxa"/>
              <w:bottom w:w="120" w:type="dxa"/>
              <w:right w:w="240" w:type="dxa"/>
            </w:tcMar>
            <w:vAlign w:val="center"/>
          </w:tcPr>
          <w:p w14:paraId="20656EA6">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-0.190</w:t>
            </w:r>
          </w:p>
        </w:tc>
        <w:tc>
          <w:tcPr>
            <w:tcW w:w="0" w:type="auto"/>
            <w:tcBorders>
              <w:right w:val="nil"/>
            </w:tcBorders>
            <w:tcMar>
              <w:top w:w="120" w:type="dxa"/>
              <w:left w:w="240" w:type="dxa"/>
              <w:bottom w:w="120" w:type="dxa"/>
              <w:right w:w="240" w:type="dxa"/>
            </w:tcMar>
            <w:vAlign w:val="center"/>
          </w:tcPr>
          <w:p w14:paraId="6CD6B3EB">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-3.543</w:t>
            </w:r>
          </w:p>
        </w:tc>
        <w:tc>
          <w:tcPr>
            <w:tcW w:w="0" w:type="auto"/>
            <w:tcBorders>
              <w:right w:val="nil"/>
            </w:tcBorders>
            <w:tcMar>
              <w:top w:w="120" w:type="dxa"/>
              <w:left w:w="240" w:type="dxa"/>
              <w:bottom w:w="120" w:type="dxa"/>
              <w:right w:w="240" w:type="dxa"/>
            </w:tcMar>
            <w:vAlign w:val="center"/>
          </w:tcPr>
          <w:p w14:paraId="14ABE0BC">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-3.031</w:t>
            </w:r>
          </w:p>
        </w:tc>
      </w:tr>
      <w:tr w14:paraId="401D0675">
        <w:trPr>
          <w:tblHeader/>
          <w:tblCellSpacing w:w="15" w:type="dxa"/>
        </w:trPr>
        <w:tc>
          <w:tcPr>
            <w:tcW w:w="0" w:type="auto"/>
            <w:tcBorders>
              <w:right w:val="nil"/>
            </w:tcBorders>
            <w:tcMar>
              <w:top w:w="120" w:type="dxa"/>
              <w:left w:w="240" w:type="dxa"/>
              <w:bottom w:w="120" w:type="dxa"/>
              <w:right w:w="240" w:type="dxa"/>
            </w:tcMar>
            <w:vAlign w:val="center"/>
          </w:tcPr>
          <w:p w14:paraId="74880CB7">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1928C995">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(0.144)</w:t>
            </w:r>
          </w:p>
        </w:tc>
        <w:tc>
          <w:tcPr>
            <w:tcW w:w="0" w:type="auto"/>
            <w:tcBorders>
              <w:right w:val="nil"/>
            </w:tcBorders>
            <w:tcMar>
              <w:top w:w="120" w:type="dxa"/>
              <w:left w:w="240" w:type="dxa"/>
              <w:bottom w:w="120" w:type="dxa"/>
              <w:right w:w="240" w:type="dxa"/>
            </w:tcMar>
            <w:vAlign w:val="center"/>
          </w:tcPr>
          <w:p w14:paraId="1C831476">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(0.141)</w:t>
            </w:r>
          </w:p>
        </w:tc>
        <w:tc>
          <w:tcPr>
            <w:tcW w:w="0" w:type="auto"/>
            <w:tcBorders>
              <w:right w:val="nil"/>
            </w:tcBorders>
            <w:tcMar>
              <w:top w:w="120" w:type="dxa"/>
              <w:left w:w="240" w:type="dxa"/>
              <w:bottom w:w="120" w:type="dxa"/>
              <w:right w:w="240" w:type="dxa"/>
            </w:tcMar>
            <w:vAlign w:val="center"/>
          </w:tcPr>
          <w:p w14:paraId="757846E5">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(2.891)</w:t>
            </w:r>
          </w:p>
        </w:tc>
        <w:tc>
          <w:tcPr>
            <w:tcW w:w="0" w:type="auto"/>
            <w:tcBorders>
              <w:right w:val="nil"/>
            </w:tcBorders>
            <w:tcMar>
              <w:top w:w="120" w:type="dxa"/>
              <w:left w:w="240" w:type="dxa"/>
              <w:bottom w:w="120" w:type="dxa"/>
              <w:right w:w="240" w:type="dxa"/>
            </w:tcMar>
            <w:vAlign w:val="center"/>
          </w:tcPr>
          <w:p w14:paraId="43EB5439">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(3.032)</w:t>
            </w:r>
          </w:p>
        </w:tc>
      </w:tr>
      <w:tr w14:paraId="5FE280DC">
        <w:trPr>
          <w:tblHeader/>
          <w:tblCellSpacing w:w="15" w:type="dxa"/>
        </w:trPr>
        <w:tc>
          <w:tcPr>
            <w:tcW w:w="0" w:type="auto"/>
            <w:tcBorders>
              <w:right w:val="nil"/>
            </w:tcBorders>
            <w:tcMar>
              <w:top w:w="120" w:type="dxa"/>
              <w:left w:w="240" w:type="dxa"/>
              <w:bottom w:w="120" w:type="dxa"/>
              <w:right w:w="240" w:type="dxa"/>
            </w:tcMar>
            <w:vAlign w:val="center"/>
          </w:tcPr>
          <w:p w14:paraId="41416460">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Age [Ref: 69 and younger]</w:t>
            </w:r>
          </w:p>
        </w:tc>
        <w:tc>
          <w:tcPr>
            <w:tcW w:w="0" w:type="auto"/>
            <w:tcBorders>
              <w:right w:val="nil"/>
            </w:tcBorders>
            <w:tcMar>
              <w:top w:w="120" w:type="dxa"/>
              <w:left w:w="240" w:type="dxa"/>
              <w:bottom w:w="120" w:type="dxa"/>
              <w:right w:w="240" w:type="dxa"/>
            </w:tcMar>
            <w:vAlign w:val="center"/>
          </w:tcPr>
          <w:p w14:paraId="18FD8BF2">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41615E58">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15C4CAF8">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45F0B85F">
            <w:pPr>
              <w:spacing w:line="160" w:lineRule="atLeast"/>
              <w:jc w:val="left"/>
              <w:rPr>
                <w:rFonts w:ascii="Times New Roman Regular" w:hAnsi="Times New Roman Regular" w:cs="Times New Roman Regular"/>
                <w:sz w:val="20"/>
                <w:szCs w:val="20"/>
              </w:rPr>
            </w:pPr>
          </w:p>
        </w:tc>
      </w:tr>
      <w:tr w14:paraId="6EF11AA5">
        <w:trPr>
          <w:tblHeader/>
          <w:tblCellSpacing w:w="15" w:type="dxa"/>
        </w:trPr>
        <w:tc>
          <w:tcPr>
            <w:tcW w:w="0" w:type="auto"/>
            <w:tcBorders>
              <w:right w:val="nil"/>
            </w:tcBorders>
            <w:tcMar>
              <w:top w:w="120" w:type="dxa"/>
              <w:left w:w="240" w:type="dxa"/>
              <w:bottom w:w="120" w:type="dxa"/>
              <w:right w:w="240" w:type="dxa"/>
            </w:tcMar>
            <w:vAlign w:val="center"/>
          </w:tcPr>
          <w:p w14:paraId="5D7783DE">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70 and older</w:t>
            </w:r>
          </w:p>
        </w:tc>
        <w:tc>
          <w:tcPr>
            <w:tcW w:w="0" w:type="auto"/>
            <w:tcBorders>
              <w:right w:val="nil"/>
            </w:tcBorders>
            <w:tcMar>
              <w:top w:w="120" w:type="dxa"/>
              <w:left w:w="240" w:type="dxa"/>
              <w:bottom w:w="120" w:type="dxa"/>
              <w:right w:w="240" w:type="dxa"/>
            </w:tcMar>
            <w:vAlign w:val="center"/>
          </w:tcPr>
          <w:p w14:paraId="106E8DA2">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-0.005</w:t>
            </w:r>
          </w:p>
        </w:tc>
        <w:tc>
          <w:tcPr>
            <w:tcW w:w="0" w:type="auto"/>
            <w:tcBorders>
              <w:right w:val="nil"/>
            </w:tcBorders>
            <w:tcMar>
              <w:top w:w="120" w:type="dxa"/>
              <w:left w:w="240" w:type="dxa"/>
              <w:bottom w:w="120" w:type="dxa"/>
              <w:right w:w="240" w:type="dxa"/>
            </w:tcMar>
            <w:vAlign w:val="center"/>
          </w:tcPr>
          <w:p w14:paraId="4652CE83">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-0.023</w:t>
            </w:r>
          </w:p>
        </w:tc>
        <w:tc>
          <w:tcPr>
            <w:tcW w:w="0" w:type="auto"/>
            <w:tcBorders>
              <w:right w:val="nil"/>
            </w:tcBorders>
            <w:tcMar>
              <w:top w:w="120" w:type="dxa"/>
              <w:left w:w="240" w:type="dxa"/>
              <w:bottom w:w="120" w:type="dxa"/>
              <w:right w:w="240" w:type="dxa"/>
            </w:tcMar>
            <w:vAlign w:val="center"/>
          </w:tcPr>
          <w:p w14:paraId="7CE303C5">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-0.085</w:t>
            </w:r>
          </w:p>
        </w:tc>
        <w:tc>
          <w:tcPr>
            <w:tcW w:w="0" w:type="auto"/>
            <w:tcBorders>
              <w:right w:val="nil"/>
            </w:tcBorders>
            <w:tcMar>
              <w:top w:w="120" w:type="dxa"/>
              <w:left w:w="240" w:type="dxa"/>
              <w:bottom w:w="120" w:type="dxa"/>
              <w:right w:w="240" w:type="dxa"/>
            </w:tcMar>
            <w:vAlign w:val="center"/>
          </w:tcPr>
          <w:p w14:paraId="7CCD2627">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-1.722</w:t>
            </w:r>
          </w:p>
        </w:tc>
      </w:tr>
      <w:tr w14:paraId="31D044ED">
        <w:trPr>
          <w:tblHeader/>
          <w:tblCellSpacing w:w="15" w:type="dxa"/>
        </w:trPr>
        <w:tc>
          <w:tcPr>
            <w:tcW w:w="0" w:type="auto"/>
            <w:tcBorders>
              <w:right w:val="nil"/>
            </w:tcBorders>
            <w:tcMar>
              <w:top w:w="120" w:type="dxa"/>
              <w:left w:w="240" w:type="dxa"/>
              <w:bottom w:w="120" w:type="dxa"/>
              <w:right w:w="240" w:type="dxa"/>
            </w:tcMar>
            <w:vAlign w:val="center"/>
          </w:tcPr>
          <w:p w14:paraId="14A9FE63">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50E87AD1">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(0.144)</w:t>
            </w:r>
          </w:p>
        </w:tc>
        <w:tc>
          <w:tcPr>
            <w:tcW w:w="0" w:type="auto"/>
            <w:tcBorders>
              <w:right w:val="nil"/>
            </w:tcBorders>
            <w:tcMar>
              <w:top w:w="120" w:type="dxa"/>
              <w:left w:w="240" w:type="dxa"/>
              <w:bottom w:w="120" w:type="dxa"/>
              <w:right w:w="240" w:type="dxa"/>
            </w:tcMar>
            <w:vAlign w:val="center"/>
          </w:tcPr>
          <w:p w14:paraId="32B57756">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(0.142)</w:t>
            </w:r>
          </w:p>
        </w:tc>
        <w:tc>
          <w:tcPr>
            <w:tcW w:w="0" w:type="auto"/>
            <w:tcBorders>
              <w:right w:val="nil"/>
            </w:tcBorders>
            <w:tcMar>
              <w:top w:w="120" w:type="dxa"/>
              <w:left w:w="240" w:type="dxa"/>
              <w:bottom w:w="120" w:type="dxa"/>
              <w:right w:w="240" w:type="dxa"/>
            </w:tcMar>
            <w:vAlign w:val="center"/>
          </w:tcPr>
          <w:p w14:paraId="08868C3B">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(2.884)</w:t>
            </w:r>
          </w:p>
        </w:tc>
        <w:tc>
          <w:tcPr>
            <w:tcW w:w="0" w:type="auto"/>
            <w:tcBorders>
              <w:right w:val="nil"/>
            </w:tcBorders>
            <w:tcMar>
              <w:top w:w="120" w:type="dxa"/>
              <w:left w:w="240" w:type="dxa"/>
              <w:bottom w:w="120" w:type="dxa"/>
              <w:right w:w="240" w:type="dxa"/>
            </w:tcMar>
            <w:vAlign w:val="center"/>
          </w:tcPr>
          <w:p w14:paraId="5480FF11">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(3.032)</w:t>
            </w:r>
          </w:p>
        </w:tc>
      </w:tr>
      <w:tr w14:paraId="3B7BDAAA">
        <w:trPr>
          <w:tblHeader/>
          <w:tblCellSpacing w:w="15" w:type="dxa"/>
        </w:trPr>
        <w:tc>
          <w:tcPr>
            <w:tcW w:w="0" w:type="auto"/>
            <w:tcBorders>
              <w:right w:val="nil"/>
            </w:tcBorders>
            <w:tcMar>
              <w:top w:w="120" w:type="dxa"/>
              <w:left w:w="240" w:type="dxa"/>
              <w:bottom w:w="120" w:type="dxa"/>
              <w:right w:w="240" w:type="dxa"/>
            </w:tcMar>
            <w:vAlign w:val="center"/>
          </w:tcPr>
          <w:p w14:paraId="73FB0540">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Gender [Ref: Female]</w:t>
            </w:r>
          </w:p>
        </w:tc>
        <w:tc>
          <w:tcPr>
            <w:tcW w:w="0" w:type="auto"/>
            <w:tcBorders>
              <w:right w:val="nil"/>
            </w:tcBorders>
            <w:tcMar>
              <w:top w:w="120" w:type="dxa"/>
              <w:left w:w="240" w:type="dxa"/>
              <w:bottom w:w="120" w:type="dxa"/>
              <w:right w:w="240" w:type="dxa"/>
            </w:tcMar>
            <w:vAlign w:val="center"/>
          </w:tcPr>
          <w:p w14:paraId="2D7F97DC">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009C9F9C">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7D21A5C4">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6A4F89F8">
            <w:pPr>
              <w:spacing w:line="160" w:lineRule="atLeast"/>
              <w:jc w:val="left"/>
              <w:rPr>
                <w:rFonts w:ascii="Times New Roman Regular" w:hAnsi="Times New Roman Regular" w:cs="Times New Roman Regular"/>
                <w:sz w:val="20"/>
                <w:szCs w:val="20"/>
              </w:rPr>
            </w:pPr>
          </w:p>
        </w:tc>
      </w:tr>
      <w:tr w14:paraId="5F97E830">
        <w:trPr>
          <w:tblHeader/>
          <w:tblCellSpacing w:w="15" w:type="dxa"/>
        </w:trPr>
        <w:tc>
          <w:tcPr>
            <w:tcW w:w="0" w:type="auto"/>
            <w:tcBorders>
              <w:right w:val="nil"/>
            </w:tcBorders>
            <w:tcMar>
              <w:top w:w="120" w:type="dxa"/>
              <w:left w:w="240" w:type="dxa"/>
              <w:bottom w:w="120" w:type="dxa"/>
              <w:right w:w="240" w:type="dxa"/>
            </w:tcMar>
            <w:vAlign w:val="center"/>
          </w:tcPr>
          <w:p w14:paraId="147C3AB0">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Male</w:t>
            </w:r>
          </w:p>
        </w:tc>
        <w:tc>
          <w:tcPr>
            <w:tcW w:w="0" w:type="auto"/>
            <w:tcBorders>
              <w:right w:val="nil"/>
            </w:tcBorders>
            <w:tcMar>
              <w:top w:w="120" w:type="dxa"/>
              <w:left w:w="240" w:type="dxa"/>
              <w:bottom w:w="120" w:type="dxa"/>
              <w:right w:w="240" w:type="dxa"/>
            </w:tcMar>
            <w:vAlign w:val="center"/>
          </w:tcPr>
          <w:p w14:paraId="25231D1F">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-0.071</w:t>
            </w:r>
          </w:p>
        </w:tc>
        <w:tc>
          <w:tcPr>
            <w:tcW w:w="0" w:type="auto"/>
            <w:tcBorders>
              <w:right w:val="nil"/>
            </w:tcBorders>
            <w:tcMar>
              <w:top w:w="120" w:type="dxa"/>
              <w:left w:w="240" w:type="dxa"/>
              <w:bottom w:w="120" w:type="dxa"/>
              <w:right w:w="240" w:type="dxa"/>
            </w:tcMar>
            <w:vAlign w:val="center"/>
          </w:tcPr>
          <w:p w14:paraId="6CDC5747">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-0.050</w:t>
            </w:r>
          </w:p>
        </w:tc>
        <w:tc>
          <w:tcPr>
            <w:tcW w:w="0" w:type="auto"/>
            <w:tcBorders>
              <w:right w:val="nil"/>
            </w:tcBorders>
            <w:tcMar>
              <w:top w:w="120" w:type="dxa"/>
              <w:left w:w="240" w:type="dxa"/>
              <w:bottom w:w="120" w:type="dxa"/>
              <w:right w:w="240" w:type="dxa"/>
            </w:tcMar>
            <w:vAlign w:val="center"/>
          </w:tcPr>
          <w:p w14:paraId="0B13D34B">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-2.602</w:t>
            </w:r>
          </w:p>
        </w:tc>
        <w:tc>
          <w:tcPr>
            <w:tcW w:w="0" w:type="auto"/>
            <w:tcBorders>
              <w:right w:val="nil"/>
            </w:tcBorders>
            <w:tcMar>
              <w:top w:w="120" w:type="dxa"/>
              <w:left w:w="240" w:type="dxa"/>
              <w:bottom w:w="120" w:type="dxa"/>
              <w:right w:w="240" w:type="dxa"/>
            </w:tcMar>
            <w:vAlign w:val="center"/>
          </w:tcPr>
          <w:p w14:paraId="4C04C06C">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-2.023</w:t>
            </w:r>
          </w:p>
        </w:tc>
      </w:tr>
      <w:tr w14:paraId="2F5D8443">
        <w:trPr>
          <w:tblHeader/>
          <w:tblCellSpacing w:w="15" w:type="dxa"/>
        </w:trPr>
        <w:tc>
          <w:tcPr>
            <w:tcW w:w="0" w:type="auto"/>
            <w:tcBorders>
              <w:right w:val="nil"/>
            </w:tcBorders>
            <w:tcMar>
              <w:top w:w="120" w:type="dxa"/>
              <w:left w:w="240" w:type="dxa"/>
              <w:bottom w:w="120" w:type="dxa"/>
              <w:right w:w="240" w:type="dxa"/>
            </w:tcMar>
            <w:vAlign w:val="center"/>
          </w:tcPr>
          <w:p w14:paraId="60CC4DAC">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2AA87836">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(0.154)</w:t>
            </w:r>
          </w:p>
        </w:tc>
        <w:tc>
          <w:tcPr>
            <w:tcW w:w="0" w:type="auto"/>
            <w:tcBorders>
              <w:right w:val="nil"/>
            </w:tcBorders>
            <w:tcMar>
              <w:top w:w="120" w:type="dxa"/>
              <w:left w:w="240" w:type="dxa"/>
              <w:bottom w:w="120" w:type="dxa"/>
              <w:right w:w="240" w:type="dxa"/>
            </w:tcMar>
            <w:vAlign w:val="center"/>
          </w:tcPr>
          <w:p w14:paraId="5E7EC35B">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(0.152)</w:t>
            </w:r>
          </w:p>
        </w:tc>
        <w:tc>
          <w:tcPr>
            <w:tcW w:w="0" w:type="auto"/>
            <w:tcBorders>
              <w:right w:val="nil"/>
            </w:tcBorders>
            <w:tcMar>
              <w:top w:w="120" w:type="dxa"/>
              <w:left w:w="240" w:type="dxa"/>
              <w:bottom w:w="120" w:type="dxa"/>
              <w:right w:w="240" w:type="dxa"/>
            </w:tcMar>
            <w:vAlign w:val="center"/>
          </w:tcPr>
          <w:p w14:paraId="3B188B23">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(3.082)</w:t>
            </w:r>
          </w:p>
        </w:tc>
        <w:tc>
          <w:tcPr>
            <w:tcW w:w="0" w:type="auto"/>
            <w:tcBorders>
              <w:right w:val="nil"/>
            </w:tcBorders>
            <w:tcMar>
              <w:top w:w="120" w:type="dxa"/>
              <w:left w:w="240" w:type="dxa"/>
              <w:bottom w:w="120" w:type="dxa"/>
              <w:right w:w="240" w:type="dxa"/>
            </w:tcMar>
            <w:vAlign w:val="center"/>
          </w:tcPr>
          <w:p w14:paraId="6D6E4BB2">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(3.263)</w:t>
            </w:r>
          </w:p>
        </w:tc>
      </w:tr>
      <w:tr w14:paraId="2AB83A5A">
        <w:trPr>
          <w:tblHeader/>
          <w:tblCellSpacing w:w="15" w:type="dxa"/>
        </w:trPr>
        <w:tc>
          <w:tcPr>
            <w:tcW w:w="0" w:type="auto"/>
            <w:tcBorders>
              <w:right w:val="nil"/>
            </w:tcBorders>
            <w:tcMar>
              <w:top w:w="120" w:type="dxa"/>
              <w:left w:w="240" w:type="dxa"/>
              <w:bottom w:w="120" w:type="dxa"/>
              <w:right w:w="240" w:type="dxa"/>
            </w:tcMar>
            <w:vAlign w:val="center"/>
          </w:tcPr>
          <w:p w14:paraId="498C369E">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Ethnicity [Ref: Han]</w:t>
            </w:r>
          </w:p>
        </w:tc>
        <w:tc>
          <w:tcPr>
            <w:tcW w:w="0" w:type="auto"/>
            <w:tcBorders>
              <w:right w:val="nil"/>
            </w:tcBorders>
            <w:tcMar>
              <w:top w:w="120" w:type="dxa"/>
              <w:left w:w="240" w:type="dxa"/>
              <w:bottom w:w="120" w:type="dxa"/>
              <w:right w:w="240" w:type="dxa"/>
            </w:tcMar>
            <w:vAlign w:val="center"/>
          </w:tcPr>
          <w:p w14:paraId="6D8FF7EC">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74204902">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4E7996A3">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1208E61C">
            <w:pPr>
              <w:spacing w:line="160" w:lineRule="atLeast"/>
              <w:jc w:val="left"/>
              <w:rPr>
                <w:rFonts w:ascii="Times New Roman Regular" w:hAnsi="Times New Roman Regular" w:cs="Times New Roman Regular"/>
                <w:sz w:val="20"/>
                <w:szCs w:val="20"/>
              </w:rPr>
            </w:pPr>
          </w:p>
        </w:tc>
      </w:tr>
      <w:tr w14:paraId="2204DD46">
        <w:trPr>
          <w:tblHeader/>
          <w:tblCellSpacing w:w="15" w:type="dxa"/>
        </w:trPr>
        <w:tc>
          <w:tcPr>
            <w:tcW w:w="0" w:type="auto"/>
            <w:tcBorders>
              <w:right w:val="nil"/>
            </w:tcBorders>
            <w:tcMar>
              <w:top w:w="120" w:type="dxa"/>
              <w:left w:w="240" w:type="dxa"/>
              <w:bottom w:w="120" w:type="dxa"/>
              <w:right w:w="240" w:type="dxa"/>
            </w:tcMar>
            <w:vAlign w:val="center"/>
          </w:tcPr>
          <w:p w14:paraId="782D2A9F">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Minority ethnic groups</w:t>
            </w:r>
          </w:p>
        </w:tc>
        <w:tc>
          <w:tcPr>
            <w:tcW w:w="0" w:type="auto"/>
            <w:tcBorders>
              <w:right w:val="nil"/>
            </w:tcBorders>
            <w:tcMar>
              <w:top w:w="120" w:type="dxa"/>
              <w:left w:w="240" w:type="dxa"/>
              <w:bottom w:w="120" w:type="dxa"/>
              <w:right w:w="240" w:type="dxa"/>
            </w:tcMar>
            <w:vAlign w:val="center"/>
          </w:tcPr>
          <w:p w14:paraId="346B9958">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-0.284*</w:t>
            </w:r>
          </w:p>
        </w:tc>
        <w:tc>
          <w:tcPr>
            <w:tcW w:w="0" w:type="auto"/>
            <w:tcBorders>
              <w:right w:val="nil"/>
            </w:tcBorders>
            <w:tcMar>
              <w:top w:w="120" w:type="dxa"/>
              <w:left w:w="240" w:type="dxa"/>
              <w:bottom w:w="120" w:type="dxa"/>
              <w:right w:w="240" w:type="dxa"/>
            </w:tcMar>
            <w:vAlign w:val="center"/>
          </w:tcPr>
          <w:p w14:paraId="525AB96C">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-0.262*</w:t>
            </w:r>
          </w:p>
        </w:tc>
        <w:tc>
          <w:tcPr>
            <w:tcW w:w="0" w:type="auto"/>
            <w:tcBorders>
              <w:right w:val="nil"/>
            </w:tcBorders>
            <w:tcMar>
              <w:top w:w="120" w:type="dxa"/>
              <w:left w:w="240" w:type="dxa"/>
              <w:bottom w:w="120" w:type="dxa"/>
              <w:right w:w="240" w:type="dxa"/>
            </w:tcMar>
            <w:vAlign w:val="center"/>
          </w:tcPr>
          <w:p w14:paraId="1A74D8E4">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0.411</w:t>
            </w:r>
          </w:p>
        </w:tc>
        <w:tc>
          <w:tcPr>
            <w:tcW w:w="0" w:type="auto"/>
            <w:tcBorders>
              <w:right w:val="nil"/>
            </w:tcBorders>
            <w:tcMar>
              <w:top w:w="120" w:type="dxa"/>
              <w:left w:w="240" w:type="dxa"/>
              <w:bottom w:w="120" w:type="dxa"/>
              <w:right w:w="240" w:type="dxa"/>
            </w:tcMar>
            <w:vAlign w:val="center"/>
          </w:tcPr>
          <w:p w14:paraId="75218429">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3.637</w:t>
            </w:r>
          </w:p>
        </w:tc>
      </w:tr>
      <w:tr w14:paraId="77907E6E">
        <w:trPr>
          <w:tblHeader/>
          <w:tblCellSpacing w:w="15" w:type="dxa"/>
        </w:trPr>
        <w:tc>
          <w:tcPr>
            <w:tcW w:w="0" w:type="auto"/>
            <w:tcBorders>
              <w:right w:val="nil"/>
            </w:tcBorders>
            <w:tcMar>
              <w:top w:w="120" w:type="dxa"/>
              <w:left w:w="240" w:type="dxa"/>
              <w:bottom w:w="120" w:type="dxa"/>
              <w:right w:w="240" w:type="dxa"/>
            </w:tcMar>
            <w:vAlign w:val="center"/>
          </w:tcPr>
          <w:p w14:paraId="22F8067E">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49C476C5">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(0.151)</w:t>
            </w:r>
          </w:p>
        </w:tc>
        <w:tc>
          <w:tcPr>
            <w:tcW w:w="0" w:type="auto"/>
            <w:tcBorders>
              <w:right w:val="nil"/>
            </w:tcBorders>
            <w:tcMar>
              <w:top w:w="120" w:type="dxa"/>
              <w:left w:w="240" w:type="dxa"/>
              <w:bottom w:w="120" w:type="dxa"/>
              <w:right w:w="240" w:type="dxa"/>
            </w:tcMar>
            <w:vAlign w:val="center"/>
          </w:tcPr>
          <w:p w14:paraId="63399626">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(0.149)</w:t>
            </w:r>
          </w:p>
        </w:tc>
        <w:tc>
          <w:tcPr>
            <w:tcW w:w="0" w:type="auto"/>
            <w:tcBorders>
              <w:right w:val="nil"/>
            </w:tcBorders>
            <w:tcMar>
              <w:top w:w="120" w:type="dxa"/>
              <w:left w:w="240" w:type="dxa"/>
              <w:bottom w:w="120" w:type="dxa"/>
              <w:right w:w="240" w:type="dxa"/>
            </w:tcMar>
            <w:vAlign w:val="center"/>
          </w:tcPr>
          <w:p w14:paraId="2118E69F">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(3.063)</w:t>
            </w:r>
          </w:p>
        </w:tc>
        <w:tc>
          <w:tcPr>
            <w:tcW w:w="0" w:type="auto"/>
            <w:tcBorders>
              <w:right w:val="nil"/>
            </w:tcBorders>
            <w:tcMar>
              <w:top w:w="120" w:type="dxa"/>
              <w:left w:w="240" w:type="dxa"/>
              <w:bottom w:w="120" w:type="dxa"/>
              <w:right w:w="240" w:type="dxa"/>
            </w:tcMar>
            <w:vAlign w:val="center"/>
          </w:tcPr>
          <w:p w14:paraId="6D4FA6D7">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(3.171)</w:t>
            </w:r>
          </w:p>
        </w:tc>
      </w:tr>
      <w:tr w14:paraId="3BBAB558">
        <w:trPr>
          <w:tblHeader/>
          <w:tblCellSpacing w:w="15" w:type="dxa"/>
        </w:trPr>
        <w:tc>
          <w:tcPr>
            <w:tcW w:w="0" w:type="auto"/>
            <w:tcBorders>
              <w:right w:val="nil"/>
            </w:tcBorders>
            <w:tcMar>
              <w:top w:w="120" w:type="dxa"/>
              <w:left w:w="240" w:type="dxa"/>
              <w:bottom w:w="120" w:type="dxa"/>
              <w:right w:w="240" w:type="dxa"/>
            </w:tcMar>
            <w:vAlign w:val="center"/>
          </w:tcPr>
          <w:p w14:paraId="358A3914">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Education [Ref: Primary School and Below]</w:t>
            </w:r>
          </w:p>
        </w:tc>
        <w:tc>
          <w:tcPr>
            <w:tcW w:w="0" w:type="auto"/>
            <w:tcBorders>
              <w:right w:val="nil"/>
            </w:tcBorders>
            <w:tcMar>
              <w:top w:w="120" w:type="dxa"/>
              <w:left w:w="240" w:type="dxa"/>
              <w:bottom w:w="120" w:type="dxa"/>
              <w:right w:w="240" w:type="dxa"/>
            </w:tcMar>
            <w:vAlign w:val="center"/>
          </w:tcPr>
          <w:p w14:paraId="75ABECFF">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645790AE">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0D51DF19">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4B92E15E">
            <w:pPr>
              <w:spacing w:line="160" w:lineRule="atLeast"/>
              <w:jc w:val="left"/>
              <w:rPr>
                <w:rFonts w:ascii="Times New Roman Regular" w:hAnsi="Times New Roman Regular" w:cs="Times New Roman Regular"/>
                <w:sz w:val="20"/>
                <w:szCs w:val="20"/>
              </w:rPr>
            </w:pPr>
          </w:p>
        </w:tc>
      </w:tr>
      <w:tr w14:paraId="0D0EFA0B">
        <w:trPr>
          <w:tblHeader/>
          <w:tblCellSpacing w:w="15" w:type="dxa"/>
        </w:trPr>
        <w:tc>
          <w:tcPr>
            <w:tcW w:w="0" w:type="auto"/>
            <w:tcBorders>
              <w:right w:val="nil"/>
            </w:tcBorders>
            <w:tcMar>
              <w:top w:w="120" w:type="dxa"/>
              <w:left w:w="240" w:type="dxa"/>
              <w:bottom w:w="120" w:type="dxa"/>
              <w:right w:w="240" w:type="dxa"/>
            </w:tcMar>
            <w:vAlign w:val="center"/>
          </w:tcPr>
          <w:p w14:paraId="536F2C66">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Primary School Graduation or Above</w:t>
            </w:r>
          </w:p>
        </w:tc>
        <w:tc>
          <w:tcPr>
            <w:tcW w:w="0" w:type="auto"/>
            <w:tcBorders>
              <w:right w:val="nil"/>
            </w:tcBorders>
            <w:tcMar>
              <w:top w:w="120" w:type="dxa"/>
              <w:left w:w="240" w:type="dxa"/>
              <w:bottom w:w="120" w:type="dxa"/>
              <w:right w:w="240" w:type="dxa"/>
            </w:tcMar>
            <w:vAlign w:val="center"/>
          </w:tcPr>
          <w:p w14:paraId="530334AD">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0.002</w:t>
            </w:r>
          </w:p>
        </w:tc>
        <w:tc>
          <w:tcPr>
            <w:tcW w:w="0" w:type="auto"/>
            <w:tcBorders>
              <w:right w:val="nil"/>
            </w:tcBorders>
            <w:tcMar>
              <w:top w:w="120" w:type="dxa"/>
              <w:left w:w="240" w:type="dxa"/>
              <w:bottom w:w="120" w:type="dxa"/>
              <w:right w:w="240" w:type="dxa"/>
            </w:tcMar>
            <w:vAlign w:val="center"/>
          </w:tcPr>
          <w:p w14:paraId="5BEE7289">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0.006</w:t>
            </w:r>
          </w:p>
        </w:tc>
        <w:tc>
          <w:tcPr>
            <w:tcW w:w="0" w:type="auto"/>
            <w:tcBorders>
              <w:right w:val="nil"/>
            </w:tcBorders>
            <w:tcMar>
              <w:top w:w="120" w:type="dxa"/>
              <w:left w:w="240" w:type="dxa"/>
              <w:bottom w:w="120" w:type="dxa"/>
              <w:right w:w="240" w:type="dxa"/>
            </w:tcMar>
            <w:vAlign w:val="center"/>
          </w:tcPr>
          <w:p w14:paraId="07E4160D">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-1.685</w:t>
            </w:r>
          </w:p>
        </w:tc>
        <w:tc>
          <w:tcPr>
            <w:tcW w:w="0" w:type="auto"/>
            <w:tcBorders>
              <w:right w:val="nil"/>
            </w:tcBorders>
            <w:tcMar>
              <w:top w:w="120" w:type="dxa"/>
              <w:left w:w="240" w:type="dxa"/>
              <w:bottom w:w="120" w:type="dxa"/>
              <w:right w:w="240" w:type="dxa"/>
            </w:tcMar>
            <w:vAlign w:val="center"/>
          </w:tcPr>
          <w:p w14:paraId="6EB7FA10">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-1.648</w:t>
            </w:r>
          </w:p>
        </w:tc>
      </w:tr>
      <w:tr w14:paraId="0B577FA8">
        <w:trPr>
          <w:tblHeader/>
          <w:tblCellSpacing w:w="15" w:type="dxa"/>
        </w:trPr>
        <w:tc>
          <w:tcPr>
            <w:tcW w:w="0" w:type="auto"/>
            <w:tcBorders>
              <w:right w:val="nil"/>
            </w:tcBorders>
            <w:tcMar>
              <w:top w:w="120" w:type="dxa"/>
              <w:left w:w="240" w:type="dxa"/>
              <w:bottom w:w="120" w:type="dxa"/>
              <w:right w:w="240" w:type="dxa"/>
            </w:tcMar>
            <w:vAlign w:val="center"/>
          </w:tcPr>
          <w:p w14:paraId="05074818">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27E75F34">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(0.155)</w:t>
            </w:r>
          </w:p>
        </w:tc>
        <w:tc>
          <w:tcPr>
            <w:tcW w:w="0" w:type="auto"/>
            <w:tcBorders>
              <w:right w:val="nil"/>
            </w:tcBorders>
            <w:tcMar>
              <w:top w:w="120" w:type="dxa"/>
              <w:left w:w="240" w:type="dxa"/>
              <w:bottom w:w="120" w:type="dxa"/>
              <w:right w:w="240" w:type="dxa"/>
            </w:tcMar>
            <w:vAlign w:val="center"/>
          </w:tcPr>
          <w:p w14:paraId="08AAB1CA">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(0.153)</w:t>
            </w:r>
          </w:p>
        </w:tc>
        <w:tc>
          <w:tcPr>
            <w:tcW w:w="0" w:type="auto"/>
            <w:tcBorders>
              <w:right w:val="nil"/>
            </w:tcBorders>
            <w:tcMar>
              <w:top w:w="120" w:type="dxa"/>
              <w:left w:w="240" w:type="dxa"/>
              <w:bottom w:w="120" w:type="dxa"/>
              <w:right w:w="240" w:type="dxa"/>
            </w:tcMar>
            <w:vAlign w:val="center"/>
          </w:tcPr>
          <w:p w14:paraId="3997862D">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(3.124)</w:t>
            </w:r>
          </w:p>
        </w:tc>
        <w:tc>
          <w:tcPr>
            <w:tcW w:w="0" w:type="auto"/>
            <w:tcBorders>
              <w:right w:val="nil"/>
            </w:tcBorders>
            <w:tcMar>
              <w:top w:w="120" w:type="dxa"/>
              <w:left w:w="240" w:type="dxa"/>
              <w:bottom w:w="120" w:type="dxa"/>
              <w:right w:w="240" w:type="dxa"/>
            </w:tcMar>
            <w:vAlign w:val="center"/>
          </w:tcPr>
          <w:p w14:paraId="515F30B7">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(3.309)</w:t>
            </w:r>
          </w:p>
        </w:tc>
      </w:tr>
      <w:tr w14:paraId="5FB93717">
        <w:trPr>
          <w:tblHeader/>
          <w:tblCellSpacing w:w="15" w:type="dxa"/>
        </w:trPr>
        <w:tc>
          <w:tcPr>
            <w:tcW w:w="0" w:type="auto"/>
            <w:tcBorders>
              <w:right w:val="nil"/>
            </w:tcBorders>
            <w:tcMar>
              <w:top w:w="120" w:type="dxa"/>
              <w:left w:w="240" w:type="dxa"/>
              <w:bottom w:w="120" w:type="dxa"/>
              <w:right w:w="240" w:type="dxa"/>
            </w:tcMar>
            <w:vAlign w:val="center"/>
          </w:tcPr>
          <w:p w14:paraId="6B0F0D01">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Marital Status [Ref: Currently Married]</w:t>
            </w:r>
          </w:p>
        </w:tc>
        <w:tc>
          <w:tcPr>
            <w:tcW w:w="0" w:type="auto"/>
            <w:tcBorders>
              <w:right w:val="nil"/>
            </w:tcBorders>
            <w:tcMar>
              <w:top w:w="120" w:type="dxa"/>
              <w:left w:w="240" w:type="dxa"/>
              <w:bottom w:w="120" w:type="dxa"/>
              <w:right w:w="240" w:type="dxa"/>
            </w:tcMar>
            <w:vAlign w:val="center"/>
          </w:tcPr>
          <w:p w14:paraId="45AE1788">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3567A7C8">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5FB68DD3">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5AEFF7DA">
            <w:pPr>
              <w:spacing w:line="160" w:lineRule="atLeast"/>
              <w:jc w:val="left"/>
              <w:rPr>
                <w:rFonts w:ascii="Times New Roman Regular" w:hAnsi="Times New Roman Regular" w:cs="Times New Roman Regular"/>
                <w:sz w:val="20"/>
                <w:szCs w:val="20"/>
              </w:rPr>
            </w:pPr>
          </w:p>
        </w:tc>
      </w:tr>
      <w:tr w14:paraId="7691E960">
        <w:trPr>
          <w:tblHeader/>
          <w:tblCellSpacing w:w="15" w:type="dxa"/>
        </w:trPr>
        <w:tc>
          <w:tcPr>
            <w:tcW w:w="0" w:type="auto"/>
            <w:tcBorders>
              <w:right w:val="nil"/>
            </w:tcBorders>
            <w:tcMar>
              <w:top w:w="120" w:type="dxa"/>
              <w:left w:w="240" w:type="dxa"/>
              <w:bottom w:w="120" w:type="dxa"/>
              <w:right w:w="240" w:type="dxa"/>
            </w:tcMar>
            <w:vAlign w:val="center"/>
          </w:tcPr>
          <w:p w14:paraId="0CECFD30">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Widowed</w:t>
            </w:r>
          </w:p>
        </w:tc>
        <w:tc>
          <w:tcPr>
            <w:tcW w:w="0" w:type="auto"/>
            <w:tcBorders>
              <w:right w:val="nil"/>
            </w:tcBorders>
            <w:tcMar>
              <w:top w:w="120" w:type="dxa"/>
              <w:left w:w="240" w:type="dxa"/>
              <w:bottom w:w="120" w:type="dxa"/>
              <w:right w:w="240" w:type="dxa"/>
            </w:tcMar>
            <w:vAlign w:val="center"/>
          </w:tcPr>
          <w:p w14:paraId="62AB7C59">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0.020</w:t>
            </w:r>
          </w:p>
        </w:tc>
        <w:tc>
          <w:tcPr>
            <w:tcW w:w="0" w:type="auto"/>
            <w:tcBorders>
              <w:right w:val="nil"/>
            </w:tcBorders>
            <w:tcMar>
              <w:top w:w="120" w:type="dxa"/>
              <w:left w:w="240" w:type="dxa"/>
              <w:bottom w:w="120" w:type="dxa"/>
              <w:right w:w="240" w:type="dxa"/>
            </w:tcMar>
            <w:vAlign w:val="center"/>
          </w:tcPr>
          <w:p w14:paraId="24206B25">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0.040</w:t>
            </w:r>
          </w:p>
        </w:tc>
        <w:tc>
          <w:tcPr>
            <w:tcW w:w="0" w:type="auto"/>
            <w:tcBorders>
              <w:right w:val="nil"/>
            </w:tcBorders>
            <w:tcMar>
              <w:top w:w="120" w:type="dxa"/>
              <w:left w:w="240" w:type="dxa"/>
              <w:bottom w:w="120" w:type="dxa"/>
              <w:right w:w="240" w:type="dxa"/>
            </w:tcMar>
            <w:vAlign w:val="center"/>
          </w:tcPr>
          <w:p w14:paraId="44A124D2">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-5.256</w:t>
            </w:r>
          </w:p>
        </w:tc>
        <w:tc>
          <w:tcPr>
            <w:tcW w:w="0" w:type="auto"/>
            <w:tcBorders>
              <w:right w:val="nil"/>
            </w:tcBorders>
            <w:tcMar>
              <w:top w:w="120" w:type="dxa"/>
              <w:left w:w="240" w:type="dxa"/>
              <w:bottom w:w="120" w:type="dxa"/>
              <w:right w:w="240" w:type="dxa"/>
            </w:tcMar>
            <w:vAlign w:val="center"/>
          </w:tcPr>
          <w:p w14:paraId="683A1054">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-5.372</w:t>
            </w:r>
          </w:p>
        </w:tc>
      </w:tr>
      <w:tr w14:paraId="0B2A0684">
        <w:trPr>
          <w:tblHeader/>
          <w:tblCellSpacing w:w="15" w:type="dxa"/>
        </w:trPr>
        <w:tc>
          <w:tcPr>
            <w:tcW w:w="0" w:type="auto"/>
            <w:tcBorders>
              <w:right w:val="nil"/>
            </w:tcBorders>
            <w:tcMar>
              <w:top w:w="120" w:type="dxa"/>
              <w:left w:w="240" w:type="dxa"/>
              <w:bottom w:w="120" w:type="dxa"/>
              <w:right w:w="240" w:type="dxa"/>
            </w:tcMar>
            <w:vAlign w:val="center"/>
          </w:tcPr>
          <w:p w14:paraId="3EAC66D2">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00B6C157">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(0.165)</w:t>
            </w:r>
          </w:p>
        </w:tc>
        <w:tc>
          <w:tcPr>
            <w:tcW w:w="0" w:type="auto"/>
            <w:tcBorders>
              <w:right w:val="nil"/>
            </w:tcBorders>
            <w:tcMar>
              <w:top w:w="120" w:type="dxa"/>
              <w:left w:w="240" w:type="dxa"/>
              <w:bottom w:w="120" w:type="dxa"/>
              <w:right w:w="240" w:type="dxa"/>
            </w:tcMar>
            <w:vAlign w:val="center"/>
          </w:tcPr>
          <w:p w14:paraId="0D989FB9">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(0.163)</w:t>
            </w:r>
          </w:p>
        </w:tc>
        <w:tc>
          <w:tcPr>
            <w:tcW w:w="0" w:type="auto"/>
            <w:tcBorders>
              <w:right w:val="nil"/>
            </w:tcBorders>
            <w:tcMar>
              <w:top w:w="120" w:type="dxa"/>
              <w:left w:w="240" w:type="dxa"/>
              <w:bottom w:w="120" w:type="dxa"/>
              <w:right w:w="240" w:type="dxa"/>
            </w:tcMar>
            <w:vAlign w:val="center"/>
          </w:tcPr>
          <w:p w14:paraId="48E52D96">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(3.310)</w:t>
            </w:r>
          </w:p>
        </w:tc>
        <w:tc>
          <w:tcPr>
            <w:tcW w:w="0" w:type="auto"/>
            <w:tcBorders>
              <w:right w:val="nil"/>
            </w:tcBorders>
            <w:tcMar>
              <w:top w:w="120" w:type="dxa"/>
              <w:left w:w="240" w:type="dxa"/>
              <w:bottom w:w="120" w:type="dxa"/>
              <w:right w:w="240" w:type="dxa"/>
            </w:tcMar>
            <w:vAlign w:val="center"/>
          </w:tcPr>
          <w:p w14:paraId="36C8ECC6">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(3.426)</w:t>
            </w:r>
          </w:p>
        </w:tc>
      </w:tr>
      <w:tr w14:paraId="12C4FF97">
        <w:trPr>
          <w:tblHeader/>
          <w:tblCellSpacing w:w="15" w:type="dxa"/>
        </w:trPr>
        <w:tc>
          <w:tcPr>
            <w:tcW w:w="0" w:type="auto"/>
            <w:tcBorders>
              <w:right w:val="nil"/>
            </w:tcBorders>
            <w:tcMar>
              <w:top w:w="120" w:type="dxa"/>
              <w:left w:w="240" w:type="dxa"/>
              <w:bottom w:w="120" w:type="dxa"/>
              <w:right w:w="240" w:type="dxa"/>
            </w:tcMar>
            <w:vAlign w:val="center"/>
          </w:tcPr>
          <w:p w14:paraId="68524BD5">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Others</w:t>
            </w:r>
          </w:p>
        </w:tc>
        <w:tc>
          <w:tcPr>
            <w:tcW w:w="0" w:type="auto"/>
            <w:tcBorders>
              <w:right w:val="nil"/>
            </w:tcBorders>
            <w:tcMar>
              <w:top w:w="120" w:type="dxa"/>
              <w:left w:w="240" w:type="dxa"/>
              <w:bottom w:w="120" w:type="dxa"/>
              <w:right w:w="240" w:type="dxa"/>
            </w:tcMar>
            <w:vAlign w:val="center"/>
          </w:tcPr>
          <w:p w14:paraId="7F17B9C6">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18DCF987">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4F77126A">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-37.785*</w:t>
            </w:r>
          </w:p>
        </w:tc>
        <w:tc>
          <w:tcPr>
            <w:tcW w:w="0" w:type="auto"/>
            <w:tcBorders>
              <w:right w:val="nil"/>
            </w:tcBorders>
            <w:tcMar>
              <w:top w:w="120" w:type="dxa"/>
              <w:left w:w="240" w:type="dxa"/>
              <w:bottom w:w="120" w:type="dxa"/>
              <w:right w:w="240" w:type="dxa"/>
            </w:tcMar>
            <w:vAlign w:val="center"/>
          </w:tcPr>
          <w:p w14:paraId="218944A4">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-33.316**</w:t>
            </w:r>
          </w:p>
        </w:tc>
      </w:tr>
      <w:tr w14:paraId="47C7A2FE">
        <w:trPr>
          <w:tblHeader/>
          <w:tblCellSpacing w:w="15" w:type="dxa"/>
        </w:trPr>
        <w:tc>
          <w:tcPr>
            <w:tcW w:w="0" w:type="auto"/>
            <w:tcBorders>
              <w:right w:val="nil"/>
            </w:tcBorders>
            <w:tcMar>
              <w:top w:w="120" w:type="dxa"/>
              <w:left w:w="240" w:type="dxa"/>
              <w:bottom w:w="120" w:type="dxa"/>
              <w:right w:w="240" w:type="dxa"/>
            </w:tcMar>
            <w:vAlign w:val="center"/>
          </w:tcPr>
          <w:p w14:paraId="7B620BE7">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3D9A555F">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4263E9F0">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31454FE8">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(19.799)</w:t>
            </w:r>
          </w:p>
        </w:tc>
        <w:tc>
          <w:tcPr>
            <w:tcW w:w="0" w:type="auto"/>
            <w:tcBorders>
              <w:right w:val="nil"/>
            </w:tcBorders>
            <w:tcMar>
              <w:top w:w="120" w:type="dxa"/>
              <w:left w:w="240" w:type="dxa"/>
              <w:bottom w:w="120" w:type="dxa"/>
              <w:right w:w="240" w:type="dxa"/>
            </w:tcMar>
            <w:vAlign w:val="center"/>
          </w:tcPr>
          <w:p w14:paraId="18A0BA6A">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(15.194)</w:t>
            </w:r>
          </w:p>
        </w:tc>
      </w:tr>
      <w:tr w14:paraId="05274762">
        <w:trPr>
          <w:tblHeader/>
          <w:tblCellSpacing w:w="15" w:type="dxa"/>
        </w:trPr>
        <w:tc>
          <w:tcPr>
            <w:tcW w:w="0" w:type="auto"/>
            <w:tcBorders>
              <w:right w:val="nil"/>
            </w:tcBorders>
            <w:tcMar>
              <w:top w:w="120" w:type="dxa"/>
              <w:left w:w="240" w:type="dxa"/>
              <w:bottom w:w="120" w:type="dxa"/>
              <w:right w:w="240" w:type="dxa"/>
            </w:tcMar>
            <w:vAlign w:val="center"/>
          </w:tcPr>
          <w:p w14:paraId="4D8C2EEC">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Number of Other Chronic Diseases [Ref: 0]</w:t>
            </w:r>
          </w:p>
        </w:tc>
        <w:tc>
          <w:tcPr>
            <w:tcW w:w="0" w:type="auto"/>
            <w:tcBorders>
              <w:right w:val="nil"/>
            </w:tcBorders>
            <w:tcMar>
              <w:top w:w="120" w:type="dxa"/>
              <w:left w:w="240" w:type="dxa"/>
              <w:bottom w:w="120" w:type="dxa"/>
              <w:right w:w="240" w:type="dxa"/>
            </w:tcMar>
            <w:vAlign w:val="center"/>
          </w:tcPr>
          <w:p w14:paraId="0910F0E4">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4785F61A">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27EA3ED7">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1DF4BCF8">
            <w:pPr>
              <w:spacing w:line="160" w:lineRule="atLeast"/>
              <w:jc w:val="left"/>
              <w:rPr>
                <w:rFonts w:ascii="Times New Roman Regular" w:hAnsi="Times New Roman Regular" w:cs="Times New Roman Regular"/>
                <w:sz w:val="20"/>
                <w:szCs w:val="20"/>
              </w:rPr>
            </w:pPr>
          </w:p>
        </w:tc>
      </w:tr>
      <w:tr w14:paraId="542B0A1C">
        <w:trPr>
          <w:tblHeader/>
          <w:tblCellSpacing w:w="15" w:type="dxa"/>
        </w:trPr>
        <w:tc>
          <w:tcPr>
            <w:tcW w:w="0" w:type="auto"/>
            <w:tcBorders>
              <w:right w:val="nil"/>
            </w:tcBorders>
            <w:tcMar>
              <w:top w:w="120" w:type="dxa"/>
              <w:left w:w="240" w:type="dxa"/>
              <w:bottom w:w="120" w:type="dxa"/>
              <w:right w:w="240" w:type="dxa"/>
            </w:tcMar>
            <w:vAlign w:val="center"/>
          </w:tcPr>
          <w:p w14:paraId="706D3323">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1</w:t>
            </w:r>
          </w:p>
        </w:tc>
        <w:tc>
          <w:tcPr>
            <w:tcW w:w="0" w:type="auto"/>
            <w:tcBorders>
              <w:right w:val="nil"/>
            </w:tcBorders>
            <w:tcMar>
              <w:top w:w="120" w:type="dxa"/>
              <w:left w:w="240" w:type="dxa"/>
              <w:bottom w:w="120" w:type="dxa"/>
              <w:right w:w="240" w:type="dxa"/>
            </w:tcMar>
            <w:vAlign w:val="center"/>
          </w:tcPr>
          <w:p w14:paraId="4F1AB00B">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-0.080</w:t>
            </w:r>
          </w:p>
        </w:tc>
        <w:tc>
          <w:tcPr>
            <w:tcW w:w="0" w:type="auto"/>
            <w:tcBorders>
              <w:right w:val="nil"/>
            </w:tcBorders>
            <w:tcMar>
              <w:top w:w="120" w:type="dxa"/>
              <w:left w:w="240" w:type="dxa"/>
              <w:bottom w:w="120" w:type="dxa"/>
              <w:right w:w="240" w:type="dxa"/>
            </w:tcMar>
            <w:vAlign w:val="center"/>
          </w:tcPr>
          <w:p w14:paraId="68951F92">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-0.039</w:t>
            </w:r>
          </w:p>
        </w:tc>
        <w:tc>
          <w:tcPr>
            <w:tcW w:w="0" w:type="auto"/>
            <w:tcBorders>
              <w:right w:val="nil"/>
            </w:tcBorders>
            <w:tcMar>
              <w:top w:w="120" w:type="dxa"/>
              <w:left w:w="240" w:type="dxa"/>
              <w:bottom w:w="120" w:type="dxa"/>
              <w:right w:w="240" w:type="dxa"/>
            </w:tcMar>
            <w:vAlign w:val="center"/>
          </w:tcPr>
          <w:p w14:paraId="05A5C71B">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-2.547</w:t>
            </w:r>
          </w:p>
        </w:tc>
        <w:tc>
          <w:tcPr>
            <w:tcW w:w="0" w:type="auto"/>
            <w:tcBorders>
              <w:right w:val="nil"/>
            </w:tcBorders>
            <w:tcMar>
              <w:top w:w="120" w:type="dxa"/>
              <w:left w:w="240" w:type="dxa"/>
              <w:bottom w:w="120" w:type="dxa"/>
              <w:right w:w="240" w:type="dxa"/>
            </w:tcMar>
            <w:vAlign w:val="center"/>
          </w:tcPr>
          <w:p w14:paraId="2B57F6B1">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-4.398</w:t>
            </w:r>
          </w:p>
        </w:tc>
      </w:tr>
      <w:tr w14:paraId="40869F6D">
        <w:trPr>
          <w:tblHeader/>
          <w:tblCellSpacing w:w="15" w:type="dxa"/>
        </w:trPr>
        <w:tc>
          <w:tcPr>
            <w:tcW w:w="0" w:type="auto"/>
            <w:tcBorders>
              <w:right w:val="nil"/>
            </w:tcBorders>
            <w:tcMar>
              <w:top w:w="120" w:type="dxa"/>
              <w:left w:w="240" w:type="dxa"/>
              <w:bottom w:w="120" w:type="dxa"/>
              <w:right w:w="240" w:type="dxa"/>
            </w:tcMar>
            <w:vAlign w:val="center"/>
          </w:tcPr>
          <w:p w14:paraId="79BB481E">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1D45FA40">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(0.160)</w:t>
            </w:r>
          </w:p>
        </w:tc>
        <w:tc>
          <w:tcPr>
            <w:tcW w:w="0" w:type="auto"/>
            <w:tcBorders>
              <w:right w:val="nil"/>
            </w:tcBorders>
            <w:tcMar>
              <w:top w:w="120" w:type="dxa"/>
              <w:left w:w="240" w:type="dxa"/>
              <w:bottom w:w="120" w:type="dxa"/>
              <w:right w:w="240" w:type="dxa"/>
            </w:tcMar>
            <w:vAlign w:val="center"/>
          </w:tcPr>
          <w:p w14:paraId="713C040A">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(0.158)</w:t>
            </w:r>
          </w:p>
        </w:tc>
        <w:tc>
          <w:tcPr>
            <w:tcW w:w="0" w:type="auto"/>
            <w:tcBorders>
              <w:right w:val="nil"/>
            </w:tcBorders>
            <w:tcMar>
              <w:top w:w="120" w:type="dxa"/>
              <w:left w:w="240" w:type="dxa"/>
              <w:bottom w:w="120" w:type="dxa"/>
              <w:right w:w="240" w:type="dxa"/>
            </w:tcMar>
            <w:vAlign w:val="center"/>
          </w:tcPr>
          <w:p w14:paraId="3688A847">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(3.198)</w:t>
            </w:r>
          </w:p>
        </w:tc>
        <w:tc>
          <w:tcPr>
            <w:tcW w:w="0" w:type="auto"/>
            <w:tcBorders>
              <w:right w:val="nil"/>
            </w:tcBorders>
            <w:tcMar>
              <w:top w:w="120" w:type="dxa"/>
              <w:left w:w="240" w:type="dxa"/>
              <w:bottom w:w="120" w:type="dxa"/>
              <w:right w:w="240" w:type="dxa"/>
            </w:tcMar>
            <w:vAlign w:val="center"/>
          </w:tcPr>
          <w:p w14:paraId="753C5808">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(3.291)</w:t>
            </w:r>
          </w:p>
        </w:tc>
      </w:tr>
      <w:tr w14:paraId="17F4EEEF">
        <w:trPr>
          <w:tblHeader/>
          <w:tblCellSpacing w:w="15" w:type="dxa"/>
        </w:trPr>
        <w:tc>
          <w:tcPr>
            <w:tcW w:w="0" w:type="auto"/>
            <w:tcBorders>
              <w:right w:val="nil"/>
            </w:tcBorders>
            <w:tcMar>
              <w:top w:w="120" w:type="dxa"/>
              <w:left w:w="240" w:type="dxa"/>
              <w:bottom w:w="120" w:type="dxa"/>
              <w:right w:w="240" w:type="dxa"/>
            </w:tcMar>
            <w:vAlign w:val="center"/>
          </w:tcPr>
          <w:p w14:paraId="0D5BFF53">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Two and Above</w:t>
            </w:r>
          </w:p>
        </w:tc>
        <w:tc>
          <w:tcPr>
            <w:tcW w:w="0" w:type="auto"/>
            <w:tcBorders>
              <w:right w:val="nil"/>
            </w:tcBorders>
            <w:tcMar>
              <w:top w:w="120" w:type="dxa"/>
              <w:left w:w="240" w:type="dxa"/>
              <w:bottom w:w="120" w:type="dxa"/>
              <w:right w:w="240" w:type="dxa"/>
            </w:tcMar>
            <w:vAlign w:val="center"/>
          </w:tcPr>
          <w:p w14:paraId="3A384B0A">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0.003</w:t>
            </w:r>
          </w:p>
        </w:tc>
        <w:tc>
          <w:tcPr>
            <w:tcW w:w="0" w:type="auto"/>
            <w:tcBorders>
              <w:right w:val="nil"/>
            </w:tcBorders>
            <w:tcMar>
              <w:top w:w="120" w:type="dxa"/>
              <w:left w:w="240" w:type="dxa"/>
              <w:bottom w:w="120" w:type="dxa"/>
              <w:right w:w="240" w:type="dxa"/>
            </w:tcMar>
            <w:vAlign w:val="center"/>
          </w:tcPr>
          <w:p w14:paraId="28946EA6">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0.054</w:t>
            </w:r>
          </w:p>
        </w:tc>
        <w:tc>
          <w:tcPr>
            <w:tcW w:w="0" w:type="auto"/>
            <w:tcBorders>
              <w:right w:val="nil"/>
            </w:tcBorders>
            <w:tcMar>
              <w:top w:w="120" w:type="dxa"/>
              <w:left w:w="240" w:type="dxa"/>
              <w:bottom w:w="120" w:type="dxa"/>
              <w:right w:w="240" w:type="dxa"/>
            </w:tcMar>
            <w:vAlign w:val="center"/>
          </w:tcPr>
          <w:p w14:paraId="75B7E267">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1.174</w:t>
            </w:r>
          </w:p>
        </w:tc>
        <w:tc>
          <w:tcPr>
            <w:tcW w:w="0" w:type="auto"/>
            <w:tcBorders>
              <w:right w:val="nil"/>
            </w:tcBorders>
            <w:tcMar>
              <w:top w:w="120" w:type="dxa"/>
              <w:left w:w="240" w:type="dxa"/>
              <w:bottom w:w="120" w:type="dxa"/>
              <w:right w:w="240" w:type="dxa"/>
            </w:tcMar>
            <w:vAlign w:val="center"/>
          </w:tcPr>
          <w:p w14:paraId="67110E34">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0.286</w:t>
            </w:r>
          </w:p>
        </w:tc>
      </w:tr>
      <w:tr w14:paraId="65462AED">
        <w:trPr>
          <w:tblHeader/>
          <w:tblCellSpacing w:w="15" w:type="dxa"/>
        </w:trPr>
        <w:tc>
          <w:tcPr>
            <w:tcW w:w="0" w:type="auto"/>
            <w:tcBorders>
              <w:right w:val="nil"/>
            </w:tcBorders>
            <w:tcMar>
              <w:top w:w="120" w:type="dxa"/>
              <w:left w:w="240" w:type="dxa"/>
              <w:bottom w:w="120" w:type="dxa"/>
              <w:right w:w="240" w:type="dxa"/>
            </w:tcMar>
            <w:vAlign w:val="center"/>
          </w:tcPr>
          <w:p w14:paraId="3A68C7EE">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01381ED6">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(0.176)</w:t>
            </w:r>
          </w:p>
        </w:tc>
        <w:tc>
          <w:tcPr>
            <w:tcW w:w="0" w:type="auto"/>
            <w:tcBorders>
              <w:right w:val="nil"/>
            </w:tcBorders>
            <w:tcMar>
              <w:top w:w="120" w:type="dxa"/>
              <w:left w:w="240" w:type="dxa"/>
              <w:bottom w:w="120" w:type="dxa"/>
              <w:right w:w="240" w:type="dxa"/>
            </w:tcMar>
            <w:vAlign w:val="center"/>
          </w:tcPr>
          <w:p w14:paraId="6E6F0122">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(0.175)</w:t>
            </w:r>
          </w:p>
        </w:tc>
        <w:tc>
          <w:tcPr>
            <w:tcW w:w="0" w:type="auto"/>
            <w:tcBorders>
              <w:right w:val="nil"/>
            </w:tcBorders>
            <w:tcMar>
              <w:top w:w="120" w:type="dxa"/>
              <w:left w:w="240" w:type="dxa"/>
              <w:bottom w:w="120" w:type="dxa"/>
              <w:right w:w="240" w:type="dxa"/>
            </w:tcMar>
            <w:vAlign w:val="center"/>
          </w:tcPr>
          <w:p w14:paraId="2481D1B7">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(3.621)</w:t>
            </w:r>
          </w:p>
        </w:tc>
        <w:tc>
          <w:tcPr>
            <w:tcW w:w="0" w:type="auto"/>
            <w:tcBorders>
              <w:right w:val="nil"/>
            </w:tcBorders>
            <w:tcMar>
              <w:top w:w="120" w:type="dxa"/>
              <w:left w:w="240" w:type="dxa"/>
              <w:bottom w:w="120" w:type="dxa"/>
              <w:right w:w="240" w:type="dxa"/>
            </w:tcMar>
            <w:vAlign w:val="center"/>
          </w:tcPr>
          <w:p w14:paraId="6E015BD8">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(3.876)</w:t>
            </w:r>
          </w:p>
        </w:tc>
      </w:tr>
      <w:tr w14:paraId="3E1C9AAD">
        <w:trPr>
          <w:tblHeader/>
          <w:tblCellSpacing w:w="15" w:type="dxa"/>
        </w:trPr>
        <w:tc>
          <w:tcPr>
            <w:tcW w:w="0" w:type="auto"/>
            <w:tcBorders>
              <w:right w:val="nil"/>
            </w:tcBorders>
            <w:tcMar>
              <w:top w:w="120" w:type="dxa"/>
              <w:left w:w="240" w:type="dxa"/>
              <w:bottom w:w="120" w:type="dxa"/>
              <w:right w:w="240" w:type="dxa"/>
            </w:tcMar>
            <w:vAlign w:val="center"/>
          </w:tcPr>
          <w:p w14:paraId="46760D61">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Income Generating Activities [Ref: None]</w:t>
            </w:r>
          </w:p>
        </w:tc>
        <w:tc>
          <w:tcPr>
            <w:tcW w:w="0" w:type="auto"/>
            <w:tcBorders>
              <w:right w:val="nil"/>
            </w:tcBorders>
            <w:tcMar>
              <w:top w:w="120" w:type="dxa"/>
              <w:left w:w="240" w:type="dxa"/>
              <w:bottom w:w="120" w:type="dxa"/>
              <w:right w:w="240" w:type="dxa"/>
            </w:tcMar>
            <w:vAlign w:val="center"/>
          </w:tcPr>
          <w:p w14:paraId="306A9C97">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0D3B54D7">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1E993A7A">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553EE320">
            <w:pPr>
              <w:spacing w:line="160" w:lineRule="atLeast"/>
              <w:jc w:val="left"/>
              <w:rPr>
                <w:rFonts w:ascii="Times New Roman Regular" w:hAnsi="Times New Roman Regular" w:cs="Times New Roman Regular"/>
                <w:sz w:val="20"/>
                <w:szCs w:val="20"/>
              </w:rPr>
            </w:pPr>
          </w:p>
        </w:tc>
      </w:tr>
      <w:tr w14:paraId="20F83BF2">
        <w:trPr>
          <w:tblHeader/>
          <w:tblCellSpacing w:w="15" w:type="dxa"/>
        </w:trPr>
        <w:tc>
          <w:tcPr>
            <w:tcW w:w="0" w:type="auto"/>
            <w:tcBorders>
              <w:right w:val="nil"/>
            </w:tcBorders>
            <w:tcMar>
              <w:top w:w="120" w:type="dxa"/>
              <w:left w:w="240" w:type="dxa"/>
              <w:bottom w:w="120" w:type="dxa"/>
              <w:right w:w="240" w:type="dxa"/>
            </w:tcMar>
            <w:vAlign w:val="center"/>
          </w:tcPr>
          <w:p w14:paraId="4E6A6BFD">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Farming Only</w:t>
            </w:r>
          </w:p>
        </w:tc>
        <w:tc>
          <w:tcPr>
            <w:tcW w:w="0" w:type="auto"/>
            <w:tcBorders>
              <w:right w:val="nil"/>
            </w:tcBorders>
            <w:tcMar>
              <w:top w:w="120" w:type="dxa"/>
              <w:left w:w="240" w:type="dxa"/>
              <w:bottom w:w="120" w:type="dxa"/>
              <w:right w:w="240" w:type="dxa"/>
            </w:tcMar>
            <w:vAlign w:val="center"/>
          </w:tcPr>
          <w:p w14:paraId="6B93DD80">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0.119</w:t>
            </w:r>
          </w:p>
        </w:tc>
        <w:tc>
          <w:tcPr>
            <w:tcW w:w="0" w:type="auto"/>
            <w:tcBorders>
              <w:right w:val="nil"/>
            </w:tcBorders>
            <w:tcMar>
              <w:top w:w="120" w:type="dxa"/>
              <w:left w:w="240" w:type="dxa"/>
              <w:bottom w:w="120" w:type="dxa"/>
              <w:right w:w="240" w:type="dxa"/>
            </w:tcMar>
            <w:vAlign w:val="center"/>
          </w:tcPr>
          <w:p w14:paraId="0F4EB3FC">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0.152</w:t>
            </w:r>
          </w:p>
        </w:tc>
        <w:tc>
          <w:tcPr>
            <w:tcW w:w="0" w:type="auto"/>
            <w:tcBorders>
              <w:right w:val="nil"/>
            </w:tcBorders>
            <w:tcMar>
              <w:top w:w="120" w:type="dxa"/>
              <w:left w:w="240" w:type="dxa"/>
              <w:bottom w:w="120" w:type="dxa"/>
              <w:right w:w="240" w:type="dxa"/>
            </w:tcMar>
            <w:vAlign w:val="center"/>
          </w:tcPr>
          <w:p w14:paraId="75FA195A">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-3.488</w:t>
            </w:r>
          </w:p>
        </w:tc>
        <w:tc>
          <w:tcPr>
            <w:tcW w:w="0" w:type="auto"/>
            <w:tcBorders>
              <w:right w:val="nil"/>
            </w:tcBorders>
            <w:tcMar>
              <w:top w:w="120" w:type="dxa"/>
              <w:left w:w="240" w:type="dxa"/>
              <w:bottom w:w="120" w:type="dxa"/>
              <w:right w:w="240" w:type="dxa"/>
            </w:tcMar>
            <w:vAlign w:val="center"/>
          </w:tcPr>
          <w:p w14:paraId="248F68BE">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-2.757</w:t>
            </w:r>
          </w:p>
        </w:tc>
      </w:tr>
      <w:tr w14:paraId="55B00AFD">
        <w:trPr>
          <w:tblHeader/>
          <w:tblCellSpacing w:w="15" w:type="dxa"/>
        </w:trPr>
        <w:tc>
          <w:tcPr>
            <w:tcW w:w="0" w:type="auto"/>
            <w:tcBorders>
              <w:right w:val="nil"/>
            </w:tcBorders>
            <w:tcMar>
              <w:top w:w="120" w:type="dxa"/>
              <w:left w:w="240" w:type="dxa"/>
              <w:bottom w:w="120" w:type="dxa"/>
              <w:right w:w="240" w:type="dxa"/>
            </w:tcMar>
            <w:vAlign w:val="center"/>
          </w:tcPr>
          <w:p w14:paraId="655AA4FE">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01DA45E0">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(0.185)</w:t>
            </w:r>
          </w:p>
        </w:tc>
        <w:tc>
          <w:tcPr>
            <w:tcW w:w="0" w:type="auto"/>
            <w:tcBorders>
              <w:right w:val="nil"/>
            </w:tcBorders>
            <w:tcMar>
              <w:top w:w="120" w:type="dxa"/>
              <w:left w:w="240" w:type="dxa"/>
              <w:bottom w:w="120" w:type="dxa"/>
              <w:right w:w="240" w:type="dxa"/>
            </w:tcMar>
            <w:vAlign w:val="center"/>
          </w:tcPr>
          <w:p w14:paraId="7FC4BAAD">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(0.182)</w:t>
            </w:r>
          </w:p>
        </w:tc>
        <w:tc>
          <w:tcPr>
            <w:tcW w:w="0" w:type="auto"/>
            <w:tcBorders>
              <w:right w:val="nil"/>
            </w:tcBorders>
            <w:tcMar>
              <w:top w:w="120" w:type="dxa"/>
              <w:left w:w="240" w:type="dxa"/>
              <w:bottom w:w="120" w:type="dxa"/>
              <w:right w:w="240" w:type="dxa"/>
            </w:tcMar>
            <w:vAlign w:val="center"/>
          </w:tcPr>
          <w:p w14:paraId="7A115CFB">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(3.770)</w:t>
            </w:r>
          </w:p>
        </w:tc>
        <w:tc>
          <w:tcPr>
            <w:tcW w:w="0" w:type="auto"/>
            <w:tcBorders>
              <w:right w:val="nil"/>
            </w:tcBorders>
            <w:tcMar>
              <w:top w:w="120" w:type="dxa"/>
              <w:left w:w="240" w:type="dxa"/>
              <w:bottom w:w="120" w:type="dxa"/>
              <w:right w:w="240" w:type="dxa"/>
            </w:tcMar>
            <w:vAlign w:val="center"/>
          </w:tcPr>
          <w:p w14:paraId="5208B154">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(3.912)</w:t>
            </w:r>
          </w:p>
        </w:tc>
      </w:tr>
      <w:tr w14:paraId="6C5E624F">
        <w:trPr>
          <w:tblHeader/>
          <w:tblCellSpacing w:w="15" w:type="dxa"/>
        </w:trPr>
        <w:tc>
          <w:tcPr>
            <w:tcW w:w="0" w:type="auto"/>
            <w:tcBorders>
              <w:right w:val="nil"/>
            </w:tcBorders>
            <w:tcMar>
              <w:top w:w="120" w:type="dxa"/>
              <w:left w:w="240" w:type="dxa"/>
              <w:bottom w:w="120" w:type="dxa"/>
              <w:right w:w="240" w:type="dxa"/>
            </w:tcMar>
            <w:vAlign w:val="center"/>
          </w:tcPr>
          <w:p w14:paraId="700DEEDC">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Off-farm Employment Only</w:t>
            </w:r>
          </w:p>
        </w:tc>
        <w:tc>
          <w:tcPr>
            <w:tcW w:w="0" w:type="auto"/>
            <w:tcBorders>
              <w:right w:val="nil"/>
            </w:tcBorders>
            <w:tcMar>
              <w:top w:w="120" w:type="dxa"/>
              <w:left w:w="240" w:type="dxa"/>
              <w:bottom w:w="120" w:type="dxa"/>
              <w:right w:w="240" w:type="dxa"/>
            </w:tcMar>
            <w:vAlign w:val="center"/>
          </w:tcPr>
          <w:p w14:paraId="42EFEF1C">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0.314</w:t>
            </w:r>
          </w:p>
        </w:tc>
        <w:tc>
          <w:tcPr>
            <w:tcW w:w="0" w:type="auto"/>
            <w:tcBorders>
              <w:right w:val="nil"/>
            </w:tcBorders>
            <w:tcMar>
              <w:top w:w="120" w:type="dxa"/>
              <w:left w:w="240" w:type="dxa"/>
              <w:bottom w:w="120" w:type="dxa"/>
              <w:right w:w="240" w:type="dxa"/>
            </w:tcMar>
            <w:vAlign w:val="center"/>
          </w:tcPr>
          <w:p w14:paraId="3FCCD8C4">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0.337</w:t>
            </w:r>
          </w:p>
        </w:tc>
        <w:tc>
          <w:tcPr>
            <w:tcW w:w="0" w:type="auto"/>
            <w:tcBorders>
              <w:right w:val="nil"/>
            </w:tcBorders>
            <w:tcMar>
              <w:top w:w="120" w:type="dxa"/>
              <w:left w:w="240" w:type="dxa"/>
              <w:bottom w:w="120" w:type="dxa"/>
              <w:right w:w="240" w:type="dxa"/>
            </w:tcMar>
            <w:vAlign w:val="center"/>
          </w:tcPr>
          <w:p w14:paraId="336060E5">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-1.041</w:t>
            </w:r>
          </w:p>
        </w:tc>
        <w:tc>
          <w:tcPr>
            <w:tcW w:w="0" w:type="auto"/>
            <w:tcBorders>
              <w:right w:val="nil"/>
            </w:tcBorders>
            <w:tcMar>
              <w:top w:w="120" w:type="dxa"/>
              <w:left w:w="240" w:type="dxa"/>
              <w:bottom w:w="120" w:type="dxa"/>
              <w:right w:w="240" w:type="dxa"/>
            </w:tcMar>
            <w:vAlign w:val="center"/>
          </w:tcPr>
          <w:p w14:paraId="16904DD7">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2.557</w:t>
            </w:r>
          </w:p>
        </w:tc>
      </w:tr>
      <w:tr w14:paraId="3E41D76D">
        <w:trPr>
          <w:tblHeader/>
          <w:tblCellSpacing w:w="15" w:type="dxa"/>
        </w:trPr>
        <w:tc>
          <w:tcPr>
            <w:tcW w:w="0" w:type="auto"/>
            <w:tcBorders>
              <w:right w:val="nil"/>
            </w:tcBorders>
            <w:tcMar>
              <w:top w:w="120" w:type="dxa"/>
              <w:left w:w="240" w:type="dxa"/>
              <w:bottom w:w="120" w:type="dxa"/>
              <w:right w:w="240" w:type="dxa"/>
            </w:tcMar>
            <w:vAlign w:val="center"/>
          </w:tcPr>
          <w:p w14:paraId="3C616099">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7412DB2F">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(0.320)</w:t>
            </w:r>
          </w:p>
        </w:tc>
        <w:tc>
          <w:tcPr>
            <w:tcW w:w="0" w:type="auto"/>
            <w:tcBorders>
              <w:right w:val="nil"/>
            </w:tcBorders>
            <w:tcMar>
              <w:top w:w="120" w:type="dxa"/>
              <w:left w:w="240" w:type="dxa"/>
              <w:bottom w:w="120" w:type="dxa"/>
              <w:right w:w="240" w:type="dxa"/>
            </w:tcMar>
            <w:vAlign w:val="center"/>
          </w:tcPr>
          <w:p w14:paraId="7D1F0D9F">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(0.315)</w:t>
            </w:r>
          </w:p>
        </w:tc>
        <w:tc>
          <w:tcPr>
            <w:tcW w:w="0" w:type="auto"/>
            <w:tcBorders>
              <w:right w:val="nil"/>
            </w:tcBorders>
            <w:tcMar>
              <w:top w:w="120" w:type="dxa"/>
              <w:left w:w="240" w:type="dxa"/>
              <w:bottom w:w="120" w:type="dxa"/>
              <w:right w:w="240" w:type="dxa"/>
            </w:tcMar>
            <w:vAlign w:val="center"/>
          </w:tcPr>
          <w:p w14:paraId="35EA607D">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(6.632)</w:t>
            </w:r>
          </w:p>
        </w:tc>
        <w:tc>
          <w:tcPr>
            <w:tcW w:w="0" w:type="auto"/>
            <w:tcBorders>
              <w:right w:val="nil"/>
            </w:tcBorders>
            <w:tcMar>
              <w:top w:w="120" w:type="dxa"/>
              <w:left w:w="240" w:type="dxa"/>
              <w:bottom w:w="120" w:type="dxa"/>
              <w:right w:w="240" w:type="dxa"/>
            </w:tcMar>
            <w:vAlign w:val="center"/>
          </w:tcPr>
          <w:p w14:paraId="4B1C7217">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(7.251)</w:t>
            </w:r>
          </w:p>
        </w:tc>
      </w:tr>
      <w:tr w14:paraId="0A74E1EF">
        <w:trPr>
          <w:tblHeader/>
          <w:tblCellSpacing w:w="15" w:type="dxa"/>
        </w:trPr>
        <w:tc>
          <w:tcPr>
            <w:tcW w:w="0" w:type="auto"/>
            <w:tcBorders>
              <w:right w:val="nil"/>
            </w:tcBorders>
            <w:tcMar>
              <w:top w:w="120" w:type="dxa"/>
              <w:left w:w="240" w:type="dxa"/>
              <w:bottom w:w="120" w:type="dxa"/>
              <w:right w:w="240" w:type="dxa"/>
            </w:tcMar>
            <w:vAlign w:val="center"/>
          </w:tcPr>
          <w:p w14:paraId="65AA3970">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Both</w:t>
            </w:r>
          </w:p>
        </w:tc>
        <w:tc>
          <w:tcPr>
            <w:tcW w:w="0" w:type="auto"/>
            <w:tcBorders>
              <w:right w:val="nil"/>
            </w:tcBorders>
            <w:tcMar>
              <w:top w:w="120" w:type="dxa"/>
              <w:left w:w="240" w:type="dxa"/>
              <w:bottom w:w="120" w:type="dxa"/>
              <w:right w:w="240" w:type="dxa"/>
            </w:tcMar>
            <w:vAlign w:val="center"/>
          </w:tcPr>
          <w:p w14:paraId="1D4E77B7">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-0.216</w:t>
            </w:r>
          </w:p>
        </w:tc>
        <w:tc>
          <w:tcPr>
            <w:tcW w:w="0" w:type="auto"/>
            <w:tcBorders>
              <w:right w:val="nil"/>
            </w:tcBorders>
            <w:tcMar>
              <w:top w:w="120" w:type="dxa"/>
              <w:left w:w="240" w:type="dxa"/>
              <w:bottom w:w="120" w:type="dxa"/>
              <w:right w:w="240" w:type="dxa"/>
            </w:tcMar>
            <w:vAlign w:val="center"/>
          </w:tcPr>
          <w:p w14:paraId="264BCD30">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-0.195</w:t>
            </w:r>
          </w:p>
        </w:tc>
        <w:tc>
          <w:tcPr>
            <w:tcW w:w="0" w:type="auto"/>
            <w:tcBorders>
              <w:right w:val="nil"/>
            </w:tcBorders>
            <w:tcMar>
              <w:top w:w="120" w:type="dxa"/>
              <w:left w:w="240" w:type="dxa"/>
              <w:bottom w:w="120" w:type="dxa"/>
              <w:right w:w="240" w:type="dxa"/>
            </w:tcMar>
            <w:vAlign w:val="center"/>
          </w:tcPr>
          <w:p w14:paraId="7891148E">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-6.773</w:t>
            </w:r>
          </w:p>
        </w:tc>
        <w:tc>
          <w:tcPr>
            <w:tcW w:w="0" w:type="auto"/>
            <w:tcBorders>
              <w:right w:val="nil"/>
            </w:tcBorders>
            <w:tcMar>
              <w:top w:w="120" w:type="dxa"/>
              <w:left w:w="240" w:type="dxa"/>
              <w:bottom w:w="120" w:type="dxa"/>
              <w:right w:w="240" w:type="dxa"/>
            </w:tcMar>
            <w:vAlign w:val="center"/>
          </w:tcPr>
          <w:p w14:paraId="7675B01C">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-6.416</w:t>
            </w:r>
          </w:p>
        </w:tc>
      </w:tr>
      <w:tr w14:paraId="0B9BA5CB">
        <w:trPr>
          <w:tblHeader/>
          <w:tblCellSpacing w:w="15" w:type="dxa"/>
        </w:trPr>
        <w:tc>
          <w:tcPr>
            <w:tcW w:w="0" w:type="auto"/>
            <w:tcBorders>
              <w:right w:val="nil"/>
            </w:tcBorders>
            <w:tcMar>
              <w:top w:w="120" w:type="dxa"/>
              <w:left w:w="240" w:type="dxa"/>
              <w:bottom w:w="120" w:type="dxa"/>
              <w:right w:w="240" w:type="dxa"/>
            </w:tcMar>
            <w:vAlign w:val="center"/>
          </w:tcPr>
          <w:p w14:paraId="2F2AF1B7">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5B131736">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(0.551)</w:t>
            </w:r>
          </w:p>
        </w:tc>
        <w:tc>
          <w:tcPr>
            <w:tcW w:w="0" w:type="auto"/>
            <w:tcBorders>
              <w:right w:val="nil"/>
            </w:tcBorders>
            <w:tcMar>
              <w:top w:w="120" w:type="dxa"/>
              <w:left w:w="240" w:type="dxa"/>
              <w:bottom w:w="120" w:type="dxa"/>
              <w:right w:w="240" w:type="dxa"/>
            </w:tcMar>
            <w:vAlign w:val="center"/>
          </w:tcPr>
          <w:p w14:paraId="0F147A33">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(0.542)</w:t>
            </w:r>
          </w:p>
        </w:tc>
        <w:tc>
          <w:tcPr>
            <w:tcW w:w="0" w:type="auto"/>
            <w:tcBorders>
              <w:right w:val="nil"/>
            </w:tcBorders>
            <w:tcMar>
              <w:top w:w="120" w:type="dxa"/>
              <w:left w:w="240" w:type="dxa"/>
              <w:bottom w:w="120" w:type="dxa"/>
              <w:right w:w="240" w:type="dxa"/>
            </w:tcMar>
            <w:vAlign w:val="center"/>
          </w:tcPr>
          <w:p w14:paraId="1E4936A3">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(11.402)</w:t>
            </w:r>
          </w:p>
        </w:tc>
        <w:tc>
          <w:tcPr>
            <w:tcW w:w="0" w:type="auto"/>
            <w:tcBorders>
              <w:right w:val="nil"/>
            </w:tcBorders>
            <w:tcMar>
              <w:top w:w="120" w:type="dxa"/>
              <w:left w:w="240" w:type="dxa"/>
              <w:bottom w:w="120" w:type="dxa"/>
              <w:right w:w="240" w:type="dxa"/>
            </w:tcMar>
            <w:vAlign w:val="center"/>
          </w:tcPr>
          <w:p w14:paraId="78573A8D">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(12.462)</w:t>
            </w:r>
          </w:p>
        </w:tc>
      </w:tr>
      <w:tr w14:paraId="46AA27CC">
        <w:trPr>
          <w:tblHeader/>
          <w:tblCellSpacing w:w="15" w:type="dxa"/>
        </w:trPr>
        <w:tc>
          <w:tcPr>
            <w:tcW w:w="0" w:type="auto"/>
            <w:tcBorders>
              <w:right w:val="nil"/>
            </w:tcBorders>
            <w:tcMar>
              <w:top w:w="120" w:type="dxa"/>
              <w:left w:w="240" w:type="dxa"/>
              <w:bottom w:w="120" w:type="dxa"/>
              <w:right w:w="240" w:type="dxa"/>
            </w:tcMar>
            <w:vAlign w:val="center"/>
          </w:tcPr>
          <w:p w14:paraId="513B3A81">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Medical Insurance [Ref: None]</w:t>
            </w:r>
          </w:p>
        </w:tc>
        <w:tc>
          <w:tcPr>
            <w:tcW w:w="0" w:type="auto"/>
            <w:tcBorders>
              <w:right w:val="nil"/>
            </w:tcBorders>
            <w:tcMar>
              <w:top w:w="120" w:type="dxa"/>
              <w:left w:w="240" w:type="dxa"/>
              <w:bottom w:w="120" w:type="dxa"/>
              <w:right w:w="240" w:type="dxa"/>
            </w:tcMar>
            <w:vAlign w:val="center"/>
          </w:tcPr>
          <w:p w14:paraId="5312E5AA">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02C126F6">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7131F70E">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455E73D7">
            <w:pPr>
              <w:spacing w:line="160" w:lineRule="atLeast"/>
              <w:jc w:val="left"/>
              <w:rPr>
                <w:rFonts w:ascii="Times New Roman Regular" w:hAnsi="Times New Roman Regular" w:cs="Times New Roman Regular"/>
                <w:sz w:val="20"/>
                <w:szCs w:val="20"/>
              </w:rPr>
            </w:pPr>
          </w:p>
        </w:tc>
      </w:tr>
      <w:tr w14:paraId="3D2E3A0A">
        <w:trPr>
          <w:tblHeader/>
          <w:tblCellSpacing w:w="15" w:type="dxa"/>
        </w:trPr>
        <w:tc>
          <w:tcPr>
            <w:tcW w:w="0" w:type="auto"/>
            <w:tcBorders>
              <w:right w:val="nil"/>
            </w:tcBorders>
            <w:tcMar>
              <w:top w:w="120" w:type="dxa"/>
              <w:left w:w="240" w:type="dxa"/>
              <w:bottom w:w="120" w:type="dxa"/>
              <w:right w:w="240" w:type="dxa"/>
            </w:tcMar>
            <w:vAlign w:val="center"/>
          </w:tcPr>
          <w:p w14:paraId="66CD53BA">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URRBMI</w:t>
            </w:r>
          </w:p>
        </w:tc>
        <w:tc>
          <w:tcPr>
            <w:tcW w:w="0" w:type="auto"/>
            <w:tcBorders>
              <w:right w:val="nil"/>
            </w:tcBorders>
            <w:tcMar>
              <w:top w:w="120" w:type="dxa"/>
              <w:left w:w="240" w:type="dxa"/>
              <w:bottom w:w="120" w:type="dxa"/>
              <w:right w:w="240" w:type="dxa"/>
            </w:tcMar>
            <w:vAlign w:val="center"/>
          </w:tcPr>
          <w:p w14:paraId="4B5E0425">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-0.060</w:t>
            </w:r>
          </w:p>
        </w:tc>
        <w:tc>
          <w:tcPr>
            <w:tcW w:w="0" w:type="auto"/>
            <w:tcBorders>
              <w:right w:val="nil"/>
            </w:tcBorders>
            <w:tcMar>
              <w:top w:w="120" w:type="dxa"/>
              <w:left w:w="240" w:type="dxa"/>
              <w:bottom w:w="120" w:type="dxa"/>
              <w:right w:w="240" w:type="dxa"/>
            </w:tcMar>
            <w:vAlign w:val="center"/>
          </w:tcPr>
          <w:p w14:paraId="6A4A3BE3">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-0.165</w:t>
            </w:r>
          </w:p>
        </w:tc>
        <w:tc>
          <w:tcPr>
            <w:tcW w:w="0" w:type="auto"/>
            <w:tcBorders>
              <w:right w:val="nil"/>
            </w:tcBorders>
            <w:tcMar>
              <w:top w:w="120" w:type="dxa"/>
              <w:left w:w="240" w:type="dxa"/>
              <w:bottom w:w="120" w:type="dxa"/>
              <w:right w:w="240" w:type="dxa"/>
            </w:tcMar>
            <w:vAlign w:val="center"/>
          </w:tcPr>
          <w:p w14:paraId="01203B9A">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-0.277</w:t>
            </w:r>
          </w:p>
        </w:tc>
        <w:tc>
          <w:tcPr>
            <w:tcW w:w="0" w:type="auto"/>
            <w:tcBorders>
              <w:right w:val="nil"/>
            </w:tcBorders>
            <w:tcMar>
              <w:top w:w="120" w:type="dxa"/>
              <w:left w:w="240" w:type="dxa"/>
              <w:bottom w:w="120" w:type="dxa"/>
              <w:right w:w="240" w:type="dxa"/>
            </w:tcMar>
            <w:vAlign w:val="center"/>
          </w:tcPr>
          <w:p w14:paraId="3710A17E">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-3.366</w:t>
            </w:r>
          </w:p>
        </w:tc>
      </w:tr>
      <w:tr w14:paraId="6A60564C">
        <w:trPr>
          <w:tblHeader/>
          <w:tblCellSpacing w:w="15" w:type="dxa"/>
        </w:trPr>
        <w:tc>
          <w:tcPr>
            <w:tcW w:w="0" w:type="auto"/>
            <w:tcBorders>
              <w:right w:val="nil"/>
            </w:tcBorders>
            <w:tcMar>
              <w:top w:w="120" w:type="dxa"/>
              <w:left w:w="240" w:type="dxa"/>
              <w:bottom w:w="120" w:type="dxa"/>
              <w:right w:w="240" w:type="dxa"/>
            </w:tcMar>
            <w:vAlign w:val="center"/>
          </w:tcPr>
          <w:p w14:paraId="00EB7211">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7CFF1668">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(0.214)</w:t>
            </w:r>
          </w:p>
        </w:tc>
        <w:tc>
          <w:tcPr>
            <w:tcW w:w="0" w:type="auto"/>
            <w:tcBorders>
              <w:right w:val="nil"/>
            </w:tcBorders>
            <w:tcMar>
              <w:top w:w="120" w:type="dxa"/>
              <w:left w:w="240" w:type="dxa"/>
              <w:bottom w:w="120" w:type="dxa"/>
              <w:right w:w="240" w:type="dxa"/>
            </w:tcMar>
            <w:vAlign w:val="center"/>
          </w:tcPr>
          <w:p w14:paraId="4E14C810">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(0.214)</w:t>
            </w:r>
          </w:p>
        </w:tc>
        <w:tc>
          <w:tcPr>
            <w:tcW w:w="0" w:type="auto"/>
            <w:tcBorders>
              <w:right w:val="nil"/>
            </w:tcBorders>
            <w:tcMar>
              <w:top w:w="120" w:type="dxa"/>
              <w:left w:w="240" w:type="dxa"/>
              <w:bottom w:w="120" w:type="dxa"/>
              <w:right w:w="240" w:type="dxa"/>
            </w:tcMar>
            <w:vAlign w:val="center"/>
          </w:tcPr>
          <w:p w14:paraId="6BEE06AA">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(4.382)</w:t>
            </w:r>
          </w:p>
        </w:tc>
        <w:tc>
          <w:tcPr>
            <w:tcW w:w="0" w:type="auto"/>
            <w:tcBorders>
              <w:right w:val="nil"/>
            </w:tcBorders>
            <w:tcMar>
              <w:top w:w="120" w:type="dxa"/>
              <w:left w:w="240" w:type="dxa"/>
              <w:bottom w:w="120" w:type="dxa"/>
              <w:right w:w="240" w:type="dxa"/>
            </w:tcMar>
            <w:vAlign w:val="center"/>
          </w:tcPr>
          <w:p w14:paraId="616504DE">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(4.784)</w:t>
            </w:r>
          </w:p>
        </w:tc>
      </w:tr>
      <w:tr w14:paraId="70940AEC">
        <w:trPr>
          <w:tblHeader/>
          <w:tblCellSpacing w:w="15" w:type="dxa"/>
        </w:trPr>
        <w:tc>
          <w:tcPr>
            <w:tcW w:w="0" w:type="auto"/>
            <w:tcBorders>
              <w:right w:val="nil"/>
            </w:tcBorders>
            <w:tcMar>
              <w:top w:w="120" w:type="dxa"/>
              <w:left w:w="240" w:type="dxa"/>
              <w:bottom w:w="120" w:type="dxa"/>
              <w:right w:w="240" w:type="dxa"/>
            </w:tcMar>
            <w:vAlign w:val="center"/>
          </w:tcPr>
          <w:p w14:paraId="6E83BAD1">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UEBMI</w:t>
            </w:r>
          </w:p>
        </w:tc>
        <w:tc>
          <w:tcPr>
            <w:tcW w:w="0" w:type="auto"/>
            <w:tcBorders>
              <w:right w:val="nil"/>
            </w:tcBorders>
            <w:tcMar>
              <w:top w:w="120" w:type="dxa"/>
              <w:left w:w="240" w:type="dxa"/>
              <w:bottom w:w="120" w:type="dxa"/>
              <w:right w:w="240" w:type="dxa"/>
            </w:tcMar>
            <w:vAlign w:val="center"/>
          </w:tcPr>
          <w:p w14:paraId="06C15848">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-1.503**</w:t>
            </w:r>
          </w:p>
        </w:tc>
        <w:tc>
          <w:tcPr>
            <w:tcW w:w="0" w:type="auto"/>
            <w:tcBorders>
              <w:right w:val="nil"/>
            </w:tcBorders>
            <w:tcMar>
              <w:top w:w="120" w:type="dxa"/>
              <w:left w:w="240" w:type="dxa"/>
              <w:bottom w:w="120" w:type="dxa"/>
              <w:right w:w="240" w:type="dxa"/>
            </w:tcMar>
            <w:vAlign w:val="center"/>
          </w:tcPr>
          <w:p w14:paraId="05F2FF54">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-1.512**</w:t>
            </w:r>
          </w:p>
        </w:tc>
        <w:tc>
          <w:tcPr>
            <w:tcW w:w="0" w:type="auto"/>
            <w:tcBorders>
              <w:right w:val="nil"/>
            </w:tcBorders>
            <w:tcMar>
              <w:top w:w="120" w:type="dxa"/>
              <w:left w:w="240" w:type="dxa"/>
              <w:bottom w:w="120" w:type="dxa"/>
              <w:right w:w="240" w:type="dxa"/>
            </w:tcMar>
            <w:vAlign w:val="center"/>
          </w:tcPr>
          <w:p w14:paraId="5D5A18AB">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-28.722***</w:t>
            </w:r>
          </w:p>
        </w:tc>
        <w:tc>
          <w:tcPr>
            <w:tcW w:w="0" w:type="auto"/>
            <w:tcBorders>
              <w:right w:val="nil"/>
            </w:tcBorders>
            <w:tcMar>
              <w:top w:w="120" w:type="dxa"/>
              <w:left w:w="240" w:type="dxa"/>
              <w:bottom w:w="120" w:type="dxa"/>
              <w:right w:w="240" w:type="dxa"/>
            </w:tcMar>
            <w:vAlign w:val="center"/>
          </w:tcPr>
          <w:p w14:paraId="66EFE454">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-21.978***</w:t>
            </w:r>
          </w:p>
        </w:tc>
      </w:tr>
      <w:tr w14:paraId="162C8630">
        <w:trPr>
          <w:tblHeader/>
          <w:tblCellSpacing w:w="15" w:type="dxa"/>
        </w:trPr>
        <w:tc>
          <w:tcPr>
            <w:tcW w:w="0" w:type="auto"/>
            <w:tcBorders>
              <w:right w:val="nil"/>
            </w:tcBorders>
            <w:tcMar>
              <w:top w:w="120" w:type="dxa"/>
              <w:left w:w="240" w:type="dxa"/>
              <w:bottom w:w="120" w:type="dxa"/>
              <w:right w:w="240" w:type="dxa"/>
            </w:tcMar>
            <w:vAlign w:val="center"/>
          </w:tcPr>
          <w:p w14:paraId="317E90E4">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578A1CF4">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(0.653)</w:t>
            </w:r>
          </w:p>
        </w:tc>
        <w:tc>
          <w:tcPr>
            <w:tcW w:w="0" w:type="auto"/>
            <w:tcBorders>
              <w:right w:val="nil"/>
            </w:tcBorders>
            <w:tcMar>
              <w:top w:w="120" w:type="dxa"/>
              <w:left w:w="240" w:type="dxa"/>
              <w:bottom w:w="120" w:type="dxa"/>
              <w:right w:w="240" w:type="dxa"/>
            </w:tcMar>
            <w:vAlign w:val="center"/>
          </w:tcPr>
          <w:p w14:paraId="43B18B13">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(0.643)</w:t>
            </w:r>
          </w:p>
        </w:tc>
        <w:tc>
          <w:tcPr>
            <w:tcW w:w="0" w:type="auto"/>
            <w:tcBorders>
              <w:right w:val="nil"/>
            </w:tcBorders>
            <w:tcMar>
              <w:top w:w="120" w:type="dxa"/>
              <w:left w:w="240" w:type="dxa"/>
              <w:bottom w:w="120" w:type="dxa"/>
              <w:right w:w="240" w:type="dxa"/>
            </w:tcMar>
            <w:vAlign w:val="center"/>
          </w:tcPr>
          <w:p w14:paraId="4E9AE78F">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(6.539)</w:t>
            </w:r>
          </w:p>
        </w:tc>
        <w:tc>
          <w:tcPr>
            <w:tcW w:w="0" w:type="auto"/>
            <w:tcBorders>
              <w:right w:val="nil"/>
            </w:tcBorders>
            <w:tcMar>
              <w:top w:w="120" w:type="dxa"/>
              <w:left w:w="240" w:type="dxa"/>
              <w:bottom w:w="120" w:type="dxa"/>
              <w:right w:w="240" w:type="dxa"/>
            </w:tcMar>
            <w:vAlign w:val="center"/>
          </w:tcPr>
          <w:p w14:paraId="32C85641">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(6.843)</w:t>
            </w:r>
          </w:p>
        </w:tc>
      </w:tr>
      <w:tr w14:paraId="3F78EB60">
        <w:trPr>
          <w:tblHeader/>
          <w:tblCellSpacing w:w="15" w:type="dxa"/>
        </w:trPr>
        <w:tc>
          <w:tcPr>
            <w:tcW w:w="0" w:type="auto"/>
            <w:tcBorders>
              <w:right w:val="nil"/>
            </w:tcBorders>
            <w:tcMar>
              <w:top w:w="120" w:type="dxa"/>
              <w:left w:w="240" w:type="dxa"/>
              <w:bottom w:w="120" w:type="dxa"/>
              <w:right w:w="240" w:type="dxa"/>
            </w:tcMar>
            <w:vAlign w:val="center"/>
          </w:tcPr>
          <w:p w14:paraId="70342F3F">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Supplementary Insurance</w:t>
            </w:r>
          </w:p>
        </w:tc>
        <w:tc>
          <w:tcPr>
            <w:tcW w:w="0" w:type="auto"/>
            <w:tcBorders>
              <w:right w:val="nil"/>
            </w:tcBorders>
            <w:tcMar>
              <w:top w:w="120" w:type="dxa"/>
              <w:left w:w="240" w:type="dxa"/>
              <w:bottom w:w="120" w:type="dxa"/>
              <w:right w:w="240" w:type="dxa"/>
            </w:tcMar>
            <w:vAlign w:val="center"/>
          </w:tcPr>
          <w:p w14:paraId="5A65E5D8">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1.162**</w:t>
            </w:r>
          </w:p>
        </w:tc>
        <w:tc>
          <w:tcPr>
            <w:tcW w:w="0" w:type="auto"/>
            <w:tcBorders>
              <w:right w:val="nil"/>
            </w:tcBorders>
            <w:tcMar>
              <w:top w:w="120" w:type="dxa"/>
              <w:left w:w="240" w:type="dxa"/>
              <w:bottom w:w="120" w:type="dxa"/>
              <w:right w:w="240" w:type="dxa"/>
            </w:tcMar>
            <w:vAlign w:val="center"/>
          </w:tcPr>
          <w:p w14:paraId="14FAC67B">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1.148**</w:t>
            </w:r>
          </w:p>
        </w:tc>
        <w:tc>
          <w:tcPr>
            <w:tcW w:w="0" w:type="auto"/>
            <w:tcBorders>
              <w:right w:val="nil"/>
            </w:tcBorders>
            <w:tcMar>
              <w:top w:w="120" w:type="dxa"/>
              <w:left w:w="240" w:type="dxa"/>
              <w:bottom w:w="120" w:type="dxa"/>
              <w:right w:w="240" w:type="dxa"/>
            </w:tcMar>
            <w:vAlign w:val="center"/>
          </w:tcPr>
          <w:p w14:paraId="1583AE45">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23.012**</w:t>
            </w:r>
          </w:p>
        </w:tc>
        <w:tc>
          <w:tcPr>
            <w:tcW w:w="0" w:type="auto"/>
            <w:tcBorders>
              <w:right w:val="nil"/>
            </w:tcBorders>
            <w:tcMar>
              <w:top w:w="120" w:type="dxa"/>
              <w:left w:w="240" w:type="dxa"/>
              <w:bottom w:w="120" w:type="dxa"/>
              <w:right w:w="240" w:type="dxa"/>
            </w:tcMar>
            <w:vAlign w:val="center"/>
          </w:tcPr>
          <w:p w14:paraId="119101CA">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23.707**</w:t>
            </w:r>
          </w:p>
        </w:tc>
      </w:tr>
      <w:tr w14:paraId="04D4A794">
        <w:trPr>
          <w:tblHeader/>
          <w:tblCellSpacing w:w="15" w:type="dxa"/>
        </w:trPr>
        <w:tc>
          <w:tcPr>
            <w:tcW w:w="0" w:type="auto"/>
            <w:tcBorders>
              <w:right w:val="nil"/>
            </w:tcBorders>
            <w:tcMar>
              <w:top w:w="120" w:type="dxa"/>
              <w:left w:w="240" w:type="dxa"/>
              <w:bottom w:w="120" w:type="dxa"/>
              <w:right w:w="240" w:type="dxa"/>
            </w:tcMar>
            <w:vAlign w:val="center"/>
          </w:tcPr>
          <w:p w14:paraId="735140B2">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2166FB91">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(0.460)</w:t>
            </w:r>
          </w:p>
        </w:tc>
        <w:tc>
          <w:tcPr>
            <w:tcW w:w="0" w:type="auto"/>
            <w:tcBorders>
              <w:right w:val="nil"/>
            </w:tcBorders>
            <w:tcMar>
              <w:top w:w="120" w:type="dxa"/>
              <w:left w:w="240" w:type="dxa"/>
              <w:bottom w:w="120" w:type="dxa"/>
              <w:right w:w="240" w:type="dxa"/>
            </w:tcMar>
            <w:vAlign w:val="center"/>
          </w:tcPr>
          <w:p w14:paraId="19C5704B">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(0.452)</w:t>
            </w:r>
          </w:p>
        </w:tc>
        <w:tc>
          <w:tcPr>
            <w:tcW w:w="0" w:type="auto"/>
            <w:tcBorders>
              <w:right w:val="nil"/>
            </w:tcBorders>
            <w:tcMar>
              <w:top w:w="120" w:type="dxa"/>
              <w:left w:w="240" w:type="dxa"/>
              <w:bottom w:w="120" w:type="dxa"/>
              <w:right w:w="240" w:type="dxa"/>
            </w:tcMar>
            <w:vAlign w:val="center"/>
          </w:tcPr>
          <w:p w14:paraId="59372F4E">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(9.521)</w:t>
            </w:r>
          </w:p>
        </w:tc>
        <w:tc>
          <w:tcPr>
            <w:tcW w:w="0" w:type="auto"/>
            <w:tcBorders>
              <w:right w:val="nil"/>
            </w:tcBorders>
            <w:tcMar>
              <w:top w:w="120" w:type="dxa"/>
              <w:left w:w="240" w:type="dxa"/>
              <w:bottom w:w="120" w:type="dxa"/>
              <w:right w:w="240" w:type="dxa"/>
            </w:tcMar>
            <w:vAlign w:val="center"/>
          </w:tcPr>
          <w:p w14:paraId="043A3DF9">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(10.430)</w:t>
            </w:r>
          </w:p>
        </w:tc>
      </w:tr>
      <w:tr w14:paraId="3DA00716">
        <w:trPr>
          <w:tblHeader/>
          <w:tblCellSpacing w:w="15" w:type="dxa"/>
        </w:trPr>
        <w:tc>
          <w:tcPr>
            <w:tcW w:w="0" w:type="auto"/>
            <w:tcBorders>
              <w:right w:val="nil"/>
            </w:tcBorders>
            <w:tcMar>
              <w:top w:w="120" w:type="dxa"/>
              <w:left w:w="240" w:type="dxa"/>
              <w:bottom w:w="120" w:type="dxa"/>
              <w:right w:w="240" w:type="dxa"/>
            </w:tcMar>
            <w:vAlign w:val="center"/>
          </w:tcPr>
          <w:p w14:paraId="48A6054D">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Poverty-Stricken Household [Ref: No]</w:t>
            </w:r>
          </w:p>
        </w:tc>
        <w:tc>
          <w:tcPr>
            <w:tcW w:w="0" w:type="auto"/>
            <w:tcBorders>
              <w:right w:val="nil"/>
            </w:tcBorders>
            <w:tcMar>
              <w:top w:w="120" w:type="dxa"/>
              <w:left w:w="240" w:type="dxa"/>
              <w:bottom w:w="120" w:type="dxa"/>
              <w:right w:w="240" w:type="dxa"/>
            </w:tcMar>
            <w:vAlign w:val="center"/>
          </w:tcPr>
          <w:p w14:paraId="32CB214F">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52C36183">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0E183D77">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0DAB2E1B">
            <w:pPr>
              <w:spacing w:line="160" w:lineRule="atLeast"/>
              <w:jc w:val="left"/>
              <w:rPr>
                <w:rFonts w:ascii="Times New Roman Regular" w:hAnsi="Times New Roman Regular" w:cs="Times New Roman Regular"/>
                <w:sz w:val="20"/>
                <w:szCs w:val="20"/>
              </w:rPr>
            </w:pPr>
          </w:p>
        </w:tc>
      </w:tr>
      <w:tr w14:paraId="2D6FC154">
        <w:trPr>
          <w:tblHeader/>
          <w:tblCellSpacing w:w="15" w:type="dxa"/>
        </w:trPr>
        <w:tc>
          <w:tcPr>
            <w:tcW w:w="0" w:type="auto"/>
            <w:tcBorders>
              <w:right w:val="nil"/>
            </w:tcBorders>
            <w:tcMar>
              <w:top w:w="120" w:type="dxa"/>
              <w:left w:w="240" w:type="dxa"/>
              <w:bottom w:w="120" w:type="dxa"/>
              <w:right w:w="240" w:type="dxa"/>
            </w:tcMar>
            <w:vAlign w:val="center"/>
          </w:tcPr>
          <w:p w14:paraId="4ABFE92A">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Yes</w:t>
            </w:r>
          </w:p>
        </w:tc>
        <w:tc>
          <w:tcPr>
            <w:tcW w:w="0" w:type="auto"/>
            <w:tcBorders>
              <w:right w:val="nil"/>
            </w:tcBorders>
            <w:tcMar>
              <w:top w:w="120" w:type="dxa"/>
              <w:left w:w="240" w:type="dxa"/>
              <w:bottom w:w="120" w:type="dxa"/>
              <w:right w:w="240" w:type="dxa"/>
            </w:tcMar>
            <w:vAlign w:val="center"/>
          </w:tcPr>
          <w:p w14:paraId="2C169588">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-1.655***</w:t>
            </w:r>
          </w:p>
        </w:tc>
        <w:tc>
          <w:tcPr>
            <w:tcW w:w="0" w:type="auto"/>
            <w:tcBorders>
              <w:right w:val="nil"/>
            </w:tcBorders>
            <w:tcMar>
              <w:top w:w="120" w:type="dxa"/>
              <w:left w:w="240" w:type="dxa"/>
              <w:bottom w:w="120" w:type="dxa"/>
              <w:right w:w="240" w:type="dxa"/>
            </w:tcMar>
            <w:vAlign w:val="center"/>
          </w:tcPr>
          <w:p w14:paraId="2FF13FA4">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-1.662***</w:t>
            </w:r>
          </w:p>
        </w:tc>
        <w:tc>
          <w:tcPr>
            <w:tcW w:w="0" w:type="auto"/>
            <w:tcBorders>
              <w:right w:val="nil"/>
            </w:tcBorders>
            <w:tcMar>
              <w:top w:w="120" w:type="dxa"/>
              <w:left w:w="240" w:type="dxa"/>
              <w:bottom w:w="120" w:type="dxa"/>
              <w:right w:w="240" w:type="dxa"/>
            </w:tcMar>
            <w:vAlign w:val="center"/>
          </w:tcPr>
          <w:p w14:paraId="48755AB0">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-15.761***</w:t>
            </w:r>
          </w:p>
        </w:tc>
        <w:tc>
          <w:tcPr>
            <w:tcW w:w="0" w:type="auto"/>
            <w:tcBorders>
              <w:right w:val="nil"/>
            </w:tcBorders>
            <w:tcMar>
              <w:top w:w="120" w:type="dxa"/>
              <w:left w:w="240" w:type="dxa"/>
              <w:bottom w:w="120" w:type="dxa"/>
              <w:right w:w="240" w:type="dxa"/>
            </w:tcMar>
            <w:vAlign w:val="center"/>
          </w:tcPr>
          <w:p w14:paraId="0DB3D7DD">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-18.597***</w:t>
            </w:r>
          </w:p>
        </w:tc>
      </w:tr>
      <w:tr w14:paraId="5D9D14F7">
        <w:trPr>
          <w:tblHeader/>
          <w:tblCellSpacing w:w="15" w:type="dxa"/>
        </w:trPr>
        <w:tc>
          <w:tcPr>
            <w:tcW w:w="0" w:type="auto"/>
            <w:tcBorders>
              <w:right w:val="nil"/>
            </w:tcBorders>
            <w:tcMar>
              <w:top w:w="120" w:type="dxa"/>
              <w:left w:w="240" w:type="dxa"/>
              <w:bottom w:w="120" w:type="dxa"/>
              <w:right w:w="240" w:type="dxa"/>
            </w:tcMar>
            <w:vAlign w:val="center"/>
          </w:tcPr>
          <w:p w14:paraId="6C5EC0C7">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5F031D90">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(0.230)</w:t>
            </w:r>
          </w:p>
        </w:tc>
        <w:tc>
          <w:tcPr>
            <w:tcW w:w="0" w:type="auto"/>
            <w:tcBorders>
              <w:right w:val="nil"/>
            </w:tcBorders>
            <w:tcMar>
              <w:top w:w="120" w:type="dxa"/>
              <w:left w:w="240" w:type="dxa"/>
              <w:bottom w:w="120" w:type="dxa"/>
              <w:right w:w="240" w:type="dxa"/>
            </w:tcMar>
            <w:vAlign w:val="center"/>
          </w:tcPr>
          <w:p w14:paraId="0F3D4540">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(0.226)</w:t>
            </w:r>
          </w:p>
        </w:tc>
        <w:tc>
          <w:tcPr>
            <w:tcW w:w="0" w:type="auto"/>
            <w:tcBorders>
              <w:right w:val="nil"/>
            </w:tcBorders>
            <w:tcMar>
              <w:top w:w="120" w:type="dxa"/>
              <w:left w:w="240" w:type="dxa"/>
              <w:bottom w:w="120" w:type="dxa"/>
              <w:right w:w="240" w:type="dxa"/>
            </w:tcMar>
            <w:vAlign w:val="center"/>
          </w:tcPr>
          <w:p w14:paraId="51029C13">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(4.543)</w:t>
            </w:r>
          </w:p>
        </w:tc>
        <w:tc>
          <w:tcPr>
            <w:tcW w:w="0" w:type="auto"/>
            <w:tcBorders>
              <w:right w:val="nil"/>
            </w:tcBorders>
            <w:tcMar>
              <w:top w:w="120" w:type="dxa"/>
              <w:left w:w="240" w:type="dxa"/>
              <w:bottom w:w="120" w:type="dxa"/>
              <w:right w:w="240" w:type="dxa"/>
            </w:tcMar>
            <w:vAlign w:val="center"/>
          </w:tcPr>
          <w:p w14:paraId="34A94AF8">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(4.024)</w:t>
            </w:r>
          </w:p>
        </w:tc>
      </w:tr>
      <w:tr w14:paraId="25E854E8">
        <w:trPr>
          <w:tblHeader/>
          <w:tblCellSpacing w:w="15" w:type="dxa"/>
        </w:trPr>
        <w:tc>
          <w:tcPr>
            <w:tcW w:w="0" w:type="auto"/>
            <w:tcBorders>
              <w:right w:val="nil"/>
            </w:tcBorders>
            <w:tcMar>
              <w:top w:w="120" w:type="dxa"/>
              <w:left w:w="240" w:type="dxa"/>
              <w:bottom w:w="120" w:type="dxa"/>
              <w:right w:w="240" w:type="dxa"/>
            </w:tcMar>
            <w:vAlign w:val="center"/>
          </w:tcPr>
          <w:p w14:paraId="64A2A684">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Annual Household Income [Ref: 1st Quartile]</w:t>
            </w:r>
          </w:p>
        </w:tc>
        <w:tc>
          <w:tcPr>
            <w:tcW w:w="0" w:type="auto"/>
            <w:tcBorders>
              <w:right w:val="nil"/>
            </w:tcBorders>
            <w:tcMar>
              <w:top w:w="120" w:type="dxa"/>
              <w:left w:w="240" w:type="dxa"/>
              <w:bottom w:w="120" w:type="dxa"/>
              <w:right w:w="240" w:type="dxa"/>
            </w:tcMar>
            <w:vAlign w:val="center"/>
          </w:tcPr>
          <w:p w14:paraId="79D51670">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45F06FA0">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2E23D47D">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57B74F04">
            <w:pPr>
              <w:spacing w:line="160" w:lineRule="atLeast"/>
              <w:jc w:val="left"/>
              <w:rPr>
                <w:rFonts w:ascii="Times New Roman Regular" w:hAnsi="Times New Roman Regular" w:cs="Times New Roman Regular"/>
                <w:sz w:val="20"/>
                <w:szCs w:val="20"/>
              </w:rPr>
            </w:pPr>
          </w:p>
        </w:tc>
      </w:tr>
      <w:tr w14:paraId="6EA64557">
        <w:trPr>
          <w:tblHeader/>
          <w:tblCellSpacing w:w="15" w:type="dxa"/>
        </w:trPr>
        <w:tc>
          <w:tcPr>
            <w:tcW w:w="0" w:type="auto"/>
            <w:tcBorders>
              <w:right w:val="nil"/>
            </w:tcBorders>
            <w:tcMar>
              <w:top w:w="120" w:type="dxa"/>
              <w:left w:w="240" w:type="dxa"/>
              <w:bottom w:w="120" w:type="dxa"/>
              <w:right w:w="240" w:type="dxa"/>
            </w:tcMar>
            <w:vAlign w:val="center"/>
          </w:tcPr>
          <w:p w14:paraId="7B974E9E">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2nd Quartile</w:t>
            </w:r>
          </w:p>
        </w:tc>
        <w:tc>
          <w:tcPr>
            <w:tcW w:w="0" w:type="auto"/>
            <w:tcBorders>
              <w:right w:val="nil"/>
            </w:tcBorders>
            <w:tcMar>
              <w:top w:w="120" w:type="dxa"/>
              <w:left w:w="240" w:type="dxa"/>
              <w:bottom w:w="120" w:type="dxa"/>
              <w:right w:w="240" w:type="dxa"/>
            </w:tcMar>
            <w:vAlign w:val="center"/>
          </w:tcPr>
          <w:p w14:paraId="6827A484">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0.110</w:t>
            </w:r>
          </w:p>
        </w:tc>
        <w:tc>
          <w:tcPr>
            <w:tcW w:w="0" w:type="auto"/>
            <w:tcBorders>
              <w:right w:val="nil"/>
            </w:tcBorders>
            <w:tcMar>
              <w:top w:w="120" w:type="dxa"/>
              <w:left w:w="240" w:type="dxa"/>
              <w:bottom w:w="120" w:type="dxa"/>
              <w:right w:w="240" w:type="dxa"/>
            </w:tcMar>
            <w:vAlign w:val="center"/>
          </w:tcPr>
          <w:p w14:paraId="4139BB01">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0.065</w:t>
            </w:r>
          </w:p>
        </w:tc>
        <w:tc>
          <w:tcPr>
            <w:tcW w:w="0" w:type="auto"/>
            <w:tcBorders>
              <w:right w:val="nil"/>
            </w:tcBorders>
            <w:tcMar>
              <w:top w:w="120" w:type="dxa"/>
              <w:left w:w="240" w:type="dxa"/>
              <w:bottom w:w="120" w:type="dxa"/>
              <w:right w:w="240" w:type="dxa"/>
            </w:tcMar>
            <w:vAlign w:val="center"/>
          </w:tcPr>
          <w:p w14:paraId="6618AC14">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-38.179***</w:t>
            </w:r>
          </w:p>
        </w:tc>
        <w:tc>
          <w:tcPr>
            <w:tcW w:w="0" w:type="auto"/>
            <w:tcBorders>
              <w:right w:val="nil"/>
            </w:tcBorders>
            <w:tcMar>
              <w:top w:w="120" w:type="dxa"/>
              <w:left w:w="240" w:type="dxa"/>
              <w:bottom w:w="120" w:type="dxa"/>
              <w:right w:w="240" w:type="dxa"/>
            </w:tcMar>
            <w:vAlign w:val="center"/>
          </w:tcPr>
          <w:p w14:paraId="4A662419">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-30.497***</w:t>
            </w:r>
          </w:p>
        </w:tc>
      </w:tr>
      <w:tr w14:paraId="4C74370C">
        <w:trPr>
          <w:tblHeader/>
          <w:tblCellSpacing w:w="15" w:type="dxa"/>
        </w:trPr>
        <w:tc>
          <w:tcPr>
            <w:tcW w:w="0" w:type="auto"/>
            <w:tcBorders>
              <w:right w:val="nil"/>
            </w:tcBorders>
            <w:tcMar>
              <w:top w:w="120" w:type="dxa"/>
              <w:left w:w="240" w:type="dxa"/>
              <w:bottom w:w="120" w:type="dxa"/>
              <w:right w:w="240" w:type="dxa"/>
            </w:tcMar>
            <w:vAlign w:val="center"/>
          </w:tcPr>
          <w:p w14:paraId="2F896ECA">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1AA62760">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(0.196)</w:t>
            </w:r>
          </w:p>
        </w:tc>
        <w:tc>
          <w:tcPr>
            <w:tcW w:w="0" w:type="auto"/>
            <w:tcBorders>
              <w:right w:val="nil"/>
            </w:tcBorders>
            <w:tcMar>
              <w:top w:w="120" w:type="dxa"/>
              <w:left w:w="240" w:type="dxa"/>
              <w:bottom w:w="120" w:type="dxa"/>
              <w:right w:w="240" w:type="dxa"/>
            </w:tcMar>
            <w:vAlign w:val="center"/>
          </w:tcPr>
          <w:p w14:paraId="76BD77E1">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(0.193)</w:t>
            </w:r>
          </w:p>
        </w:tc>
        <w:tc>
          <w:tcPr>
            <w:tcW w:w="0" w:type="auto"/>
            <w:tcBorders>
              <w:right w:val="nil"/>
            </w:tcBorders>
            <w:tcMar>
              <w:top w:w="120" w:type="dxa"/>
              <w:left w:w="240" w:type="dxa"/>
              <w:bottom w:w="120" w:type="dxa"/>
              <w:right w:w="240" w:type="dxa"/>
            </w:tcMar>
            <w:vAlign w:val="center"/>
          </w:tcPr>
          <w:p w14:paraId="5C73FC32">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(3.955)</w:t>
            </w:r>
          </w:p>
        </w:tc>
        <w:tc>
          <w:tcPr>
            <w:tcW w:w="0" w:type="auto"/>
            <w:tcBorders>
              <w:right w:val="nil"/>
            </w:tcBorders>
            <w:tcMar>
              <w:top w:w="120" w:type="dxa"/>
              <w:left w:w="240" w:type="dxa"/>
              <w:bottom w:w="120" w:type="dxa"/>
              <w:right w:w="240" w:type="dxa"/>
            </w:tcMar>
            <w:vAlign w:val="center"/>
          </w:tcPr>
          <w:p w14:paraId="160A936C">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(4.014)</w:t>
            </w:r>
          </w:p>
        </w:tc>
      </w:tr>
      <w:tr w14:paraId="163BA7DA">
        <w:trPr>
          <w:tblHeader/>
          <w:tblCellSpacing w:w="15" w:type="dxa"/>
        </w:trPr>
        <w:tc>
          <w:tcPr>
            <w:tcW w:w="0" w:type="auto"/>
            <w:tcBorders>
              <w:right w:val="nil"/>
            </w:tcBorders>
            <w:tcMar>
              <w:top w:w="120" w:type="dxa"/>
              <w:left w:w="240" w:type="dxa"/>
              <w:bottom w:w="120" w:type="dxa"/>
              <w:right w:w="240" w:type="dxa"/>
            </w:tcMar>
            <w:vAlign w:val="center"/>
          </w:tcPr>
          <w:p w14:paraId="0C0BD1A9">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3rd Quartile</w:t>
            </w:r>
          </w:p>
        </w:tc>
        <w:tc>
          <w:tcPr>
            <w:tcW w:w="0" w:type="auto"/>
            <w:tcBorders>
              <w:right w:val="nil"/>
            </w:tcBorders>
            <w:tcMar>
              <w:top w:w="120" w:type="dxa"/>
              <w:left w:w="240" w:type="dxa"/>
              <w:bottom w:w="120" w:type="dxa"/>
              <w:right w:w="240" w:type="dxa"/>
            </w:tcMar>
            <w:vAlign w:val="center"/>
          </w:tcPr>
          <w:p w14:paraId="2E03DF91">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0.032</w:t>
            </w:r>
          </w:p>
        </w:tc>
        <w:tc>
          <w:tcPr>
            <w:tcW w:w="0" w:type="auto"/>
            <w:tcBorders>
              <w:right w:val="nil"/>
            </w:tcBorders>
            <w:tcMar>
              <w:top w:w="120" w:type="dxa"/>
              <w:left w:w="240" w:type="dxa"/>
              <w:bottom w:w="120" w:type="dxa"/>
              <w:right w:w="240" w:type="dxa"/>
            </w:tcMar>
            <w:vAlign w:val="center"/>
          </w:tcPr>
          <w:p w14:paraId="4C5EF5AA">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0.055</w:t>
            </w:r>
          </w:p>
        </w:tc>
        <w:tc>
          <w:tcPr>
            <w:tcW w:w="0" w:type="auto"/>
            <w:tcBorders>
              <w:right w:val="nil"/>
            </w:tcBorders>
            <w:tcMar>
              <w:top w:w="120" w:type="dxa"/>
              <w:left w:w="240" w:type="dxa"/>
              <w:bottom w:w="120" w:type="dxa"/>
              <w:right w:w="240" w:type="dxa"/>
            </w:tcMar>
            <w:vAlign w:val="center"/>
          </w:tcPr>
          <w:p w14:paraId="2F028C77">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-54.766***</w:t>
            </w:r>
          </w:p>
        </w:tc>
        <w:tc>
          <w:tcPr>
            <w:tcW w:w="0" w:type="auto"/>
            <w:tcBorders>
              <w:right w:val="nil"/>
            </w:tcBorders>
            <w:tcMar>
              <w:top w:w="120" w:type="dxa"/>
              <w:left w:w="240" w:type="dxa"/>
              <w:bottom w:w="120" w:type="dxa"/>
              <w:right w:w="240" w:type="dxa"/>
            </w:tcMar>
            <w:vAlign w:val="center"/>
          </w:tcPr>
          <w:p w14:paraId="27BC3647">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-42.616***</w:t>
            </w:r>
          </w:p>
        </w:tc>
      </w:tr>
      <w:tr w14:paraId="1FD5D3C0">
        <w:trPr>
          <w:tblHeader/>
          <w:tblCellSpacing w:w="15" w:type="dxa"/>
        </w:trPr>
        <w:tc>
          <w:tcPr>
            <w:tcW w:w="0" w:type="auto"/>
            <w:tcBorders>
              <w:right w:val="nil"/>
            </w:tcBorders>
            <w:tcMar>
              <w:top w:w="120" w:type="dxa"/>
              <w:left w:w="240" w:type="dxa"/>
              <w:bottom w:w="120" w:type="dxa"/>
              <w:right w:w="240" w:type="dxa"/>
            </w:tcMar>
            <w:vAlign w:val="center"/>
          </w:tcPr>
          <w:p w14:paraId="48873D44">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2B4A06B3">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(0.198)</w:t>
            </w:r>
          </w:p>
        </w:tc>
        <w:tc>
          <w:tcPr>
            <w:tcW w:w="0" w:type="auto"/>
            <w:tcBorders>
              <w:right w:val="nil"/>
            </w:tcBorders>
            <w:tcMar>
              <w:top w:w="120" w:type="dxa"/>
              <w:left w:w="240" w:type="dxa"/>
              <w:bottom w:w="120" w:type="dxa"/>
              <w:right w:w="240" w:type="dxa"/>
            </w:tcMar>
            <w:vAlign w:val="center"/>
          </w:tcPr>
          <w:p w14:paraId="5265FB73">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(0.195)</w:t>
            </w:r>
          </w:p>
        </w:tc>
        <w:tc>
          <w:tcPr>
            <w:tcW w:w="0" w:type="auto"/>
            <w:tcBorders>
              <w:right w:val="nil"/>
            </w:tcBorders>
            <w:tcMar>
              <w:top w:w="120" w:type="dxa"/>
              <w:left w:w="240" w:type="dxa"/>
              <w:bottom w:w="120" w:type="dxa"/>
              <w:right w:w="240" w:type="dxa"/>
            </w:tcMar>
            <w:vAlign w:val="center"/>
          </w:tcPr>
          <w:p w14:paraId="5CDA71F0">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(4.036)</w:t>
            </w:r>
          </w:p>
        </w:tc>
        <w:tc>
          <w:tcPr>
            <w:tcW w:w="0" w:type="auto"/>
            <w:tcBorders>
              <w:right w:val="nil"/>
            </w:tcBorders>
            <w:tcMar>
              <w:top w:w="120" w:type="dxa"/>
              <w:left w:w="240" w:type="dxa"/>
              <w:bottom w:w="120" w:type="dxa"/>
              <w:right w:w="240" w:type="dxa"/>
            </w:tcMar>
            <w:vAlign w:val="center"/>
          </w:tcPr>
          <w:p w14:paraId="6195B86D">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(4.097)</w:t>
            </w:r>
          </w:p>
        </w:tc>
      </w:tr>
      <w:tr w14:paraId="37F69204">
        <w:trPr>
          <w:tblHeader/>
          <w:tblCellSpacing w:w="15" w:type="dxa"/>
        </w:trPr>
        <w:tc>
          <w:tcPr>
            <w:tcW w:w="0" w:type="auto"/>
            <w:tcBorders>
              <w:right w:val="nil"/>
            </w:tcBorders>
            <w:tcMar>
              <w:top w:w="120" w:type="dxa"/>
              <w:left w:w="240" w:type="dxa"/>
              <w:bottom w:w="120" w:type="dxa"/>
              <w:right w:w="240" w:type="dxa"/>
            </w:tcMar>
            <w:vAlign w:val="center"/>
          </w:tcPr>
          <w:p w14:paraId="1520E962">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4th Quartile</w:t>
            </w:r>
          </w:p>
        </w:tc>
        <w:tc>
          <w:tcPr>
            <w:tcW w:w="0" w:type="auto"/>
            <w:tcBorders>
              <w:right w:val="nil"/>
            </w:tcBorders>
            <w:tcMar>
              <w:top w:w="120" w:type="dxa"/>
              <w:left w:w="240" w:type="dxa"/>
              <w:bottom w:w="120" w:type="dxa"/>
              <w:right w:w="240" w:type="dxa"/>
            </w:tcMar>
            <w:vAlign w:val="center"/>
          </w:tcPr>
          <w:p w14:paraId="010A9DEB">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0.152</w:t>
            </w:r>
          </w:p>
        </w:tc>
        <w:tc>
          <w:tcPr>
            <w:tcW w:w="0" w:type="auto"/>
            <w:tcBorders>
              <w:right w:val="nil"/>
            </w:tcBorders>
            <w:tcMar>
              <w:top w:w="120" w:type="dxa"/>
              <w:left w:w="240" w:type="dxa"/>
              <w:bottom w:w="120" w:type="dxa"/>
              <w:right w:w="240" w:type="dxa"/>
            </w:tcMar>
            <w:vAlign w:val="center"/>
          </w:tcPr>
          <w:p w14:paraId="682459E0">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0.219</w:t>
            </w:r>
          </w:p>
        </w:tc>
        <w:tc>
          <w:tcPr>
            <w:tcW w:w="0" w:type="auto"/>
            <w:tcBorders>
              <w:right w:val="nil"/>
            </w:tcBorders>
            <w:tcMar>
              <w:top w:w="120" w:type="dxa"/>
              <w:left w:w="240" w:type="dxa"/>
              <w:bottom w:w="120" w:type="dxa"/>
              <w:right w:w="240" w:type="dxa"/>
            </w:tcMar>
            <w:vAlign w:val="center"/>
          </w:tcPr>
          <w:p w14:paraId="28F08CF0">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-61.062***</w:t>
            </w:r>
          </w:p>
        </w:tc>
        <w:tc>
          <w:tcPr>
            <w:tcW w:w="0" w:type="auto"/>
            <w:tcBorders>
              <w:right w:val="nil"/>
            </w:tcBorders>
            <w:tcMar>
              <w:top w:w="120" w:type="dxa"/>
              <w:left w:w="240" w:type="dxa"/>
              <w:bottom w:w="120" w:type="dxa"/>
              <w:right w:w="240" w:type="dxa"/>
            </w:tcMar>
            <w:vAlign w:val="center"/>
          </w:tcPr>
          <w:p w14:paraId="233D2D66">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-47.517***</w:t>
            </w:r>
          </w:p>
        </w:tc>
      </w:tr>
      <w:tr w14:paraId="6C23AD96">
        <w:trPr>
          <w:tblHeader/>
          <w:tblCellSpacing w:w="15" w:type="dxa"/>
        </w:trPr>
        <w:tc>
          <w:tcPr>
            <w:tcW w:w="0" w:type="auto"/>
            <w:tcBorders>
              <w:right w:val="nil"/>
            </w:tcBorders>
            <w:tcMar>
              <w:top w:w="120" w:type="dxa"/>
              <w:left w:w="240" w:type="dxa"/>
              <w:bottom w:w="120" w:type="dxa"/>
              <w:right w:w="240" w:type="dxa"/>
            </w:tcMar>
            <w:vAlign w:val="center"/>
          </w:tcPr>
          <w:p w14:paraId="5F63130F">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0E9BBE1D">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(0.220)</w:t>
            </w:r>
          </w:p>
        </w:tc>
        <w:tc>
          <w:tcPr>
            <w:tcW w:w="0" w:type="auto"/>
            <w:tcBorders>
              <w:right w:val="nil"/>
            </w:tcBorders>
            <w:tcMar>
              <w:top w:w="120" w:type="dxa"/>
              <w:left w:w="240" w:type="dxa"/>
              <w:bottom w:w="120" w:type="dxa"/>
              <w:right w:w="240" w:type="dxa"/>
            </w:tcMar>
            <w:vAlign w:val="center"/>
          </w:tcPr>
          <w:p w14:paraId="57C9701C">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(0.218)</w:t>
            </w:r>
          </w:p>
        </w:tc>
        <w:tc>
          <w:tcPr>
            <w:tcW w:w="0" w:type="auto"/>
            <w:tcBorders>
              <w:right w:val="nil"/>
            </w:tcBorders>
            <w:tcMar>
              <w:top w:w="120" w:type="dxa"/>
              <w:left w:w="240" w:type="dxa"/>
              <w:bottom w:w="120" w:type="dxa"/>
              <w:right w:w="240" w:type="dxa"/>
            </w:tcMar>
            <w:vAlign w:val="center"/>
          </w:tcPr>
          <w:p w14:paraId="3A8462A7">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(4.396)</w:t>
            </w:r>
          </w:p>
        </w:tc>
        <w:tc>
          <w:tcPr>
            <w:tcW w:w="0" w:type="auto"/>
            <w:tcBorders>
              <w:right w:val="nil"/>
            </w:tcBorders>
            <w:tcMar>
              <w:top w:w="120" w:type="dxa"/>
              <w:left w:w="240" w:type="dxa"/>
              <w:bottom w:w="120" w:type="dxa"/>
              <w:right w:w="240" w:type="dxa"/>
            </w:tcMar>
            <w:vAlign w:val="center"/>
          </w:tcPr>
          <w:p w14:paraId="171CBF29">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(4.523)</w:t>
            </w:r>
          </w:p>
        </w:tc>
      </w:tr>
      <w:tr w14:paraId="170FE2D1">
        <w:trPr>
          <w:tblHeader/>
          <w:tblCellSpacing w:w="15" w:type="dxa"/>
        </w:trPr>
        <w:tc>
          <w:tcPr>
            <w:tcW w:w="0" w:type="auto"/>
            <w:tcBorders>
              <w:right w:val="nil"/>
            </w:tcBorders>
            <w:tcMar>
              <w:top w:w="120" w:type="dxa"/>
              <w:left w:w="240" w:type="dxa"/>
              <w:bottom w:w="120" w:type="dxa"/>
              <w:right w:w="240" w:type="dxa"/>
            </w:tcMar>
            <w:vAlign w:val="center"/>
          </w:tcPr>
          <w:p w14:paraId="028F160C">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Constant</w:t>
            </w:r>
          </w:p>
        </w:tc>
        <w:tc>
          <w:tcPr>
            <w:tcW w:w="0" w:type="auto"/>
            <w:tcBorders>
              <w:right w:val="nil"/>
            </w:tcBorders>
            <w:tcMar>
              <w:top w:w="120" w:type="dxa"/>
              <w:left w:w="240" w:type="dxa"/>
              <w:bottom w:w="120" w:type="dxa"/>
              <w:right w:w="240" w:type="dxa"/>
            </w:tcMar>
            <w:vAlign w:val="center"/>
          </w:tcPr>
          <w:p w14:paraId="3ABFF2CC">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7.982***</w:t>
            </w:r>
          </w:p>
        </w:tc>
        <w:tc>
          <w:tcPr>
            <w:tcW w:w="0" w:type="auto"/>
            <w:tcBorders>
              <w:right w:val="nil"/>
            </w:tcBorders>
            <w:tcMar>
              <w:top w:w="120" w:type="dxa"/>
              <w:left w:w="240" w:type="dxa"/>
              <w:bottom w:w="120" w:type="dxa"/>
              <w:right w:w="240" w:type="dxa"/>
            </w:tcMar>
            <w:vAlign w:val="center"/>
          </w:tcPr>
          <w:p w14:paraId="3C20B624">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7.931***</w:t>
            </w:r>
          </w:p>
        </w:tc>
        <w:tc>
          <w:tcPr>
            <w:tcW w:w="0" w:type="auto"/>
            <w:tcBorders>
              <w:right w:val="nil"/>
            </w:tcBorders>
            <w:tcMar>
              <w:top w:w="120" w:type="dxa"/>
              <w:left w:w="240" w:type="dxa"/>
              <w:bottom w:w="120" w:type="dxa"/>
              <w:right w:w="240" w:type="dxa"/>
            </w:tcMar>
            <w:vAlign w:val="center"/>
          </w:tcPr>
          <w:p w14:paraId="67B08DE3">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71.741***</w:t>
            </w:r>
          </w:p>
        </w:tc>
        <w:tc>
          <w:tcPr>
            <w:tcW w:w="0" w:type="auto"/>
            <w:tcBorders>
              <w:right w:val="nil"/>
            </w:tcBorders>
            <w:tcMar>
              <w:top w:w="120" w:type="dxa"/>
              <w:left w:w="240" w:type="dxa"/>
              <w:bottom w:w="120" w:type="dxa"/>
              <w:right w:w="240" w:type="dxa"/>
            </w:tcMar>
            <w:vAlign w:val="center"/>
          </w:tcPr>
          <w:p w14:paraId="6CEDC6A1">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59.874***</w:t>
            </w:r>
          </w:p>
        </w:tc>
      </w:tr>
      <w:tr w14:paraId="55041BEB">
        <w:trPr>
          <w:tblHeader/>
          <w:tblCellSpacing w:w="15" w:type="dxa"/>
        </w:trPr>
        <w:tc>
          <w:tcPr>
            <w:tcW w:w="0" w:type="auto"/>
            <w:tcBorders>
              <w:right w:val="nil"/>
            </w:tcBorders>
            <w:tcMar>
              <w:top w:w="120" w:type="dxa"/>
              <w:left w:w="240" w:type="dxa"/>
              <w:bottom w:w="120" w:type="dxa"/>
              <w:right w:w="240" w:type="dxa"/>
            </w:tcMar>
            <w:vAlign w:val="center"/>
          </w:tcPr>
          <w:p w14:paraId="5229FFB9">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19265B9B">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(0.263)</w:t>
            </w:r>
          </w:p>
        </w:tc>
        <w:tc>
          <w:tcPr>
            <w:tcW w:w="0" w:type="auto"/>
            <w:tcBorders>
              <w:right w:val="nil"/>
            </w:tcBorders>
            <w:tcMar>
              <w:top w:w="120" w:type="dxa"/>
              <w:left w:w="240" w:type="dxa"/>
              <w:bottom w:w="120" w:type="dxa"/>
              <w:right w:w="240" w:type="dxa"/>
            </w:tcMar>
            <w:vAlign w:val="center"/>
          </w:tcPr>
          <w:p w14:paraId="225818E7">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(0.259)</w:t>
            </w:r>
          </w:p>
        </w:tc>
        <w:tc>
          <w:tcPr>
            <w:tcW w:w="0" w:type="auto"/>
            <w:tcBorders>
              <w:right w:val="nil"/>
            </w:tcBorders>
            <w:tcMar>
              <w:top w:w="120" w:type="dxa"/>
              <w:left w:w="240" w:type="dxa"/>
              <w:bottom w:w="120" w:type="dxa"/>
              <w:right w:w="240" w:type="dxa"/>
            </w:tcMar>
            <w:vAlign w:val="center"/>
          </w:tcPr>
          <w:p w14:paraId="201871DF">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(5.295)</w:t>
            </w:r>
          </w:p>
        </w:tc>
        <w:tc>
          <w:tcPr>
            <w:tcW w:w="0" w:type="auto"/>
            <w:tcBorders>
              <w:right w:val="nil"/>
            </w:tcBorders>
            <w:tcMar>
              <w:top w:w="120" w:type="dxa"/>
              <w:left w:w="240" w:type="dxa"/>
              <w:bottom w:w="120" w:type="dxa"/>
              <w:right w:w="240" w:type="dxa"/>
            </w:tcMar>
            <w:vAlign w:val="center"/>
          </w:tcPr>
          <w:p w14:paraId="7743853C">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(5.574)</w:t>
            </w:r>
          </w:p>
        </w:tc>
      </w:tr>
      <w:tr w14:paraId="031B4804">
        <w:trPr>
          <w:tblHeader/>
          <w:tblCellSpacing w:w="15" w:type="dxa"/>
        </w:trPr>
        <w:tc>
          <w:tcPr>
            <w:tcW w:w="0" w:type="auto"/>
            <w:tcBorders>
              <w:right w:val="nil"/>
            </w:tcBorders>
            <w:tcMar>
              <w:top w:w="120" w:type="dxa"/>
              <w:left w:w="240" w:type="dxa"/>
              <w:bottom w:w="120" w:type="dxa"/>
              <w:right w:w="240" w:type="dxa"/>
            </w:tcMar>
            <w:vAlign w:val="center"/>
          </w:tcPr>
          <w:p w14:paraId="45B0AF41">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Random Effects Parameters</w:t>
            </w:r>
          </w:p>
        </w:tc>
        <w:tc>
          <w:tcPr>
            <w:tcW w:w="0" w:type="auto"/>
            <w:tcBorders>
              <w:right w:val="nil"/>
            </w:tcBorders>
            <w:tcMar>
              <w:top w:w="120" w:type="dxa"/>
              <w:left w:w="240" w:type="dxa"/>
              <w:bottom w:w="120" w:type="dxa"/>
              <w:right w:w="240" w:type="dxa"/>
            </w:tcMar>
            <w:vAlign w:val="center"/>
          </w:tcPr>
          <w:p w14:paraId="60EBF74F">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42B80DDD">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3098F1D9">
            <w:pPr>
              <w:spacing w:line="160" w:lineRule="atLeast"/>
              <w:jc w:val="left"/>
              <w:rPr>
                <w:rFonts w:ascii="Times New Roman Regular" w:hAnsi="Times New Roman Regular" w:cs="Times New Roman Regular"/>
                <w:sz w:val="20"/>
                <w:szCs w:val="20"/>
              </w:rPr>
            </w:pPr>
          </w:p>
        </w:tc>
        <w:tc>
          <w:tcPr>
            <w:tcW w:w="0" w:type="auto"/>
            <w:tcBorders>
              <w:right w:val="nil"/>
            </w:tcBorders>
            <w:tcMar>
              <w:top w:w="120" w:type="dxa"/>
              <w:left w:w="240" w:type="dxa"/>
              <w:bottom w:w="120" w:type="dxa"/>
              <w:right w:w="240" w:type="dxa"/>
            </w:tcMar>
            <w:vAlign w:val="center"/>
          </w:tcPr>
          <w:p w14:paraId="7A1A53D6">
            <w:pPr>
              <w:spacing w:line="160" w:lineRule="atLeast"/>
              <w:jc w:val="left"/>
              <w:rPr>
                <w:rFonts w:ascii="Times New Roman Regular" w:hAnsi="Times New Roman Regular" w:cs="Times New Roman Regular"/>
                <w:sz w:val="20"/>
                <w:szCs w:val="20"/>
              </w:rPr>
            </w:pPr>
          </w:p>
        </w:tc>
      </w:tr>
      <w:tr w14:paraId="170E5694">
        <w:trPr>
          <w:tblHeader/>
          <w:tblCellSpacing w:w="15" w:type="dxa"/>
        </w:trPr>
        <w:tc>
          <w:tcPr>
            <w:tcW w:w="0" w:type="auto"/>
            <w:tcBorders>
              <w:right w:val="nil"/>
            </w:tcBorders>
            <w:tcMar>
              <w:top w:w="120" w:type="dxa"/>
              <w:left w:w="240" w:type="dxa"/>
              <w:bottom w:w="120" w:type="dxa"/>
              <w:right w:w="240" w:type="dxa"/>
            </w:tcMar>
            <w:vAlign w:val="center"/>
          </w:tcPr>
          <w:p w14:paraId="7AE204A6">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Regional Variance (σ²μ)</w:t>
            </w:r>
          </w:p>
        </w:tc>
        <w:tc>
          <w:tcPr>
            <w:tcW w:w="0" w:type="auto"/>
            <w:tcBorders>
              <w:right w:val="nil"/>
            </w:tcBorders>
            <w:tcMar>
              <w:top w:w="120" w:type="dxa"/>
              <w:left w:w="240" w:type="dxa"/>
              <w:bottom w:w="120" w:type="dxa"/>
              <w:right w:w="240" w:type="dxa"/>
            </w:tcMar>
            <w:vAlign w:val="center"/>
          </w:tcPr>
          <w:p w14:paraId="55AC1617">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&lt;0.001</w:t>
            </w:r>
          </w:p>
        </w:tc>
        <w:tc>
          <w:tcPr>
            <w:tcW w:w="0" w:type="auto"/>
            <w:tcBorders>
              <w:right w:val="nil"/>
            </w:tcBorders>
            <w:tcMar>
              <w:top w:w="120" w:type="dxa"/>
              <w:left w:w="240" w:type="dxa"/>
              <w:bottom w:w="120" w:type="dxa"/>
              <w:right w:w="240" w:type="dxa"/>
            </w:tcMar>
            <w:vAlign w:val="center"/>
          </w:tcPr>
          <w:p w14:paraId="592FE13A">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&lt;0.001</w:t>
            </w:r>
          </w:p>
        </w:tc>
        <w:tc>
          <w:tcPr>
            <w:tcW w:w="0" w:type="auto"/>
            <w:tcBorders>
              <w:right w:val="nil"/>
            </w:tcBorders>
            <w:tcMar>
              <w:top w:w="120" w:type="dxa"/>
              <w:left w:w="240" w:type="dxa"/>
              <w:bottom w:w="120" w:type="dxa"/>
              <w:right w:w="240" w:type="dxa"/>
            </w:tcMar>
            <w:vAlign w:val="center"/>
          </w:tcPr>
          <w:p w14:paraId="3A669251">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&lt;0.001</w:t>
            </w:r>
          </w:p>
        </w:tc>
        <w:tc>
          <w:tcPr>
            <w:tcW w:w="0" w:type="auto"/>
            <w:tcBorders>
              <w:right w:val="nil"/>
            </w:tcBorders>
            <w:tcMar>
              <w:top w:w="120" w:type="dxa"/>
              <w:left w:w="240" w:type="dxa"/>
              <w:bottom w:w="120" w:type="dxa"/>
              <w:right w:w="240" w:type="dxa"/>
            </w:tcMar>
            <w:vAlign w:val="center"/>
          </w:tcPr>
          <w:p w14:paraId="5C284390">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&lt;0.001</w:t>
            </w:r>
          </w:p>
        </w:tc>
      </w:tr>
      <w:tr w14:paraId="19A2D124">
        <w:trPr>
          <w:tblHeader/>
          <w:tblCellSpacing w:w="15" w:type="dxa"/>
        </w:trPr>
        <w:tc>
          <w:tcPr>
            <w:tcW w:w="0" w:type="auto"/>
            <w:tcBorders>
              <w:right w:val="nil"/>
            </w:tcBorders>
            <w:tcMar>
              <w:top w:w="120" w:type="dxa"/>
              <w:left w:w="240" w:type="dxa"/>
              <w:bottom w:w="120" w:type="dxa"/>
              <w:right w:w="240" w:type="dxa"/>
            </w:tcMar>
            <w:vAlign w:val="center"/>
          </w:tcPr>
          <w:p w14:paraId="5CCDF354">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Individual Variance (σ²e)</w:t>
            </w:r>
          </w:p>
        </w:tc>
        <w:tc>
          <w:tcPr>
            <w:tcW w:w="0" w:type="auto"/>
            <w:tcBorders>
              <w:right w:val="nil"/>
            </w:tcBorders>
            <w:tcMar>
              <w:top w:w="120" w:type="dxa"/>
              <w:left w:w="240" w:type="dxa"/>
              <w:bottom w:w="120" w:type="dxa"/>
              <w:right w:w="240" w:type="dxa"/>
            </w:tcMar>
            <w:vAlign w:val="center"/>
          </w:tcPr>
          <w:p w14:paraId="3C5E1259">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0.640</w:t>
            </w:r>
          </w:p>
        </w:tc>
        <w:tc>
          <w:tcPr>
            <w:tcW w:w="0" w:type="auto"/>
            <w:tcBorders>
              <w:right w:val="nil"/>
            </w:tcBorders>
            <w:tcMar>
              <w:top w:w="120" w:type="dxa"/>
              <w:left w:w="240" w:type="dxa"/>
              <w:bottom w:w="120" w:type="dxa"/>
              <w:right w:w="240" w:type="dxa"/>
            </w:tcMar>
            <w:vAlign w:val="center"/>
          </w:tcPr>
          <w:p w14:paraId="5F0893D0">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0.614</w:t>
            </w:r>
          </w:p>
        </w:tc>
        <w:tc>
          <w:tcPr>
            <w:tcW w:w="0" w:type="auto"/>
            <w:tcBorders>
              <w:right w:val="nil"/>
            </w:tcBorders>
            <w:tcMar>
              <w:top w:w="120" w:type="dxa"/>
              <w:left w:w="240" w:type="dxa"/>
              <w:bottom w:w="120" w:type="dxa"/>
              <w:right w:w="240" w:type="dxa"/>
            </w:tcMar>
            <w:vAlign w:val="center"/>
          </w:tcPr>
          <w:p w14:paraId="2DC2FFFF">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305.853</w:t>
            </w:r>
          </w:p>
        </w:tc>
        <w:tc>
          <w:tcPr>
            <w:tcW w:w="0" w:type="auto"/>
            <w:tcBorders>
              <w:right w:val="nil"/>
            </w:tcBorders>
            <w:tcMar>
              <w:top w:w="120" w:type="dxa"/>
              <w:left w:w="240" w:type="dxa"/>
              <w:bottom w:w="120" w:type="dxa"/>
              <w:right w:w="240" w:type="dxa"/>
            </w:tcMar>
            <w:vAlign w:val="center"/>
          </w:tcPr>
          <w:p w14:paraId="2E2BD6FF">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372.744</w:t>
            </w:r>
          </w:p>
        </w:tc>
      </w:tr>
      <w:tr w14:paraId="37B1BB40">
        <w:trPr>
          <w:tblHeader/>
          <w:tblCellSpacing w:w="15" w:type="dxa"/>
        </w:trPr>
        <w:tc>
          <w:tcPr>
            <w:tcW w:w="0" w:type="auto"/>
            <w:tcBorders>
              <w:right w:val="nil"/>
            </w:tcBorders>
            <w:tcMar>
              <w:top w:w="120" w:type="dxa"/>
              <w:left w:w="240" w:type="dxa"/>
              <w:bottom w:w="120" w:type="dxa"/>
              <w:right w:w="240" w:type="dxa"/>
            </w:tcMar>
            <w:vAlign w:val="center"/>
          </w:tcPr>
          <w:p w14:paraId="4345F9C6">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Intraclass Correlation (ICC)</w:t>
            </w:r>
          </w:p>
        </w:tc>
        <w:tc>
          <w:tcPr>
            <w:tcW w:w="0" w:type="auto"/>
            <w:tcBorders>
              <w:right w:val="nil"/>
            </w:tcBorders>
            <w:tcMar>
              <w:top w:w="120" w:type="dxa"/>
              <w:left w:w="240" w:type="dxa"/>
              <w:bottom w:w="120" w:type="dxa"/>
              <w:right w:w="240" w:type="dxa"/>
            </w:tcMar>
            <w:vAlign w:val="center"/>
          </w:tcPr>
          <w:p w14:paraId="1358912A">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&lt;0.001</w:t>
            </w:r>
          </w:p>
        </w:tc>
        <w:tc>
          <w:tcPr>
            <w:tcW w:w="0" w:type="auto"/>
            <w:tcBorders>
              <w:right w:val="nil"/>
            </w:tcBorders>
            <w:tcMar>
              <w:top w:w="120" w:type="dxa"/>
              <w:left w:w="240" w:type="dxa"/>
              <w:bottom w:w="120" w:type="dxa"/>
              <w:right w:w="240" w:type="dxa"/>
            </w:tcMar>
            <w:vAlign w:val="center"/>
          </w:tcPr>
          <w:p w14:paraId="6BFBFD3E">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&lt;0.001</w:t>
            </w:r>
          </w:p>
        </w:tc>
        <w:tc>
          <w:tcPr>
            <w:tcW w:w="0" w:type="auto"/>
            <w:tcBorders>
              <w:right w:val="nil"/>
            </w:tcBorders>
            <w:tcMar>
              <w:top w:w="120" w:type="dxa"/>
              <w:left w:w="240" w:type="dxa"/>
              <w:bottom w:w="120" w:type="dxa"/>
              <w:right w:w="240" w:type="dxa"/>
            </w:tcMar>
            <w:vAlign w:val="center"/>
          </w:tcPr>
          <w:p w14:paraId="55D231E9">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&lt;0.001</w:t>
            </w:r>
          </w:p>
        </w:tc>
        <w:tc>
          <w:tcPr>
            <w:tcW w:w="0" w:type="auto"/>
            <w:tcBorders>
              <w:right w:val="nil"/>
            </w:tcBorders>
            <w:tcMar>
              <w:top w:w="120" w:type="dxa"/>
              <w:left w:w="240" w:type="dxa"/>
              <w:bottom w:w="120" w:type="dxa"/>
              <w:right w:w="240" w:type="dxa"/>
            </w:tcMar>
            <w:vAlign w:val="center"/>
          </w:tcPr>
          <w:p w14:paraId="40177C30">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&lt;0.001</w:t>
            </w:r>
          </w:p>
        </w:tc>
      </w:tr>
      <w:tr w14:paraId="39702495">
        <w:trPr>
          <w:tblHeader/>
          <w:tblCellSpacing w:w="15" w:type="dxa"/>
        </w:trPr>
        <w:tc>
          <w:tcPr>
            <w:tcW w:w="0" w:type="auto"/>
            <w:tcBorders>
              <w:bottom w:val="single" w:color="auto" w:sz="4" w:space="0"/>
              <w:right w:val="nil"/>
            </w:tcBorders>
            <w:tcMar>
              <w:top w:w="120" w:type="dxa"/>
              <w:left w:w="240" w:type="dxa"/>
              <w:bottom w:w="120" w:type="dxa"/>
              <w:right w:w="240" w:type="dxa"/>
            </w:tcMar>
            <w:vAlign w:val="center"/>
          </w:tcPr>
          <w:p w14:paraId="77217F18">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Observations</w:t>
            </w:r>
          </w:p>
        </w:tc>
        <w:tc>
          <w:tcPr>
            <w:tcW w:w="0" w:type="auto"/>
            <w:tcBorders>
              <w:bottom w:val="single" w:color="auto" w:sz="4" w:space="0"/>
              <w:right w:val="nil"/>
            </w:tcBorders>
            <w:tcMar>
              <w:top w:w="120" w:type="dxa"/>
              <w:left w:w="240" w:type="dxa"/>
              <w:bottom w:w="120" w:type="dxa"/>
              <w:right w:w="240" w:type="dxa"/>
            </w:tcMar>
            <w:vAlign w:val="center"/>
          </w:tcPr>
          <w:p w14:paraId="2324085D">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198</w:t>
            </w:r>
          </w:p>
        </w:tc>
        <w:tc>
          <w:tcPr>
            <w:tcW w:w="0" w:type="auto"/>
            <w:tcBorders>
              <w:bottom w:val="single" w:color="auto" w:sz="4" w:space="0"/>
              <w:right w:val="nil"/>
            </w:tcBorders>
            <w:tcMar>
              <w:top w:w="120" w:type="dxa"/>
              <w:left w:w="240" w:type="dxa"/>
              <w:bottom w:w="120" w:type="dxa"/>
              <w:right w:w="240" w:type="dxa"/>
            </w:tcMar>
            <w:vAlign w:val="center"/>
          </w:tcPr>
          <w:p w14:paraId="5F356693">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197</w:t>
            </w:r>
          </w:p>
        </w:tc>
        <w:tc>
          <w:tcPr>
            <w:tcW w:w="0" w:type="auto"/>
            <w:tcBorders>
              <w:bottom w:val="single" w:color="auto" w:sz="4" w:space="0"/>
              <w:right w:val="nil"/>
            </w:tcBorders>
            <w:tcMar>
              <w:top w:w="120" w:type="dxa"/>
              <w:left w:w="240" w:type="dxa"/>
              <w:bottom w:w="120" w:type="dxa"/>
              <w:right w:w="240" w:type="dxa"/>
            </w:tcMar>
            <w:vAlign w:val="center"/>
          </w:tcPr>
          <w:p w14:paraId="24BBB259">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207</w:t>
            </w:r>
          </w:p>
        </w:tc>
        <w:tc>
          <w:tcPr>
            <w:tcW w:w="0" w:type="auto"/>
            <w:tcBorders>
              <w:bottom w:val="single" w:color="auto" w:sz="4" w:space="0"/>
              <w:right w:val="nil"/>
            </w:tcBorders>
            <w:tcMar>
              <w:top w:w="120" w:type="dxa"/>
              <w:left w:w="240" w:type="dxa"/>
              <w:bottom w:w="120" w:type="dxa"/>
              <w:right w:w="240" w:type="dxa"/>
            </w:tcMar>
            <w:vAlign w:val="center"/>
          </w:tcPr>
          <w:p w14:paraId="09EAB4E9">
            <w:pPr>
              <w:spacing w:line="160" w:lineRule="atLeast"/>
              <w:jc w:val="left"/>
              <w:rPr>
                <w:rFonts w:ascii="Times New Roman Regular" w:hAnsi="Times New Roman Regular" w:cs="Times New Roman Regular"/>
                <w:sz w:val="20"/>
                <w:szCs w:val="20"/>
              </w:rPr>
            </w:pPr>
            <w:r>
              <w:rPr>
                <w:rFonts w:ascii="Times New Roman Regular" w:hAnsi="Times New Roman Regular" w:cs="Times New Roman Regular"/>
                <w:sz w:val="20"/>
                <w:szCs w:val="20"/>
              </w:rPr>
              <w:t>226</w:t>
            </w:r>
          </w:p>
        </w:tc>
      </w:tr>
    </w:tbl>
    <w:p w14:paraId="1A4871F8">
      <w:pPr>
        <w:keepNext w:val="0"/>
        <w:keepLines w:val="0"/>
        <w:pageBreakBefore w:val="0"/>
        <w:widowControl/>
        <w:kinsoku/>
        <w:wordWrap/>
        <w:overflowPunct/>
        <w:topLinePunct w:val="0"/>
        <w:autoSpaceDE/>
        <w:autoSpaceDN/>
        <w:bidi w:val="0"/>
        <w:adjustRightInd w:val="0"/>
        <w:snapToGrid w:val="0"/>
        <w:jc w:val="left"/>
        <w:textAlignment w:val="auto"/>
        <w:rPr>
          <w:rFonts w:ascii="Times New Roman" w:hAnsi="Times New Roman" w:eastAsia="MS Mincho" w:cs="Times New Roman"/>
          <w:color w:val="231F20"/>
          <w:kern w:val="0"/>
          <w:sz w:val="20"/>
          <w:szCs w:val="20"/>
        </w:rPr>
      </w:pPr>
      <w:r>
        <w:rPr>
          <w:rFonts w:ascii="Times New Roman" w:hAnsi="Times New Roman" w:eastAsia="MS Mincho" w:cs="Times New Roman"/>
          <w:color w:val="231F20"/>
          <w:kern w:val="0"/>
          <w:sz w:val="20"/>
          <w:szCs w:val="20"/>
        </w:rPr>
        <w:t>*Significant at &lt;0.05. **Significant at &lt;0.01. ***Significant at &lt;0.001.</w:t>
      </w:r>
    </w:p>
    <w:p w14:paraId="62ED984C">
      <w:pPr>
        <w:widowControl/>
        <w:jc w:val="left"/>
      </w:pPr>
      <w:bookmarkStart w:id="0" w:name="_GoBack"/>
      <w:bookmarkEnd w:id="0"/>
    </w:p>
    <w:p w14:paraId="4E1E56AF">
      <w:pPr>
        <w:jc w:val="left"/>
        <w:rPr>
          <w:rFonts w:ascii="Times New Roman Regular" w:hAnsi="Times New Roman Regular" w:cs="Times New Roman Regular"/>
          <w:sz w:val="20"/>
          <w:szCs w:val="20"/>
        </w:rPr>
      </w:pPr>
    </w:p>
    <w:p w14:paraId="064AB374">
      <w:pPr>
        <w:jc w:val="left"/>
        <w:rPr>
          <w:rFonts w:ascii="Times New Roman Regular" w:hAnsi="Times New Roman Regular" w:cs="Times New Roman Regular"/>
          <w:sz w:val="20"/>
          <w:szCs w:val="20"/>
        </w:rPr>
      </w:pPr>
    </w:p>
    <w:p w14:paraId="32D555B2">
      <w:pPr>
        <w:jc w:val="left"/>
        <w:rPr>
          <w:rFonts w:ascii="Times New Roman Regular" w:hAnsi="Times New Roman Regular" w:cs="Times New Roman Regular"/>
          <w:sz w:val="20"/>
          <w:szCs w:val="20"/>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Arial">
    <w:panose1 w:val="020B0604020202090204"/>
    <w:charset w:val="00"/>
    <w:family w:val="swiss"/>
    <w:pitch w:val="default"/>
    <w:sig w:usb0="E0000AFF" w:usb1="00007843" w:usb2="00000001" w:usb3="00000000" w:csb0="400001BF" w:csb1="DFF70000"/>
  </w:font>
  <w:font w:name="MS Mincho">
    <w:altName w:val="Hiragino Sans"/>
    <w:panose1 w:val="02020609040205080304"/>
    <w:charset w:val="80"/>
    <w:family w:val="modern"/>
    <w:pitch w:val="default"/>
    <w:sig w:usb0="00000000" w:usb1="00000000" w:usb2="08000012" w:usb3="00000000" w:csb0="0002009F" w:csb1="00000000"/>
  </w:font>
  <w:font w:name="ＭＳ 明朝">
    <w:altName w:val="Hiragino Sans"/>
    <w:panose1 w:val="00000000000000000000"/>
    <w:charset w:val="00"/>
    <w:family w:val="auto"/>
    <w:pitch w:val="default"/>
    <w:sig w:usb0="00000000" w:usb1="00000000" w:usb2="00000000" w:usb3="00000000" w:csb0="00000000" w:csb1="00000000"/>
  </w:font>
  <w:font w:name="Times New Roman Regular">
    <w:panose1 w:val="02020503050405090304"/>
    <w:charset w:val="00"/>
    <w:family w:val="auto"/>
    <w:pitch w:val="default"/>
    <w:sig w:usb0="E0000AFF" w:usb1="00007843" w:usb2="00000001" w:usb3="00000000" w:csb0="400001BF" w:csb1="DFF70000"/>
  </w:font>
  <w:font w:name="Times New Roman Bold">
    <w:panose1 w:val="02020503050405090304"/>
    <w:charset w:val="00"/>
    <w:family w:val="auto"/>
    <w:pitch w:val="default"/>
    <w:sig w:usb0="E0000AFF" w:usb1="00007843" w:usb2="00000001" w:usb3="00000000" w:csb0="400001BF" w:csb1="DFF7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Hiragino Sans">
    <w:panose1 w:val="020B0300000000000000"/>
    <w:charset w:val="80"/>
    <w:family w:val="auto"/>
    <w:pitch w:val="default"/>
    <w:sig w:usb0="E00002FF" w:usb1="7AE7FFFF" w:usb2="00000012" w:usb3="00000000" w:csb0="0002000D"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9"/>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9DDA90"/>
    <w:rsid w:val="005754B5"/>
    <w:rsid w:val="00C30E58"/>
    <w:rsid w:val="00C96E13"/>
    <w:rsid w:val="00FE0B6F"/>
    <w:rsid w:val="1DBF1C6C"/>
    <w:rsid w:val="2FB883B6"/>
    <w:rsid w:val="479DDA90"/>
    <w:rsid w:val="5E768142"/>
    <w:rsid w:val="74BF96CC"/>
    <w:rsid w:val="7B6EA14A"/>
    <w:rsid w:val="7DFA548A"/>
    <w:rsid w:val="7FEC6455"/>
    <w:rsid w:val="8BD76AD8"/>
    <w:rsid w:val="BFA46E78"/>
    <w:rsid w:val="CFDB70BE"/>
    <w:rsid w:val="D3FB617D"/>
    <w:rsid w:val="F35F6B80"/>
    <w:rsid w:val="F8FFE9D5"/>
    <w:rsid w:val="FB87469C"/>
    <w:rsid w:val="FD4720CA"/>
    <w:rsid w:val="FE773ED0"/>
    <w:rsid w:val="FFF649C2"/>
    <w:rsid w:val="FFF931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 w:type="paragraph" w:customStyle="1" w:styleId="4">
    <w:name w:val="p2"/>
    <w:basedOn w:val="1"/>
    <w:uiPriority w:val="0"/>
    <w:pPr>
      <w:jc w:val="left"/>
    </w:pPr>
    <w:rPr>
      <w:rFonts w:ascii="Times New Roman" w:hAnsi="Times New Roman" w:cs="Times New Roman"/>
      <w:kern w:val="0"/>
      <w:sz w:val="24"/>
    </w:rPr>
  </w:style>
  <w:style w:type="paragraph" w:customStyle="1" w:styleId="5">
    <w:name w:val="p5"/>
    <w:basedOn w:val="1"/>
    <w:uiPriority w:val="0"/>
    <w:pPr>
      <w:jc w:val="left"/>
    </w:pPr>
    <w:rPr>
      <w:rFonts w:ascii="Times New Roman" w:hAnsi="Times New Roman" w:cs="Times New Roman"/>
      <w:kern w:val="0"/>
      <w:sz w:val="20"/>
      <w:szCs w:val="20"/>
    </w:rPr>
  </w:style>
  <w:style w:type="paragraph" w:customStyle="1" w:styleId="6">
    <w:name w:val="p4"/>
    <w:basedOn w:val="1"/>
    <w:uiPriority w:val="0"/>
    <w:pPr>
      <w:jc w:val="center"/>
    </w:pPr>
    <w:rPr>
      <w:rFonts w:ascii="Times New Roman" w:hAnsi="Times New Roman" w:cs="Times New Roman"/>
      <w:kern w:val="0"/>
      <w:sz w:val="24"/>
    </w:rPr>
  </w:style>
  <w:style w:type="paragraph" w:customStyle="1" w:styleId="7">
    <w:name w:val="p3"/>
    <w:basedOn w:val="1"/>
    <w:uiPriority w:val="0"/>
    <w:pPr>
      <w:jc w:val="center"/>
    </w:pPr>
    <w:rPr>
      <w:rFonts w:ascii="Times New Roman" w:hAnsi="Times New Roman" w:cs="Times New Roman"/>
      <w:kern w:val="0"/>
      <w:sz w:val="24"/>
    </w:rPr>
  </w:style>
  <w:style w:type="paragraph" w:customStyle="1" w:styleId="8">
    <w:name w:val="p1"/>
    <w:basedOn w:val="1"/>
    <w:uiPriority w:val="0"/>
    <w:pPr>
      <w:jc w:val="left"/>
    </w:pPr>
    <w:rPr>
      <w:rFonts w:ascii="Times New Roman" w:hAnsi="Times New Roman" w:cs="Times New Roman"/>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themeOverride" Target="../theme/themeOverride1.xml"/><Relationship Id="rId1" Type="http://schemas.openxmlformats.org/officeDocument/2006/relationships/oleObject" Target="/Users/Administrator1/Desktop/OOP+QREC&#39033;&#30446;/&#21355;&#29983;&#32479;&#35745;&#24180;&#37492;&#35745;&#31639;/&#24180;&#37492;&#32467;&#2652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'[年鉴结果.xlsx]白内障4-6-1'!$C$38</c:f>
              <c:strCache>
                <c:ptCount val="1"/>
                <c:pt idx="0">
                  <c:v>出院者人均医药费</c:v>
                </c:pt>
              </c:strCache>
            </c:strRef>
          </c:tx>
          <c:spPr>
            <a:solidFill>
              <a:srgbClr val="F47920"/>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lumMod val="75000"/>
                        <a:lumOff val="25000"/>
                      </a:sys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ysClr val="windowText" lastClr="000000">
                          <a:lumMod val="35000"/>
                          <a:lumOff val="65000"/>
                        </a:sysClr>
                      </a:solidFill>
                      <a:round/>
                    </a:ln>
                    <a:effectLst/>
                  </c:spPr>
                </c15:leaderLines>
              </c:ext>
            </c:extLst>
          </c:dLbls>
          <c:cat>
            <c:numRef>
              <c:f>'[年鉴结果.xlsx]白内障4-6-1'!$B$39:$B$50</c:f>
              <c:numCache>
                <c:formatCode>General</c:formatCode>
                <c:ptCount val="9"/>
                <c:pt idx="0">
                  <c:v>2013</c:v>
                </c:pt>
                <c:pt idx="1">
                  <c:v>2014</c:v>
                </c:pt>
                <c:pt idx="2">
                  <c:v>2015</c:v>
                </c:pt>
                <c:pt idx="3">
                  <c:v>2016</c:v>
                </c:pt>
                <c:pt idx="4">
                  <c:v>2017</c:v>
                </c:pt>
                <c:pt idx="5">
                  <c:v>2018</c:v>
                </c:pt>
                <c:pt idx="6">
                  <c:v>2019</c:v>
                </c:pt>
                <c:pt idx="7">
                  <c:v>2020</c:v>
                </c:pt>
                <c:pt idx="8">
                  <c:v>2021</c:v>
                </c:pt>
              </c:numCache>
            </c:numRef>
          </c:cat>
          <c:val>
            <c:numRef>
              <c:f>'[年鉴结果.xlsx]白内障4-6-1'!$C$39:$C$50</c:f>
            </c:numRef>
          </c:val>
        </c:ser>
        <c:ser>
          <c:idx val="1"/>
          <c:order val="1"/>
          <c:tx>
            <c:strRef>
              <c:f>'[年鉴结果.xlsx]白内障4-6-1'!$D$38</c:f>
              <c:strCache>
                <c:ptCount val="1"/>
                <c:pt idx="0">
                  <c:v>Medicine Expenses</c:v>
                </c:pt>
              </c:strCache>
            </c:strRef>
          </c:tx>
          <c:spPr>
            <a:solidFill>
              <a:srgbClr val="E7E6E6">
                <a:lumMod val="25000"/>
              </a:srgbClr>
            </a:solidFill>
            <a:ln>
              <a:noFill/>
            </a:ln>
            <a:effectLst/>
          </c:spPr>
          <c:invertIfNegative val="0"/>
          <c:dLbls>
            <c:delete val="1"/>
          </c:dLbls>
          <c:cat>
            <c:numRef>
              <c:f>'[年鉴结果.xlsx]白内障4-6-1'!$B$39:$B$50</c:f>
              <c:numCache>
                <c:formatCode>General</c:formatCode>
                <c:ptCount val="9"/>
                <c:pt idx="0">
                  <c:v>2013</c:v>
                </c:pt>
                <c:pt idx="1">
                  <c:v>2014</c:v>
                </c:pt>
                <c:pt idx="2">
                  <c:v>2015</c:v>
                </c:pt>
                <c:pt idx="3">
                  <c:v>2016</c:v>
                </c:pt>
                <c:pt idx="4">
                  <c:v>2017</c:v>
                </c:pt>
                <c:pt idx="5">
                  <c:v>2018</c:v>
                </c:pt>
                <c:pt idx="6">
                  <c:v>2019</c:v>
                </c:pt>
                <c:pt idx="7">
                  <c:v>2020</c:v>
                </c:pt>
                <c:pt idx="8">
                  <c:v>2021</c:v>
                </c:pt>
              </c:numCache>
            </c:numRef>
          </c:cat>
          <c:val>
            <c:numRef>
              <c:f>'[年鉴结果.xlsx]白内障4-6-1'!$D$39:$D$50</c:f>
              <c:numCache>
                <c:formatCode>General</c:formatCode>
                <c:ptCount val="9"/>
                <c:pt idx="0">
                  <c:v>481.7</c:v>
                </c:pt>
                <c:pt idx="1">
                  <c:v>454.4</c:v>
                </c:pt>
                <c:pt idx="2">
                  <c:v>444.9</c:v>
                </c:pt>
                <c:pt idx="3">
                  <c:v>409.5</c:v>
                </c:pt>
                <c:pt idx="4">
                  <c:v>369.4</c:v>
                </c:pt>
                <c:pt idx="5">
                  <c:v>322.8</c:v>
                </c:pt>
                <c:pt idx="6">
                  <c:v>318.1</c:v>
                </c:pt>
                <c:pt idx="7">
                  <c:v>305.6</c:v>
                </c:pt>
                <c:pt idx="8">
                  <c:v>286</c:v>
                </c:pt>
              </c:numCache>
            </c:numRef>
          </c:val>
        </c:ser>
        <c:ser>
          <c:idx val="2"/>
          <c:order val="2"/>
          <c:tx>
            <c:strRef>
              <c:f>'[年鉴结果.xlsx]白内障4-6-1'!$E$38</c:f>
              <c:strCache>
                <c:ptCount val="1"/>
                <c:pt idx="0">
                  <c:v>Examination Fees</c:v>
                </c:pt>
              </c:strCache>
            </c:strRef>
          </c:tx>
          <c:spPr>
            <a:solidFill>
              <a:srgbClr val="F2BA02">
                <a:lumMod val="75000"/>
              </a:srgbClr>
            </a:solidFill>
            <a:ln>
              <a:noFill/>
            </a:ln>
            <a:effectLst/>
          </c:spPr>
          <c:invertIfNegative val="0"/>
          <c:dLbls>
            <c:delete val="1"/>
          </c:dLbls>
          <c:cat>
            <c:numRef>
              <c:f>'[年鉴结果.xlsx]白内障4-6-1'!$B$39:$B$50</c:f>
              <c:numCache>
                <c:formatCode>General</c:formatCode>
                <c:ptCount val="9"/>
                <c:pt idx="0">
                  <c:v>2013</c:v>
                </c:pt>
                <c:pt idx="1">
                  <c:v>2014</c:v>
                </c:pt>
                <c:pt idx="2">
                  <c:v>2015</c:v>
                </c:pt>
                <c:pt idx="3">
                  <c:v>2016</c:v>
                </c:pt>
                <c:pt idx="4">
                  <c:v>2017</c:v>
                </c:pt>
                <c:pt idx="5">
                  <c:v>2018</c:v>
                </c:pt>
                <c:pt idx="6">
                  <c:v>2019</c:v>
                </c:pt>
                <c:pt idx="7">
                  <c:v>2020</c:v>
                </c:pt>
                <c:pt idx="8">
                  <c:v>2021</c:v>
                </c:pt>
              </c:numCache>
            </c:numRef>
          </c:cat>
          <c:val>
            <c:numRef>
              <c:f>'[年鉴结果.xlsx]白内障4-6-1'!$E$39:$E$50</c:f>
              <c:numCache>
                <c:formatCode>General</c:formatCode>
                <c:ptCount val="9"/>
                <c:pt idx="0">
                  <c:v>485.8</c:v>
                </c:pt>
                <c:pt idx="1">
                  <c:v>394.1</c:v>
                </c:pt>
                <c:pt idx="2">
                  <c:v>412.2</c:v>
                </c:pt>
                <c:pt idx="3">
                  <c:v>424.4</c:v>
                </c:pt>
                <c:pt idx="4">
                  <c:v>469.5</c:v>
                </c:pt>
                <c:pt idx="5">
                  <c:v>497.8</c:v>
                </c:pt>
                <c:pt idx="6">
                  <c:v>495.7</c:v>
                </c:pt>
                <c:pt idx="7">
                  <c:v>536.8</c:v>
                </c:pt>
                <c:pt idx="8">
                  <c:v>494.4</c:v>
                </c:pt>
              </c:numCache>
            </c:numRef>
          </c:val>
        </c:ser>
        <c:ser>
          <c:idx val="3"/>
          <c:order val="3"/>
          <c:tx>
            <c:strRef>
              <c:f>'[年鉴结果.xlsx]白内障4-6-1'!$F$38</c:f>
              <c:strCache>
                <c:ptCount val="1"/>
                <c:pt idx="0">
                  <c:v>Treatment Fees</c:v>
                </c:pt>
              </c:strCache>
            </c:strRef>
          </c:tx>
          <c:spPr>
            <a:solidFill>
              <a:srgbClr val="30C0B4"/>
            </a:solidFill>
            <a:ln>
              <a:noFill/>
            </a:ln>
            <a:effectLst/>
          </c:spPr>
          <c:invertIfNegative val="0"/>
          <c:dLbls>
            <c:delete val="1"/>
          </c:dLbls>
          <c:cat>
            <c:numRef>
              <c:f>'[年鉴结果.xlsx]白内障4-6-1'!$B$39:$B$50</c:f>
              <c:numCache>
                <c:formatCode>General</c:formatCode>
                <c:ptCount val="9"/>
                <c:pt idx="0">
                  <c:v>2013</c:v>
                </c:pt>
                <c:pt idx="1">
                  <c:v>2014</c:v>
                </c:pt>
                <c:pt idx="2">
                  <c:v>2015</c:v>
                </c:pt>
                <c:pt idx="3">
                  <c:v>2016</c:v>
                </c:pt>
                <c:pt idx="4">
                  <c:v>2017</c:v>
                </c:pt>
                <c:pt idx="5">
                  <c:v>2018</c:v>
                </c:pt>
                <c:pt idx="6">
                  <c:v>2019</c:v>
                </c:pt>
                <c:pt idx="7">
                  <c:v>2020</c:v>
                </c:pt>
                <c:pt idx="8">
                  <c:v>2021</c:v>
                </c:pt>
              </c:numCache>
            </c:numRef>
          </c:cat>
          <c:val>
            <c:numRef>
              <c:f>'[年鉴结果.xlsx]白内障4-6-1'!$F$39:$F$50</c:f>
              <c:numCache>
                <c:formatCode>General</c:formatCode>
                <c:ptCount val="9"/>
                <c:pt idx="0">
                  <c:v>240.3</c:v>
                </c:pt>
                <c:pt idx="1">
                  <c:v>247.5</c:v>
                </c:pt>
                <c:pt idx="2">
                  <c:v>260.3</c:v>
                </c:pt>
                <c:pt idx="3">
                  <c:v>272.2</c:v>
                </c:pt>
                <c:pt idx="4">
                  <c:v>286.2</c:v>
                </c:pt>
                <c:pt idx="5">
                  <c:v>300.6</c:v>
                </c:pt>
                <c:pt idx="6">
                  <c:v>277</c:v>
                </c:pt>
                <c:pt idx="7">
                  <c:v>260</c:v>
                </c:pt>
                <c:pt idx="8">
                  <c:v>223.4</c:v>
                </c:pt>
              </c:numCache>
            </c:numRef>
          </c:val>
        </c:ser>
        <c:ser>
          <c:idx val="4"/>
          <c:order val="4"/>
          <c:tx>
            <c:strRef>
              <c:f>'[年鉴结果.xlsx]白内障4-6-1'!$G$38</c:f>
              <c:strCache>
                <c:ptCount val="1"/>
                <c:pt idx="0">
                  <c:v>Examination</c:v>
                </c:pt>
              </c:strCache>
            </c:strRef>
          </c:tx>
          <c:spPr>
            <a:solidFill>
              <a:srgbClr val="B1D355"/>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lumMod val="75000"/>
                        <a:lumOff val="25000"/>
                      </a:sys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ysClr val="windowText" lastClr="000000">
                          <a:lumMod val="35000"/>
                          <a:lumOff val="65000"/>
                        </a:sysClr>
                      </a:solidFill>
                      <a:round/>
                    </a:ln>
                    <a:effectLst/>
                  </c:spPr>
                </c15:leaderLines>
              </c:ext>
            </c:extLst>
          </c:dLbls>
          <c:cat>
            <c:numRef>
              <c:f>'[年鉴结果.xlsx]白内障4-6-1'!$B$39:$B$50</c:f>
              <c:numCache>
                <c:formatCode>General</c:formatCode>
                <c:ptCount val="9"/>
                <c:pt idx="0">
                  <c:v>2013</c:v>
                </c:pt>
                <c:pt idx="1">
                  <c:v>2014</c:v>
                </c:pt>
                <c:pt idx="2">
                  <c:v>2015</c:v>
                </c:pt>
                <c:pt idx="3">
                  <c:v>2016</c:v>
                </c:pt>
                <c:pt idx="4">
                  <c:v>2017</c:v>
                </c:pt>
                <c:pt idx="5">
                  <c:v>2018</c:v>
                </c:pt>
                <c:pt idx="6">
                  <c:v>2019</c:v>
                </c:pt>
                <c:pt idx="7">
                  <c:v>2020</c:v>
                </c:pt>
                <c:pt idx="8">
                  <c:v>2021</c:v>
                </c:pt>
              </c:numCache>
            </c:numRef>
          </c:cat>
          <c:val>
            <c:numRef>
              <c:f>'[年鉴结果.xlsx]白内障4-6-1'!$G$39:$G$50</c:f>
            </c:numRef>
          </c:val>
        </c:ser>
        <c:ser>
          <c:idx val="5"/>
          <c:order val="5"/>
          <c:tx>
            <c:strRef>
              <c:f>'[年鉴结果.xlsx]白内障4-6-1'!$H$38</c:f>
              <c:strCache>
                <c:ptCount val="1"/>
                <c:pt idx="0">
                  <c:v>Surgery Fees</c:v>
                </c:pt>
              </c:strCache>
            </c:strRef>
          </c:tx>
          <c:spPr>
            <a:solidFill>
              <a:srgbClr val="A1C4BC"/>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lumMod val="75000"/>
                        <a:lumOff val="25000"/>
                      </a:sys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ysClr val="windowText" lastClr="000000">
                          <a:lumMod val="35000"/>
                          <a:lumOff val="65000"/>
                        </a:sysClr>
                      </a:solidFill>
                      <a:round/>
                    </a:ln>
                    <a:effectLst/>
                  </c:spPr>
                </c15:leaderLines>
              </c:ext>
            </c:extLst>
          </c:dLbls>
          <c:cat>
            <c:numRef>
              <c:f>'[年鉴结果.xlsx]白内障4-6-1'!$B$39:$B$50</c:f>
              <c:numCache>
                <c:formatCode>General</c:formatCode>
                <c:ptCount val="9"/>
                <c:pt idx="0">
                  <c:v>2013</c:v>
                </c:pt>
                <c:pt idx="1">
                  <c:v>2014</c:v>
                </c:pt>
                <c:pt idx="2">
                  <c:v>2015</c:v>
                </c:pt>
                <c:pt idx="3">
                  <c:v>2016</c:v>
                </c:pt>
                <c:pt idx="4">
                  <c:v>2017</c:v>
                </c:pt>
                <c:pt idx="5">
                  <c:v>2018</c:v>
                </c:pt>
                <c:pt idx="6">
                  <c:v>2019</c:v>
                </c:pt>
                <c:pt idx="7">
                  <c:v>2020</c:v>
                </c:pt>
                <c:pt idx="8">
                  <c:v>2021</c:v>
                </c:pt>
              </c:numCache>
            </c:numRef>
          </c:cat>
          <c:val>
            <c:numRef>
              <c:f>'[年鉴结果.xlsx]白内障4-6-1'!$H$39:$H$50</c:f>
              <c:numCache>
                <c:formatCode>General</c:formatCode>
                <c:ptCount val="9"/>
                <c:pt idx="0">
                  <c:v>1792.2</c:v>
                </c:pt>
                <c:pt idx="1">
                  <c:v>1826.1</c:v>
                </c:pt>
                <c:pt idx="2">
                  <c:v>1914.7</c:v>
                </c:pt>
                <c:pt idx="3">
                  <c:v>2029.6</c:v>
                </c:pt>
                <c:pt idx="4">
                  <c:v>2207.3</c:v>
                </c:pt>
                <c:pt idx="5">
                  <c:v>2334.6</c:v>
                </c:pt>
                <c:pt idx="6">
                  <c:v>2483.7</c:v>
                </c:pt>
                <c:pt idx="7">
                  <c:v>2553.9</c:v>
                </c:pt>
                <c:pt idx="8">
                  <c:v>2544.4</c:v>
                </c:pt>
              </c:numCache>
            </c:numRef>
          </c:val>
        </c:ser>
        <c:ser>
          <c:idx val="6"/>
          <c:order val="6"/>
          <c:tx>
            <c:strRef>
              <c:f>'[年鉴结果.xlsx]白内障4-6-1'!$I$38</c:f>
              <c:strCache>
                <c:ptCount val="1"/>
                <c:pt idx="0">
                  <c:v>Material(Mainly IOL) Expenses</c:v>
                </c:pt>
              </c:strCache>
            </c:strRef>
          </c:tx>
          <c:spPr>
            <a:solidFill>
              <a:srgbClr val="F47920"/>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lumMod val="75000"/>
                        <a:lumOff val="25000"/>
                      </a:sys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ysClr val="windowText" lastClr="000000">
                          <a:lumMod val="35000"/>
                          <a:lumOff val="65000"/>
                        </a:sysClr>
                      </a:solidFill>
                      <a:round/>
                    </a:ln>
                    <a:effectLst/>
                  </c:spPr>
                </c15:leaderLines>
              </c:ext>
            </c:extLst>
          </c:dLbls>
          <c:cat>
            <c:numRef>
              <c:f>'[年鉴结果.xlsx]白内障4-6-1'!$B$39:$B$50</c:f>
              <c:numCache>
                <c:formatCode>General</c:formatCode>
                <c:ptCount val="9"/>
                <c:pt idx="0">
                  <c:v>2013</c:v>
                </c:pt>
                <c:pt idx="1">
                  <c:v>2014</c:v>
                </c:pt>
                <c:pt idx="2">
                  <c:v>2015</c:v>
                </c:pt>
                <c:pt idx="3">
                  <c:v>2016</c:v>
                </c:pt>
                <c:pt idx="4">
                  <c:v>2017</c:v>
                </c:pt>
                <c:pt idx="5">
                  <c:v>2018</c:v>
                </c:pt>
                <c:pt idx="6">
                  <c:v>2019</c:v>
                </c:pt>
                <c:pt idx="7">
                  <c:v>2020</c:v>
                </c:pt>
                <c:pt idx="8">
                  <c:v>2021</c:v>
                </c:pt>
              </c:numCache>
            </c:numRef>
          </c:cat>
          <c:val>
            <c:numRef>
              <c:f>'[年鉴结果.xlsx]白内障4-6-1'!$I$39:$I$50</c:f>
              <c:numCache>
                <c:formatCode>General</c:formatCode>
                <c:ptCount val="9"/>
                <c:pt idx="0">
                  <c:v>2675</c:v>
                </c:pt>
                <c:pt idx="1">
                  <c:v>2609.2</c:v>
                </c:pt>
                <c:pt idx="2">
                  <c:v>2655.7</c:v>
                </c:pt>
                <c:pt idx="3">
                  <c:v>2689.4</c:v>
                </c:pt>
                <c:pt idx="4">
                  <c:v>2780.8</c:v>
                </c:pt>
                <c:pt idx="5">
                  <c:v>2697.2</c:v>
                </c:pt>
                <c:pt idx="6">
                  <c:v>2741.4</c:v>
                </c:pt>
                <c:pt idx="7">
                  <c:v>2610.2</c:v>
                </c:pt>
                <c:pt idx="8">
                  <c:v>2350.2</c:v>
                </c:pt>
              </c:numCache>
            </c:numRef>
          </c:val>
        </c:ser>
        <c:dLbls>
          <c:showLegendKey val="0"/>
          <c:showVal val="1"/>
          <c:showCatName val="0"/>
          <c:showSerName val="0"/>
          <c:showPercent val="0"/>
          <c:showBubbleSize val="0"/>
        </c:dLbls>
        <c:gapWidth val="119"/>
        <c:overlap val="100"/>
        <c:axId val="461063718"/>
        <c:axId val="50807654"/>
      </c:barChart>
      <c:catAx>
        <c:axId val="461063718"/>
        <c:scaling>
          <c:orientation val="minMax"/>
        </c:scaling>
        <c:delete val="0"/>
        <c:axPos val="b"/>
        <c:numFmt formatCode="General" sourceLinked="1"/>
        <c:majorTickMark val="none"/>
        <c:minorTickMark val="none"/>
        <c:tickLblPos val="nextTo"/>
        <c:spPr>
          <a:noFill/>
          <a:ln w="9525" cap="flat" cmpd="sng" algn="ctr">
            <a:solidFill>
              <a:sysClr val="windowText" lastClr="000000">
                <a:lumMod val="15000"/>
                <a:lumOff val="85000"/>
              </a:sysClr>
            </a:solidFill>
            <a:round/>
          </a:ln>
          <a:effectLst/>
        </c:spPr>
        <c:txPr>
          <a:bodyPr rot="-60000000" spcFirstLastPara="0" vertOverflow="ellipsis" vert="horz" wrap="square" anchor="ctr" anchorCtr="1" forceAA="0"/>
          <a:lstStyle/>
          <a:p>
            <a:pPr>
              <a:defRPr lang="zh-CN" sz="900" b="0" i="0" u="none" strike="noStrike" kern="1200" baseline="0">
                <a:solidFill>
                  <a:sysClr val="windowText" lastClr="000000">
                    <a:lumMod val="65000"/>
                    <a:lumOff val="35000"/>
                  </a:sysClr>
                </a:solidFill>
                <a:latin typeface="+mn-lt"/>
                <a:ea typeface="+mn-ea"/>
                <a:cs typeface="+mn-cs"/>
              </a:defRPr>
            </a:pPr>
          </a:p>
        </c:txPr>
        <c:crossAx val="50807654"/>
        <c:crosses val="autoZero"/>
        <c:auto val="1"/>
        <c:lblAlgn val="ctr"/>
        <c:lblOffset val="100"/>
        <c:noMultiLvlLbl val="0"/>
      </c:catAx>
      <c:valAx>
        <c:axId val="50807654"/>
        <c:scaling>
          <c:orientation val="minMax"/>
        </c:scaling>
        <c:delete val="0"/>
        <c:axPos val="l"/>
        <c:numFmt formatCode="General" sourceLinked="1"/>
        <c:majorTickMark val="none"/>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ysClr val="windowText" lastClr="000000">
                    <a:lumMod val="65000"/>
                    <a:lumOff val="35000"/>
                  </a:sysClr>
                </a:solidFill>
                <a:latin typeface="+mn-lt"/>
                <a:ea typeface="+mn-ea"/>
                <a:cs typeface="+mn-cs"/>
              </a:defRPr>
            </a:pPr>
          </a:p>
        </c:txPr>
        <c:crossAx val="461063718"/>
        <c:crosses val="autoZero"/>
        <c:crossBetween val="between"/>
      </c:valAx>
      <c:spPr>
        <a:noFill/>
        <a:ln>
          <a:noFill/>
        </a:ln>
        <a:effectLst/>
      </c:spPr>
    </c:plotArea>
    <c:legend>
      <c:legendPos val="t"/>
      <c:layout/>
      <c:overlay val="0"/>
      <c:spPr>
        <a:noFill/>
        <a:ln>
          <a:noFill/>
        </a:ln>
        <a:effectLst/>
      </c:spPr>
      <c:txPr>
        <a:bodyPr rot="0" spcFirstLastPara="0" vertOverflow="ellipsis" vert="horz" wrap="square" anchor="ctr" anchorCtr="1" forceAA="0"/>
        <a:lstStyle/>
        <a:p>
          <a:pPr>
            <a:defRPr lang="zh-CN" sz="900" b="0" i="0" u="none" strike="noStrike" kern="1200" baseline="0">
              <a:solidFill>
                <a:sysClr val="windowText" lastClr="000000">
                  <a:lumMod val="65000"/>
                  <a:lumOff val="35000"/>
                </a:sysClr>
              </a:solidFill>
              <a:latin typeface="+mn-lt"/>
              <a:ea typeface="+mn-ea"/>
              <a:cs typeface="+mn-cs"/>
            </a:defRPr>
          </a:pPr>
        </a:p>
      </c:txPr>
    </c:legend>
    <c:plotVisOnly val="1"/>
    <c:dispBlanksAs val="gap"/>
    <c:showDLblsOverMax val="0"/>
    <c:extLst>
      <c:ext uri="{0b15fc19-7d7d-44ad-8c2d-2c3a37ce22c3}">
        <chartProps xmlns="https://web.wps.cn/et/2018/main" chartId="{1006232d-84aa-48b2-ba8c-3ab0db896ef4}"/>
      </c:ext>
    </c:extLst>
  </c:chart>
  <c:spPr>
    <a:solidFill>
      <a:sysClr val="window" lastClr="FFFFFF"/>
    </a:solidFill>
    <a:ln w="9525" cap="flat" cmpd="sng" algn="ctr">
      <a:solidFill>
        <a:sysClr val="windowText" lastClr="000000">
          <a:lumMod val="15000"/>
          <a:lumOff val="85000"/>
        </a:sys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ysClr val="windowText" lastClr="000000">
        <a:lumMod val="65000"/>
        <a:lumOff val="35000"/>
      </a:sysClr>
    </cs:fontRef>
    <cs:defRPr sz="1000" kern="1200"/>
  </cs:axisTitle>
  <cs:categoryAxis>
    <cs:lnRef idx="0"/>
    <cs:fillRef idx="0"/>
    <cs:effectRef idx="0"/>
    <cs:fontRef idx="minor">
      <a:sysClr val="windowText" lastClr="000000">
        <a:lumMod val="65000"/>
        <a:lumOff val="35000"/>
      </a:sysClr>
    </cs:fontRef>
    <cs:spPr>
      <a:ln w="9525" cap="flat" cmpd="sng" algn="ctr">
        <a:solidFill>
          <a:sysClr val="windowText" lastClr="000000">
            <a:lumMod val="15000"/>
            <a:lumOff val="85000"/>
          </a:sysClr>
        </a:solidFill>
        <a:round/>
      </a:ln>
    </cs:spPr>
    <cs:defRPr sz="900" kern="1200"/>
  </cs:categoryAxis>
  <cs:chartArea mods="allowNoFillOverride allowNoLineOverride">
    <cs:lnRef idx="0"/>
    <cs:fillRef idx="0"/>
    <cs:effectRef idx="0"/>
    <cs:fontRef idx="minor">
      <a:sysClr val="windowText" lastClr="000000"/>
    </cs:fontRef>
    <cs:spPr>
      <a:solidFill>
        <a:sysClr val="window" lastClr="FFFFFF"/>
      </a:solidFill>
      <a:ln w="9525" cap="flat" cmpd="sng" algn="ctr">
        <a:solidFill>
          <a:sysClr val="windowText" lastClr="000000">
            <a:lumMod val="15000"/>
            <a:lumOff val="85000"/>
          </a:sysClr>
        </a:solidFill>
        <a:round/>
      </a:ln>
    </cs:spPr>
    <cs:defRPr sz="1000" kern="1200"/>
  </cs:chartArea>
  <cs:dataLabel>
    <cs:lnRef idx="0"/>
    <cs:fillRef idx="0"/>
    <cs:effectRef idx="0"/>
    <cs:fontRef idx="minor">
      <a:sysClr val="windowText" lastClr="000000">
        <a:lumMod val="75000"/>
        <a:lumOff val="25000"/>
      </a:sysClr>
    </cs:fontRef>
    <cs:defRPr sz="900" kern="1200"/>
  </cs:dataLabel>
  <cs:dataLabelCallout>
    <cs:lnRef idx="0"/>
    <cs:fillRef idx="0"/>
    <cs:effectRef idx="0"/>
    <cs:fontRef idx="minor">
      <a:sysClr val="windowText" lastClr="000000">
        <a:lumMod val="65000"/>
        <a:lumOff val="35000"/>
      </a:sysClr>
    </cs:fontRef>
    <cs:spPr>
      <a:solidFill>
        <a:sysClr val="window" lastClr="FFFFFF"/>
      </a:solidFill>
      <a:ln>
        <a:solidFill>
          <a:sysClr val="windowText" lastClr="000000">
            <a:lumMod val="25000"/>
            <a:lumOff val="75000"/>
          </a:sys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ysClr val="windowText" lastClr="000000"/>
    </cs:fontRef>
  </cs:dataPoint>
  <cs:dataPoint3D>
    <cs:lnRef idx="0"/>
    <cs:fillRef idx="1">
      <cs:styleClr val="auto"/>
    </cs:fillRef>
    <cs:effectRef idx="0"/>
    <cs:fontRef idx="minor">
      <a:sysClr val="windowText" lastClr="000000"/>
    </cs:fontRef>
  </cs:dataPoint3D>
  <cs:dataPointLine>
    <cs:lnRef idx="0">
      <cs:styleClr val="auto"/>
    </cs:lnRef>
    <cs:fillRef idx="1"/>
    <cs:effectRef idx="0"/>
    <cs:fontRef idx="minor">
      <a:sysClr val="windowText" lastClr="000000"/>
    </cs:fontRef>
    <cs:spPr>
      <a:ln w="28575" cap="rnd">
        <a:solidFill>
          <a:schemeClr val="phClr"/>
        </a:solidFill>
        <a:round/>
      </a:ln>
    </cs:spPr>
  </cs:dataPointLine>
  <cs:dataPointMarker>
    <cs:lnRef idx="0">
      <cs:styleClr val="auto"/>
    </cs:lnRef>
    <cs:fillRef idx="1">
      <cs:styleClr val="auto"/>
    </cs:fillRef>
    <cs:effectRef idx="0"/>
    <cs:fontRef idx="minor">
      <a:sysClr val="windowText" lastClr="000000"/>
    </cs:fontRef>
    <cs:spPr>
      <a:ln w="9525">
        <a:solidFill>
          <a:schemeClr val="phClr"/>
        </a:solidFill>
      </a:ln>
    </cs:spPr>
  </cs:dataPointMarker>
  <cs:dataPointMarkerLayout symbol="circle" size="5"/>
  <cs:dataPointWireframe>
    <cs:lnRef idx="0">
      <cs:styleClr val="auto"/>
    </cs:lnRef>
    <cs:fillRef idx="1"/>
    <cs:effectRef idx="0"/>
    <cs:fontRef idx="minor">
      <a:sysClr val="windowText" lastClr="000000"/>
    </cs:fontRef>
    <cs:spPr>
      <a:ln w="9525" cap="rnd">
        <a:solidFill>
          <a:schemeClr val="phClr"/>
        </a:solidFill>
        <a:round/>
      </a:ln>
    </cs:spPr>
  </cs:dataPointWireframe>
  <cs:dataTable>
    <cs:lnRef idx="0"/>
    <cs:fillRef idx="0"/>
    <cs:effectRef idx="0"/>
    <cs:fontRef idx="minor">
      <a:sysClr val="windowText" lastClr="000000">
        <a:lumMod val="65000"/>
        <a:lumOff val="35000"/>
      </a:sysClr>
    </cs:fontRef>
    <cs:spPr>
      <a:noFill/>
      <a:ln w="9525" cap="flat" cmpd="sng" algn="ctr">
        <a:solidFill>
          <a:sysClr val="windowText" lastClr="000000">
            <a:lumMod val="15000"/>
            <a:lumOff val="85000"/>
          </a:sysClr>
        </a:solidFill>
        <a:round/>
      </a:ln>
    </cs:spPr>
    <cs:defRPr sz="900" kern="1200"/>
  </cs:dataTable>
  <cs:downBar>
    <cs:lnRef idx="0"/>
    <cs:fillRef idx="0"/>
    <cs:effectRef idx="0"/>
    <cs:fontRef idx="minor">
      <a:sysClr val="windowText" lastClr="000000"/>
    </cs:fontRef>
    <cs:spPr>
      <a:solidFill>
        <a:sysClr val="windowText" lastClr="000000">
          <a:lumMod val="65000"/>
          <a:lumOff val="35000"/>
        </a:sysClr>
      </a:solidFill>
      <a:ln w="9525">
        <a:solidFill>
          <a:sysClr val="windowText" lastClr="000000">
            <a:lumMod val="65000"/>
            <a:lumOff val="35000"/>
          </a:sysClr>
        </a:solidFill>
      </a:ln>
    </cs:spPr>
  </cs:downBar>
  <cs:dropLine>
    <cs:lnRef idx="0"/>
    <cs:fillRef idx="0"/>
    <cs:effectRef idx="0"/>
    <cs:fontRef idx="minor">
      <a:sysClr val="windowText" lastClr="000000"/>
    </cs:fontRef>
    <cs:spPr>
      <a:ln w="9525" cap="flat" cmpd="sng" algn="ctr">
        <a:solidFill>
          <a:sysClr val="windowText" lastClr="000000">
            <a:lumMod val="35000"/>
            <a:lumOff val="65000"/>
          </a:sysClr>
        </a:solidFill>
        <a:round/>
      </a:ln>
    </cs:spPr>
  </cs:dropLine>
  <cs:errorBar>
    <cs:lnRef idx="0"/>
    <cs:fillRef idx="0"/>
    <cs:effectRef idx="0"/>
    <cs:fontRef idx="minor">
      <a:sysClr val="windowText" lastClr="000000"/>
    </cs:fontRef>
    <cs:spPr>
      <a:ln w="9525" cap="flat" cmpd="sng" algn="ctr">
        <a:solidFill>
          <a:sysClr val="windowText" lastClr="000000">
            <a:lumMod val="65000"/>
            <a:lumOff val="35000"/>
          </a:sysClr>
        </a:solidFill>
        <a:round/>
      </a:ln>
    </cs:spPr>
  </cs:errorBar>
  <cs:floor>
    <cs:lnRef idx="0"/>
    <cs:fillRef idx="0"/>
    <cs:effectRef idx="0"/>
    <cs:fontRef idx="minor">
      <a:sysClr val="windowText" lastClr="000000"/>
    </cs:fontRef>
    <cs:spPr>
      <a:noFill/>
      <a:ln>
        <a:noFill/>
      </a:ln>
    </cs:spPr>
  </cs:floor>
  <cs:gridlineMajor>
    <cs:lnRef idx="0"/>
    <cs:fillRef idx="0"/>
    <cs:effectRef idx="0"/>
    <cs:fontRef idx="minor">
      <a:sysClr val="windowText" lastClr="000000"/>
    </cs:fontRef>
    <cs:spPr>
      <a:ln w="9525" cap="flat" cmpd="sng" algn="ctr">
        <a:solidFill>
          <a:sysClr val="windowText" lastClr="000000">
            <a:lumMod val="15000"/>
            <a:lumOff val="85000"/>
          </a:sysClr>
        </a:solidFill>
        <a:round/>
      </a:ln>
    </cs:spPr>
  </cs:gridlineMajor>
  <cs:gridlineMinor>
    <cs:lnRef idx="0"/>
    <cs:fillRef idx="0"/>
    <cs:effectRef idx="0"/>
    <cs:fontRef idx="minor">
      <a:sysClr val="windowText" lastClr="000000"/>
    </cs:fontRef>
    <cs:spPr>
      <a:ln w="9525" cap="flat" cmpd="sng" algn="ctr">
        <a:solidFill>
          <a:sysClr val="windowText" lastClr="000000">
            <a:lumMod val="5000"/>
            <a:lumOff val="95000"/>
          </a:sysClr>
        </a:solidFill>
        <a:round/>
      </a:ln>
    </cs:spPr>
  </cs:gridlineMinor>
  <cs:hiLoLine>
    <cs:lnRef idx="0"/>
    <cs:fillRef idx="0"/>
    <cs:effectRef idx="0"/>
    <cs:fontRef idx="minor">
      <a:sysClr val="windowText" lastClr="000000"/>
    </cs:fontRef>
    <cs:spPr>
      <a:ln w="9525" cap="flat" cmpd="sng" algn="ctr">
        <a:solidFill>
          <a:sysClr val="windowText" lastClr="000000">
            <a:lumMod val="75000"/>
            <a:lumOff val="25000"/>
          </a:sysClr>
        </a:solidFill>
        <a:round/>
      </a:ln>
    </cs:spPr>
  </cs:hiLoLine>
  <cs:leaderLine>
    <cs:lnRef idx="0"/>
    <cs:fillRef idx="0"/>
    <cs:effectRef idx="0"/>
    <cs:fontRef idx="minor">
      <a:sysClr val="windowText" lastClr="000000"/>
    </cs:fontRef>
    <cs:spPr>
      <a:ln w="9525" cap="flat" cmpd="sng" algn="ctr">
        <a:solidFill>
          <a:sysClr val="windowText" lastClr="000000">
            <a:lumMod val="35000"/>
            <a:lumOff val="65000"/>
          </a:sysClr>
        </a:solidFill>
        <a:round/>
      </a:ln>
    </cs:spPr>
  </cs:leaderLine>
  <cs:legend>
    <cs:lnRef idx="0"/>
    <cs:fillRef idx="0"/>
    <cs:effectRef idx="0"/>
    <cs:fontRef idx="minor">
      <a:sysClr val="windowText" lastClr="000000">
        <a:lumMod val="65000"/>
        <a:lumOff val="35000"/>
      </a:sysClr>
    </cs:fontRef>
    <cs:defRPr sz="900" kern="1200"/>
  </cs:legend>
  <cs:plotArea mods="allowNoFillOverride allowNoLineOverride">
    <cs:lnRef idx="0"/>
    <cs:fillRef idx="0"/>
    <cs:effectRef idx="0"/>
    <cs:fontRef idx="minor">
      <a:sysClr val="windowText" lastClr="000000"/>
    </cs:fontRef>
  </cs:plotArea>
  <cs:plotArea3D mods="allowNoFillOverride allowNoLineOverride">
    <cs:lnRef idx="0"/>
    <cs:fillRef idx="0"/>
    <cs:effectRef idx="0"/>
    <cs:fontRef idx="minor">
      <a:sysClr val="windowText" lastClr="000000"/>
    </cs:fontRef>
  </cs:plotArea3D>
  <cs:seriesAxis>
    <cs:lnRef idx="0"/>
    <cs:fillRef idx="0"/>
    <cs:effectRef idx="0"/>
    <cs:fontRef idx="minor">
      <a:sysClr val="windowText" lastClr="000000">
        <a:lumMod val="65000"/>
        <a:lumOff val="35000"/>
      </a:sysClr>
    </cs:fontRef>
    <cs:defRPr sz="900" kern="1200"/>
  </cs:seriesAxis>
  <cs:seriesLine>
    <cs:lnRef idx="0"/>
    <cs:fillRef idx="0"/>
    <cs:effectRef idx="0"/>
    <cs:fontRef idx="minor">
      <a:sysClr val="windowText" lastClr="000000"/>
    </cs:fontRef>
    <cs:spPr>
      <a:ln w="9525" cap="flat" cmpd="sng" algn="ctr">
        <a:solidFill>
          <a:sysClr val="windowText" lastClr="000000">
            <a:lumMod val="35000"/>
            <a:lumOff val="65000"/>
          </a:sysClr>
        </a:solidFill>
        <a:round/>
      </a:ln>
    </cs:spPr>
  </cs:seriesLine>
  <cs:title>
    <cs:lnRef idx="0"/>
    <cs:fillRef idx="0"/>
    <cs:effectRef idx="0"/>
    <cs:fontRef idx="minor">
      <a:sysClr val="windowText" lastClr="000000">
        <a:lumMod val="65000"/>
        <a:lumOff val="35000"/>
      </a:sysClr>
    </cs:fontRef>
    <cs:defRPr sz="1400" b="0" kern="1200" spc="0" baseline="0"/>
  </cs:title>
  <cs:trendline>
    <cs:lnRef idx="0">
      <cs:styleClr val="auto"/>
    </cs:lnRef>
    <cs:fillRef idx="0"/>
    <cs:effectRef idx="0"/>
    <cs:fontRef idx="minor">
      <a:sysClr val="windowText" lastClr="000000"/>
    </cs:fontRef>
    <cs:spPr>
      <a:ln w="19050" cap="rnd">
        <a:solidFill>
          <a:schemeClr val="phClr"/>
        </a:solidFill>
        <a:prstDash val="sysDot"/>
      </a:ln>
    </cs:spPr>
  </cs:trendline>
  <cs:trendlineLabel>
    <cs:lnRef idx="0"/>
    <cs:fillRef idx="0"/>
    <cs:effectRef idx="0"/>
    <cs:fontRef idx="minor">
      <a:sysClr val="windowText" lastClr="000000">
        <a:lumMod val="65000"/>
        <a:lumOff val="35000"/>
      </a:sysClr>
    </cs:fontRef>
    <cs:defRPr sz="900" kern="1200"/>
  </cs:trendlineLabel>
  <cs:upBar>
    <cs:lnRef idx="0"/>
    <cs:fillRef idx="0"/>
    <cs:effectRef idx="0"/>
    <cs:fontRef idx="minor">
      <a:sysClr val="windowText" lastClr="000000"/>
    </cs:fontRef>
    <cs:spPr>
      <a:solidFill>
        <a:sysClr val="window" lastClr="FFFFFF"/>
      </a:solidFill>
      <a:ln w="9525">
        <a:solidFill>
          <a:sysClr val="windowText" lastClr="000000">
            <a:lumMod val="15000"/>
            <a:lumOff val="85000"/>
          </a:sysClr>
        </a:solidFill>
      </a:ln>
    </cs:spPr>
  </cs:upBar>
  <cs:valueAxis>
    <cs:lnRef idx="0"/>
    <cs:fillRef idx="0"/>
    <cs:effectRef idx="0"/>
    <cs:fontRef idx="minor">
      <a:sysClr val="windowText" lastClr="000000">
        <a:lumMod val="65000"/>
        <a:lumOff val="35000"/>
      </a:sysClr>
    </cs:fontRef>
    <cs:defRPr sz="900" kern="1200"/>
  </cs:valueAxis>
  <cs:wall>
    <cs:lnRef idx="0"/>
    <cs:fillRef idx="0"/>
    <cs:effectRef idx="0"/>
    <cs:fontRef idx="minor">
      <a:sysClr val="windowText" lastClr="000000"/>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word/theme/themeOverride1.xml><?xml version="1.0" encoding="utf-8"?>
<a:themeOverride xmlns:a="http://schemas.openxmlformats.org/drawingml/2006/main">
  <a:clrScheme name="23">
    <a:dk1>
      <a:srgbClr val="000000"/>
    </a:dk1>
    <a:lt1>
      <a:srgbClr val="FFFFFF"/>
    </a:lt1>
    <a:dk2>
      <a:srgbClr val="1F1F1F"/>
    </a:dk2>
    <a:lt2>
      <a:srgbClr val="C1D7EB"/>
    </a:lt2>
    <a:accent1>
      <a:srgbClr val="82C8FE"/>
    </a:accent1>
    <a:accent2>
      <a:srgbClr val="5EB0F6"/>
    </a:accent2>
    <a:accent3>
      <a:srgbClr val="2181F7"/>
    </a:accent3>
    <a:accent4>
      <a:srgbClr val="0E59CA"/>
    </a:accent4>
    <a:accent5>
      <a:srgbClr val="033890"/>
    </a:accent5>
    <a:accent6>
      <a:srgbClr val="032962"/>
    </a:accent6>
    <a:hlink>
      <a:srgbClr val="866054"/>
    </a:hlink>
    <a:folHlink>
      <a:srgbClr val="422F28"/>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Pages>8</Pages>
  <Words>959</Words>
  <Characters>5470</Characters>
  <Lines>45</Lines>
  <Paragraphs>12</Paragraphs>
  <TotalTime>0</TotalTime>
  <ScaleCrop>false</ScaleCrop>
  <LinksUpToDate>false</LinksUpToDate>
  <CharactersWithSpaces>6417</CharactersWithSpaces>
  <Application>WPS Office_12.1.23540.23540_F1E327BC-269C-435d-A152-05C5408002CA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2024-07-18T10:26:00Z</dcterms:created>
  <dc:creator>Junling Zhao</dc:creator>
  <cp:lastModifiedBy>Junling Zhao</cp:lastModifiedBy>
  <dcterms:modified xsi:type="dcterms:W3CDTF">2025-11-16T10:35:46Z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2052-12.1.23540.23540</vt:lpwstr>
  </property>
  <property fmtid="{D5CDD505-2E9C-101B-9397-08002B2CF9AE}" pid="3" name="ICV">
    <vt:lpwstr>190DAFF40A4FF685C32B9766477B544B_41</vt:lpwstr>
  </property>
</Properties>
</file>