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5DF2E" w14:textId="77777777" w:rsidR="005E1386" w:rsidRDefault="005E1386" w:rsidP="005E1386">
      <w:pPr>
        <w:pStyle w:val="berschrift11"/>
        <w:rPr>
          <w:lang w:val="en-US"/>
        </w:rPr>
      </w:pPr>
      <w:r>
        <w:rPr>
          <w:lang w:val="en-US"/>
        </w:rPr>
        <w:t>Appendices</w:t>
      </w:r>
    </w:p>
    <w:p w14:paraId="5A5FD40E" w14:textId="77777777" w:rsidR="005E1386" w:rsidRDefault="005E1386" w:rsidP="005E1386">
      <w:pPr>
        <w:pStyle w:val="berschrift21"/>
        <w:rPr>
          <w:lang w:val="en-US"/>
        </w:rPr>
      </w:pPr>
      <w:r>
        <w:rPr>
          <w:lang w:val="en-US"/>
        </w:rPr>
        <w:t>Appendix 1: Search String Reviews (PubMed)</w:t>
      </w:r>
    </w:p>
    <w:p w14:paraId="29570FF4" w14:textId="77777777" w:rsidR="005E1386" w:rsidRDefault="005E1386" w:rsidP="005E1386">
      <w:pPr>
        <w:rPr>
          <w:lang w:val="en-US"/>
        </w:rPr>
      </w:pPr>
      <w:r>
        <w:rPr>
          <w:lang w:val="en-US"/>
        </w:rPr>
        <w:t>("heat wave*"[All Fields] OR "heatwave*"[All Fields] OR "extreme heat*"[All Fields] OR "extreme heat*"[MeSH Terms] OR "hot weather*"[All Fields] OR "hot temperature*"[All Fields] OR "high temperature*"[All Fields] OR "extreme temperature*"[All Fields] OR "warm temperature*"[All Fields] OR "extreme weather*"[All Fields] OR "temperature-mortalit*"[All Fields] OR "temperature-morbidit*"[All Fields] OR "temperature-related*"[All Fields] OR heat*[All Fields] OR “non-optimal temperature*”[All Fields] OR “hot day*”[All Fields] OR “hot day”[All Fields] OR “heat exposure*”[All Fields] OR “heat risk*”[All Fields] OR “apparent temperature*”[All Fields] OR “heat stress*”[All Fields] OR “heat strain*”[All Fields] OR “equivalent temperature*”[All Fields] OR “ambient temperature*”[All Fields] OR “wet bulb globe temperature*”[All Fields] OR WBGT*[All Fields] OR “urban heat island*”[All Fields] OR “heat index*”[All Fields] OR “temperature humidity index*”[All Fields] OR “comfort index*”[All Fields] OR “discomfort index*”[All Fields] OR “universal thermal climate index*”[All Fields] OR UTCI*[All Fields] OR humidex*[All Fields])</w:t>
      </w:r>
    </w:p>
    <w:p w14:paraId="0C0BC894" w14:textId="77777777" w:rsidR="005E1386" w:rsidRDefault="005E1386" w:rsidP="005E1386">
      <w:pPr>
        <w:rPr>
          <w:lang w:val="en-US"/>
        </w:rPr>
      </w:pPr>
      <w:r>
        <w:rPr>
          <w:lang w:val="en-US"/>
        </w:rPr>
        <w:t>AND ("health"[MeSH Terms] OR "health*"[All Fields] OR “morbidit*”[All Fields] OR “mortalit*”[All Fields] OR “illness*”[All Fields] OR “disease*”[All Fields])</w:t>
      </w:r>
    </w:p>
    <w:p w14:paraId="3B1A8D70" w14:textId="77777777" w:rsidR="005E1386" w:rsidRDefault="005E1386" w:rsidP="005E1386">
      <w:pPr>
        <w:rPr>
          <w:lang w:val="en-US"/>
        </w:rPr>
      </w:pPr>
      <w:r>
        <w:rPr>
          <w:lang w:val="en-US"/>
        </w:rPr>
        <w:t>AND (meta-analysis[Filter] OR review[Filter] OR systematicreview[Filter])</w:t>
      </w:r>
    </w:p>
    <w:p w14:paraId="04B0D9F5" w14:textId="77777777" w:rsidR="005E1386" w:rsidRDefault="005E1386" w:rsidP="005E1386">
      <w:pPr>
        <w:rPr>
          <w:lang w:val="en-US"/>
        </w:rPr>
      </w:pPr>
      <w:r>
        <w:rPr>
          <w:lang w:val="en-US"/>
        </w:rPr>
        <w:t xml:space="preserve">AND (Albania[Title/Abstract] OR Andorra[Title/Abstract] OR Armenia[Title/Abstract] OR Austria[Title/Abstract] OR Azerbaijan[Title/Abstract] OR Republic of Belarus[Title/Abstract] OR Belgium[Title/Abstract] OR Bosnia and Herzegovina[Title/Abstract] OR Bulgaria[Title/Abstract] OR Croatia[Title/Abstract] OR Cyprus[Title/Abstract] OR Czech Republic[Title/Abstract] OR Denmark[Title/Abstract] OR Estonia[Title/Abstract] OR Finland[Title/Abstract] OR France[Title/Abstract] OR Georgia[Title/Abstract] OR Germany[Title/Abstract] OR Greece[Title/Abstract] OR Hungary[Title/Abstract] OR Iceland[Title/Abstract] OR Ireland[Title/Abstract] OR Israel[Title/Abstract] OR Italy[Title/Abstract] OR Kazakhstan[Title/Abstract] OR Kyrgyzstan[Title/Abstract] OR Latvia[Title/Abstract] OR Lithuania[Title/Abstract] OR Luxembourg[Title/Abstract] OR Malta[Title/Abstract] OR Monaco[Title/Abstract] OR Montenegro[Title/Abstract] OR Netherlands[Title/Abstract] OR Republic of North Macedonia[Title/Abstract] OR Norway[Title/Abstract] OR Poland[Title/Abstract] OR Portugal[Title/Abstract] OR Moldova[Title/Abstract] OR Romania[Title/Abstract] OR Russia[Title/Abstract] OR San Marino[Title/Abstract] OR Serbia[Title/Abstract] OR Slovakia[Title/Abstract] OR Slovenia[Title/Abstract] OR Spain[Title/Abstract] OR Sweden[Title/Abstract] OR Switzerland[Title/Abstract] OR Tajikistan[Title/Abstract] OR Turkey[Title/Abstract] OR Turkmenistan[Title/Abstract] OR Ukraine[Title/Abstract] OR United Kingdom[Title/Abstract] OR Uzbekistan[Title/Abstract] OR Europe*[Title/Abstract] OR "Albania"[MeSH] OR "Andorra"[MeSH] OR "Armenia"[MeSH] OR "Austria"[MeSH] OR "Azerbaijan"[MeSH] OR "Republic of Belarus"[MeSH] OR "Belgium"[MeSH] OR "Bosnia and Herzegovina"[MeSH] OR "Bulgaria"[MeSH] OR "Croatia"[MeSH] OR "Cyprus"[MeSH] OR "Czech Republic"[MeSH] OR "Denmark"[MeSH] OR "Estonia"[MeSH] OR "Finland"[MeSH] OR "France"[MeSH] OR "Georgia"[MeSH] OR "Germany"[MeSH] </w:t>
      </w:r>
      <w:r>
        <w:rPr>
          <w:lang w:val="en-US"/>
        </w:rPr>
        <w:lastRenderedPageBreak/>
        <w:t>OR "Greece"[MeSH] OR "Hungary"[MeSH] OR "Iceland"[MeSH] OR "Ireland"[MeSH] OR "Israel"[MeSH] OR "Italy"[MeSH] OR "Kazakhstan"[MeSH] OR "Kyrgyzstan"[MeSH] OR "Latvia"[MeSH] OR "Lithuania"[MeSH] OR "Luxembourg"[MeSH] OR "Malta"[MeSH] OR "Monaco"[MeSH] OR "Montenegro"[MeSH] OR "Netherlands"[MeSH] OR "Republic of North Macedonia"[MeSH] OR "Norway"[MeSH] OR "Poland"[MeSH] OR "Portugal"[MeSH] OR "Moldova"[MeSH] OR "Romania"[MeSH] OR "Russia"[MeSH] OR "San Marino"[MeSH] OR "Serbia"[MeSH] OR "Slovakia"[MeSH] OR "Slovenia"[MeSH] OR "Spain"[MeSH] OR "Sweden"[MeSH] OR "Switzerland"[MeSH] OR "Tajikistan"[MeSH] OR "Turkey"[MeSH] OR "Turkmenistan"[MeSH] OR "Ukraine"[MeSH] OR "United Kingdom"[MeSH] OR "Uzbekistan"[MeSH] OR "Europe”[MeSH])</w:t>
      </w:r>
    </w:p>
    <w:p w14:paraId="0FA63E6F" w14:textId="77777777" w:rsidR="005E1386" w:rsidRDefault="005E1386" w:rsidP="005E1386">
      <w:pPr>
        <w:rPr>
          <w:lang w:val="en-US"/>
        </w:rPr>
      </w:pPr>
      <w:r>
        <w:rPr>
          <w:lang w:val="en-US"/>
        </w:rPr>
        <w:t>AND ((English[Language]) OR (German[Language]))</w:t>
      </w:r>
    </w:p>
    <w:p w14:paraId="77B5E52A" w14:textId="77777777" w:rsidR="005E1386" w:rsidRDefault="005E1386" w:rsidP="005E1386">
      <w:pPr>
        <w:rPr>
          <w:lang w:val="en-US"/>
        </w:rPr>
      </w:pPr>
    </w:p>
    <w:p w14:paraId="182568FB" w14:textId="77777777" w:rsidR="005E1386" w:rsidRDefault="005E1386" w:rsidP="005E1386">
      <w:pPr>
        <w:pStyle w:val="berschrift21"/>
        <w:rPr>
          <w:lang w:val="en-US"/>
        </w:rPr>
      </w:pPr>
      <w:r>
        <w:rPr>
          <w:lang w:val="en-US"/>
        </w:rPr>
        <w:t>Appendix 2: Search String Reviews (Epistemonikos)</w:t>
      </w:r>
    </w:p>
    <w:p w14:paraId="6E392E3C" w14:textId="77777777" w:rsidR="005E1386" w:rsidRDefault="005E1386" w:rsidP="005E1386">
      <w:pPr>
        <w:rPr>
          <w:lang w:val="en-US"/>
        </w:rPr>
      </w:pPr>
      <w:r>
        <w:rPr>
          <w:lang w:val="en-US"/>
        </w:rPr>
        <w:t>("heat wave*" OR "heatwave*" OR "extreme heat*" OR "hot weather*" OR "hot temperature*" OR "high temperature*" OR "extreme temperature*" OR "warm temperature*" OR "extreme weather*" OR "temperature-mortalit*" OR "temperature-morbidit*" OR "temperature-related*" OR heat* OR "non‐optimal temperature*" OR "hot days*" OR "hot day*" OR "heat exposure*" OR "heat risk*" OR "apparent temperature*" OR "heat stress*" OR "heat strain*" OR "equivalent temperature*" OR "ambient temperature*" OR "wet bulb globe temperature*" OR (WBGT*) OR "urban heat island*" OR "heat index*" OR "temperature humidity index*" OR "comfort index*" OR "discomfort index*" OR "universal thermal climate index*" OR (UTCI*) OR (humidex*)) AND ("health*" OR "morbidit*" OR "mortalit*" OR "illness*" OR "disease*") AND (Albania OR Andorra OR Armenia OR Austria OR Azerbaijan OR Republic of Belarus OR Belgium OR (Bosnia AND Herzegovina) OR Bulgaria OR Croatia OR Cyprus OR Czech Republic OR Denmark OR Estonia OR Finland OR France OR Georgia OR Germany OR Greece OR Hungary OR Iceland OR Ireland OR Israel OR Italy OR Kazakhstan OR Kyrgyzstan OR Latvia OR Lithuania OR Luxembourg OR Malta OR Monaco OR Montenegro OR Netherlands OR Republic of North Macedonia OR Norway OR Poland OR Portugal OR Moldova OR Romania OR Russia OR San Marino OR Serbia OR Slovakia OR Slovenia OR Spain OR Sweden OR Switzerland OR Tajikistan OR Turkey OR Turkmenistan OR Ukraine OR United Kingdom OR Uzbekistan OR Europe OR "Albania" OR "Andorra" OR "Armenia" OR "Austria" OR "Azerbaijan" OR "Republic of Belarus" OR "Belgium" OR "Bosnia AND Herzegovina" OR "Bulgaria" OR "Croatia" OR "Cyprus" OR "Czech Republic" OR "Denmark" OR "Estonia" OR "Finland" OR "France" OR "Georgia" OR "Germany" OR "Greece" OR "Hungary" OR "Iceland" OR "Ireland" OR "Israel" OR "Italy" OR "Kazakhstan" OR "Kyrgyzstan" OR "Latvia" OR "Lithuania" OR "Luxembourg" OR "Malta" OR "Monaco" OR "Montenegro" OR "Netherlands" OR "Republic of North Macedonia" OR "Norway" OR "Poland" OR "Portugal" OR "Moldova" OR "Romania" OR "Russia" OR "San Marino" OR "Serbia" OR "Slovakia" OR "Slovenia" OR "Spain" OR "Sweden" OR "Switzerland" OR "Tajikistan" OR "Turkey" OR "Turkmenistan" OR "Ukraine" OR "United Kingdom" OR "Uzbekistan" OR "Europe")</w:t>
      </w:r>
    </w:p>
    <w:p w14:paraId="22AFB7D3" w14:textId="77777777" w:rsidR="005E1386" w:rsidRDefault="005E1386" w:rsidP="005E1386">
      <w:pPr>
        <w:rPr>
          <w:lang w:val="en-US"/>
        </w:rPr>
      </w:pPr>
    </w:p>
    <w:p w14:paraId="4A2BCF3A" w14:textId="77777777" w:rsidR="005E1386" w:rsidRDefault="005E1386" w:rsidP="005E1386">
      <w:pPr>
        <w:pStyle w:val="berschrift21"/>
        <w:rPr>
          <w:lang w:val="en-US"/>
        </w:rPr>
      </w:pPr>
      <w:r>
        <w:rPr>
          <w:lang w:val="en-US"/>
        </w:rPr>
        <w:lastRenderedPageBreak/>
        <w:t>Appendix 3: Categories for data extraction</w:t>
      </w:r>
    </w:p>
    <w:p w14:paraId="0DB9B90B" w14:textId="77777777" w:rsidR="005E1386" w:rsidRDefault="005E1386" w:rsidP="005E1386">
      <w:pPr>
        <w:rPr>
          <w:b/>
          <w:color w:val="000000" w:themeColor="text1"/>
          <w:sz w:val="22"/>
          <w:szCs w:val="22"/>
          <w:lang w:val="en-US"/>
        </w:rPr>
      </w:pPr>
    </w:p>
    <w:tbl>
      <w:tblPr>
        <w:tblW w:w="9206" w:type="dxa"/>
        <w:tblCellMar>
          <w:left w:w="0" w:type="dxa"/>
          <w:right w:w="0" w:type="dxa"/>
        </w:tblCellMar>
        <w:tblLook w:val="04A0" w:firstRow="1" w:lastRow="0" w:firstColumn="1" w:lastColumn="0" w:noHBand="0" w:noVBand="1"/>
      </w:tblPr>
      <w:tblGrid>
        <w:gridCol w:w="1552"/>
        <w:gridCol w:w="7654"/>
      </w:tblGrid>
      <w:tr w:rsidR="005E1386" w:rsidRPr="00D71884" w14:paraId="53D69BF8" w14:textId="77777777" w:rsidTr="0042136E">
        <w:trPr>
          <w:trHeight w:val="269"/>
        </w:trPr>
        <w:tc>
          <w:tcPr>
            <w:tcW w:w="1552" w:type="dxa"/>
            <w:vMerge w:val="restart"/>
            <w:tcBorders>
              <w:top w:val="single" w:sz="6" w:space="0" w:color="000000"/>
              <w:left w:val="single" w:sz="6" w:space="0" w:color="000000"/>
              <w:right w:val="single" w:sz="4" w:space="0" w:color="auto"/>
            </w:tcBorders>
            <w:vAlign w:val="center"/>
            <w:hideMark/>
          </w:tcPr>
          <w:p w14:paraId="28FC8DB9" w14:textId="77777777" w:rsidR="005E1386" w:rsidRPr="00D71884" w:rsidRDefault="005E1386" w:rsidP="0042136E">
            <w:pPr>
              <w:spacing w:line="259" w:lineRule="auto"/>
            </w:pPr>
            <w:r w:rsidRPr="00D71884">
              <w:rPr>
                <w:b/>
                <w:bCs/>
              </w:rPr>
              <w:t>Study basics</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BD5CAEB" w14:textId="77777777" w:rsidR="005E1386" w:rsidRPr="00D71884" w:rsidRDefault="005E1386" w:rsidP="0042136E">
            <w:pPr>
              <w:spacing w:line="259" w:lineRule="auto"/>
            </w:pPr>
            <w:r>
              <w:rPr>
                <w:b/>
                <w:bCs/>
              </w:rPr>
              <w:t>A</w:t>
            </w:r>
            <w:r w:rsidRPr="00D71884">
              <w:rPr>
                <w:b/>
                <w:bCs/>
              </w:rPr>
              <w:t>uthors</w:t>
            </w:r>
          </w:p>
        </w:tc>
      </w:tr>
      <w:tr w:rsidR="005E1386" w:rsidRPr="00D71884" w14:paraId="715283FF" w14:textId="77777777" w:rsidTr="0042136E">
        <w:trPr>
          <w:trHeight w:val="228"/>
        </w:trPr>
        <w:tc>
          <w:tcPr>
            <w:tcW w:w="1552" w:type="dxa"/>
            <w:vMerge/>
            <w:tcBorders>
              <w:left w:val="single" w:sz="6" w:space="0" w:color="000000"/>
              <w:right w:val="single" w:sz="4" w:space="0" w:color="auto"/>
            </w:tcBorders>
            <w:vAlign w:val="center"/>
            <w:hideMark/>
          </w:tcPr>
          <w:p w14:paraId="6B2A6A02"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531C4AA" w14:textId="77777777" w:rsidR="005E1386" w:rsidRPr="00D71884" w:rsidRDefault="005E1386" w:rsidP="0042136E">
            <w:pPr>
              <w:spacing w:line="259" w:lineRule="auto"/>
            </w:pPr>
            <w:r>
              <w:rPr>
                <w:b/>
                <w:bCs/>
              </w:rPr>
              <w:t>T</w:t>
            </w:r>
            <w:r w:rsidRPr="00D71884">
              <w:rPr>
                <w:b/>
                <w:bCs/>
              </w:rPr>
              <w:t>itle</w:t>
            </w:r>
          </w:p>
        </w:tc>
      </w:tr>
      <w:tr w:rsidR="005E1386" w:rsidRPr="00D71884" w14:paraId="578B1F99" w14:textId="77777777" w:rsidTr="0042136E">
        <w:trPr>
          <w:trHeight w:val="285"/>
        </w:trPr>
        <w:tc>
          <w:tcPr>
            <w:tcW w:w="1552" w:type="dxa"/>
            <w:vMerge/>
            <w:tcBorders>
              <w:left w:val="single" w:sz="6" w:space="0" w:color="000000"/>
              <w:right w:val="single" w:sz="4" w:space="0" w:color="auto"/>
            </w:tcBorders>
            <w:vAlign w:val="center"/>
            <w:hideMark/>
          </w:tcPr>
          <w:p w14:paraId="059ED077"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8B01E67" w14:textId="77777777" w:rsidR="005E1386" w:rsidRPr="00D71884" w:rsidRDefault="005E1386" w:rsidP="0042136E">
            <w:pPr>
              <w:spacing w:line="259" w:lineRule="auto"/>
            </w:pPr>
            <w:r>
              <w:rPr>
                <w:b/>
                <w:bCs/>
              </w:rPr>
              <w:t>P</w:t>
            </w:r>
            <w:r w:rsidRPr="00D71884">
              <w:rPr>
                <w:b/>
                <w:bCs/>
              </w:rPr>
              <w:t>ublication date</w:t>
            </w:r>
          </w:p>
        </w:tc>
      </w:tr>
      <w:tr w:rsidR="005E1386" w:rsidRPr="006F2708" w14:paraId="22E93D83" w14:textId="77777777" w:rsidTr="0042136E">
        <w:trPr>
          <w:trHeight w:val="285"/>
        </w:trPr>
        <w:tc>
          <w:tcPr>
            <w:tcW w:w="1552" w:type="dxa"/>
            <w:vMerge/>
            <w:tcBorders>
              <w:left w:val="single" w:sz="6" w:space="0" w:color="000000"/>
              <w:right w:val="single" w:sz="4" w:space="0" w:color="auto"/>
            </w:tcBorders>
            <w:vAlign w:val="center"/>
            <w:hideMark/>
          </w:tcPr>
          <w:p w14:paraId="0F4803AE"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8C1EE8B" w14:textId="77777777" w:rsidR="005E1386" w:rsidRPr="004F13DA" w:rsidRDefault="005E1386" w:rsidP="0042136E">
            <w:pPr>
              <w:spacing w:line="259" w:lineRule="auto"/>
              <w:rPr>
                <w:lang w:val="en-GB"/>
              </w:rPr>
            </w:pPr>
            <w:r>
              <w:rPr>
                <w:b/>
                <w:bCs/>
                <w:lang w:val="en-GB"/>
              </w:rPr>
              <w:t>S</w:t>
            </w:r>
            <w:r w:rsidRPr="004F13DA">
              <w:rPr>
                <w:b/>
                <w:bCs/>
                <w:lang w:val="en-GB"/>
              </w:rPr>
              <w:t>tudy design as reported by authors</w:t>
            </w:r>
          </w:p>
        </w:tc>
      </w:tr>
      <w:tr w:rsidR="005E1386" w:rsidRPr="00D71884" w14:paraId="78296568"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68E99D75"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654A8DA8" w14:textId="77777777" w:rsidR="005E1386" w:rsidRPr="00D71884" w:rsidRDefault="005E1386" w:rsidP="0042136E">
            <w:pPr>
              <w:spacing w:line="259" w:lineRule="auto"/>
            </w:pPr>
            <w:r>
              <w:rPr>
                <w:b/>
                <w:bCs/>
              </w:rPr>
              <w:t>J</w:t>
            </w:r>
            <w:r w:rsidRPr="00D71884">
              <w:rPr>
                <w:b/>
                <w:bCs/>
              </w:rPr>
              <w:t>ournal</w:t>
            </w:r>
          </w:p>
        </w:tc>
      </w:tr>
      <w:tr w:rsidR="005E1386" w:rsidRPr="006F2708" w14:paraId="760A8869" w14:textId="77777777" w:rsidTr="0042136E">
        <w:trPr>
          <w:trHeight w:val="285"/>
        </w:trPr>
        <w:tc>
          <w:tcPr>
            <w:tcW w:w="1552" w:type="dxa"/>
            <w:vMerge w:val="restart"/>
            <w:tcBorders>
              <w:top w:val="single" w:sz="6" w:space="0" w:color="000000"/>
              <w:left w:val="single" w:sz="6" w:space="0" w:color="000000"/>
              <w:right w:val="single" w:sz="4" w:space="0" w:color="auto"/>
            </w:tcBorders>
            <w:vAlign w:val="center"/>
            <w:hideMark/>
          </w:tcPr>
          <w:p w14:paraId="67243EE4" w14:textId="77777777" w:rsidR="005E1386" w:rsidRPr="00D71884" w:rsidRDefault="005E1386" w:rsidP="0042136E">
            <w:pPr>
              <w:spacing w:line="259" w:lineRule="auto"/>
            </w:pPr>
            <w:r w:rsidRPr="00D71884">
              <w:rPr>
                <w:b/>
                <w:bCs/>
              </w:rPr>
              <w:t>Study characteristics</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48D9142" w14:textId="77777777" w:rsidR="005E1386" w:rsidRPr="004F13DA" w:rsidRDefault="005E1386" w:rsidP="0042136E">
            <w:pPr>
              <w:spacing w:line="259" w:lineRule="auto"/>
              <w:rPr>
                <w:lang w:val="en-GB"/>
              </w:rPr>
            </w:pPr>
            <w:r>
              <w:rPr>
                <w:b/>
                <w:bCs/>
                <w:lang w:val="en-GB"/>
              </w:rPr>
              <w:t>S</w:t>
            </w:r>
            <w:r w:rsidRPr="004F13DA">
              <w:rPr>
                <w:b/>
                <w:bCs/>
                <w:lang w:val="en-GB"/>
              </w:rPr>
              <w:t>tudy aim(s), research question or objectives</w:t>
            </w:r>
          </w:p>
        </w:tc>
      </w:tr>
      <w:tr w:rsidR="005E1386" w:rsidRPr="00D71884" w14:paraId="11670D6E" w14:textId="77777777" w:rsidTr="0042136E">
        <w:trPr>
          <w:trHeight w:val="285"/>
        </w:trPr>
        <w:tc>
          <w:tcPr>
            <w:tcW w:w="1552" w:type="dxa"/>
            <w:vMerge/>
            <w:tcBorders>
              <w:left w:val="single" w:sz="6" w:space="0" w:color="000000"/>
              <w:right w:val="single" w:sz="4" w:space="0" w:color="auto"/>
            </w:tcBorders>
            <w:shd w:val="clear" w:color="auto" w:fill="D8D8D8"/>
            <w:vAlign w:val="center"/>
            <w:hideMark/>
          </w:tcPr>
          <w:p w14:paraId="0D2012AB"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2278DA9A" w14:textId="77777777" w:rsidR="005E1386" w:rsidRPr="00D71884" w:rsidRDefault="005E1386" w:rsidP="0042136E">
            <w:pPr>
              <w:spacing w:line="259" w:lineRule="auto"/>
            </w:pPr>
            <w:r>
              <w:rPr>
                <w:b/>
                <w:bCs/>
              </w:rPr>
              <w:t>N</w:t>
            </w:r>
            <w:r w:rsidRPr="00D71884">
              <w:rPr>
                <w:b/>
                <w:bCs/>
              </w:rPr>
              <w:t>umber of studies included</w:t>
            </w:r>
          </w:p>
        </w:tc>
      </w:tr>
      <w:tr w:rsidR="005E1386" w:rsidRPr="006F2708" w14:paraId="34A820D9" w14:textId="77777777" w:rsidTr="0042136E">
        <w:trPr>
          <w:trHeight w:val="570"/>
        </w:trPr>
        <w:tc>
          <w:tcPr>
            <w:tcW w:w="1552" w:type="dxa"/>
            <w:vMerge/>
            <w:tcBorders>
              <w:left w:val="single" w:sz="6" w:space="0" w:color="000000"/>
              <w:right w:val="single" w:sz="4" w:space="0" w:color="auto"/>
            </w:tcBorders>
            <w:vAlign w:val="center"/>
            <w:hideMark/>
          </w:tcPr>
          <w:p w14:paraId="397AF360"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CD78F7A" w14:textId="77777777" w:rsidR="005E1386" w:rsidRPr="004F13DA" w:rsidRDefault="005E1386" w:rsidP="0042136E">
            <w:pPr>
              <w:spacing w:line="259" w:lineRule="auto"/>
              <w:rPr>
                <w:lang w:val="en-GB"/>
              </w:rPr>
            </w:pPr>
            <w:r>
              <w:rPr>
                <w:b/>
                <w:bCs/>
                <w:lang w:val="en-GB"/>
              </w:rPr>
              <w:t>T</w:t>
            </w:r>
            <w:r w:rsidRPr="004F13DA">
              <w:rPr>
                <w:b/>
                <w:bCs/>
                <w:lang w:val="en-GB"/>
              </w:rPr>
              <w:t>ime frame [in years] of the publication years of studies included</w:t>
            </w:r>
          </w:p>
        </w:tc>
      </w:tr>
      <w:tr w:rsidR="005E1386" w:rsidRPr="006F2708" w14:paraId="0D498D09" w14:textId="77777777" w:rsidTr="0042136E">
        <w:trPr>
          <w:trHeight w:val="285"/>
        </w:trPr>
        <w:tc>
          <w:tcPr>
            <w:tcW w:w="1552" w:type="dxa"/>
            <w:vMerge/>
            <w:tcBorders>
              <w:left w:val="single" w:sz="6" w:space="0" w:color="000000"/>
              <w:right w:val="single" w:sz="4" w:space="0" w:color="auto"/>
            </w:tcBorders>
            <w:shd w:val="clear" w:color="auto" w:fill="D8D8D8"/>
            <w:vAlign w:val="center"/>
            <w:hideMark/>
          </w:tcPr>
          <w:p w14:paraId="31010365"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0EEBF603" w14:textId="77777777" w:rsidR="005E1386" w:rsidRPr="004F13DA" w:rsidRDefault="005E1386" w:rsidP="0042136E">
            <w:pPr>
              <w:spacing w:line="259" w:lineRule="auto"/>
              <w:rPr>
                <w:lang w:val="en-GB"/>
              </w:rPr>
            </w:pPr>
            <w:r>
              <w:rPr>
                <w:b/>
                <w:bCs/>
                <w:lang w:val="en-GB"/>
              </w:rPr>
              <w:t>A</w:t>
            </w:r>
            <w:r w:rsidRPr="004F13DA">
              <w:rPr>
                <w:b/>
                <w:bCs/>
                <w:lang w:val="en-GB"/>
              </w:rPr>
              <w:t xml:space="preserve">ssessment of quality </w:t>
            </w:r>
            <w:r>
              <w:rPr>
                <w:b/>
                <w:bCs/>
                <w:lang w:val="en-GB"/>
              </w:rPr>
              <w:t xml:space="preserve">[y/n] </w:t>
            </w:r>
            <w:r w:rsidRPr="004F13DA">
              <w:rPr>
                <w:b/>
                <w:bCs/>
                <w:lang w:val="en-GB"/>
              </w:rPr>
              <w:t>and if yes, how?</w:t>
            </w:r>
          </w:p>
        </w:tc>
      </w:tr>
      <w:tr w:rsidR="005E1386" w:rsidRPr="006F2708" w14:paraId="0C608159" w14:textId="77777777" w:rsidTr="0042136E">
        <w:trPr>
          <w:trHeight w:val="570"/>
        </w:trPr>
        <w:tc>
          <w:tcPr>
            <w:tcW w:w="1552" w:type="dxa"/>
            <w:vMerge/>
            <w:tcBorders>
              <w:left w:val="single" w:sz="6" w:space="0" w:color="000000"/>
              <w:right w:val="single" w:sz="4" w:space="0" w:color="auto"/>
            </w:tcBorders>
            <w:vAlign w:val="center"/>
            <w:hideMark/>
          </w:tcPr>
          <w:p w14:paraId="59B451BC"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5B06D5D" w14:textId="77777777" w:rsidR="005E1386" w:rsidRPr="004F13DA" w:rsidRDefault="005E1386" w:rsidP="0042136E">
            <w:pPr>
              <w:spacing w:line="259" w:lineRule="auto"/>
              <w:rPr>
                <w:lang w:val="en-GB"/>
              </w:rPr>
            </w:pPr>
            <w:r w:rsidRPr="004F13DA">
              <w:rPr>
                <w:b/>
                <w:bCs/>
                <w:lang w:val="en-GB"/>
              </w:rPr>
              <w:t>Inclusion of a meta-analysis or any other synthesis</w:t>
            </w:r>
          </w:p>
        </w:tc>
      </w:tr>
      <w:tr w:rsidR="005E1386" w:rsidRPr="00D71884" w14:paraId="617B05C0" w14:textId="77777777" w:rsidTr="0042136E">
        <w:trPr>
          <w:trHeight w:val="285"/>
        </w:trPr>
        <w:tc>
          <w:tcPr>
            <w:tcW w:w="1552" w:type="dxa"/>
            <w:vMerge/>
            <w:tcBorders>
              <w:left w:val="single" w:sz="6" w:space="0" w:color="000000"/>
              <w:right w:val="single" w:sz="4" w:space="0" w:color="auto"/>
            </w:tcBorders>
            <w:shd w:val="clear" w:color="auto" w:fill="D8D8D8"/>
            <w:vAlign w:val="center"/>
            <w:hideMark/>
          </w:tcPr>
          <w:p w14:paraId="6D4EF0D9"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087A938C" w14:textId="77777777" w:rsidR="005E1386" w:rsidRPr="00D71884" w:rsidRDefault="005E1386" w:rsidP="0042136E">
            <w:pPr>
              <w:spacing w:line="259" w:lineRule="auto"/>
            </w:pPr>
            <w:r>
              <w:rPr>
                <w:b/>
                <w:bCs/>
              </w:rPr>
              <w:t>G</w:t>
            </w:r>
            <w:r w:rsidRPr="00D71884">
              <w:rPr>
                <w:b/>
                <w:bCs/>
              </w:rPr>
              <w:t>eneral policy recommendations</w:t>
            </w:r>
          </w:p>
        </w:tc>
      </w:tr>
      <w:tr w:rsidR="005E1386" w:rsidRPr="00D71884" w14:paraId="5620AC1A"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479870D0"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E2CC224" w14:textId="77777777" w:rsidR="005E1386" w:rsidRPr="00D71884" w:rsidRDefault="005E1386" w:rsidP="0042136E">
            <w:pPr>
              <w:spacing w:line="259" w:lineRule="auto"/>
            </w:pPr>
            <w:r>
              <w:rPr>
                <w:b/>
                <w:bCs/>
              </w:rPr>
              <w:t>C</w:t>
            </w:r>
            <w:r w:rsidRPr="00D71884">
              <w:rPr>
                <w:b/>
                <w:bCs/>
              </w:rPr>
              <w:t>omments</w:t>
            </w:r>
          </w:p>
        </w:tc>
      </w:tr>
      <w:tr w:rsidR="005E1386" w:rsidRPr="00D71884" w14:paraId="4EFFDD84" w14:textId="77777777" w:rsidTr="0042136E">
        <w:trPr>
          <w:trHeight w:val="285"/>
        </w:trPr>
        <w:tc>
          <w:tcPr>
            <w:tcW w:w="1552" w:type="dxa"/>
            <w:vMerge w:val="restart"/>
            <w:tcBorders>
              <w:top w:val="single" w:sz="6" w:space="0" w:color="000000"/>
              <w:left w:val="single" w:sz="6" w:space="0" w:color="000000"/>
              <w:right w:val="single" w:sz="4" w:space="0" w:color="auto"/>
            </w:tcBorders>
            <w:vAlign w:val="center"/>
            <w:hideMark/>
          </w:tcPr>
          <w:p w14:paraId="3E775728" w14:textId="77777777" w:rsidR="005E1386" w:rsidRPr="00D71884" w:rsidRDefault="005E1386" w:rsidP="0042136E">
            <w:pPr>
              <w:spacing w:line="259" w:lineRule="auto"/>
            </w:pPr>
            <w:r w:rsidRPr="00D71884">
              <w:rPr>
                <w:b/>
                <w:bCs/>
              </w:rPr>
              <w:t>Population and setting</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03578116" w14:textId="77777777" w:rsidR="005E1386" w:rsidRPr="00D71884" w:rsidRDefault="005E1386" w:rsidP="0042136E">
            <w:pPr>
              <w:spacing w:line="259" w:lineRule="auto"/>
            </w:pPr>
            <w:r>
              <w:rPr>
                <w:b/>
                <w:bCs/>
              </w:rPr>
              <w:t>G</w:t>
            </w:r>
            <w:r w:rsidRPr="00D71884">
              <w:rPr>
                <w:b/>
                <w:bCs/>
              </w:rPr>
              <w:t>eographic focus</w:t>
            </w:r>
          </w:p>
        </w:tc>
      </w:tr>
      <w:tr w:rsidR="005E1386" w:rsidRPr="00D71884" w14:paraId="4A7EACC8" w14:textId="77777777" w:rsidTr="0042136E">
        <w:trPr>
          <w:trHeight w:val="285"/>
        </w:trPr>
        <w:tc>
          <w:tcPr>
            <w:tcW w:w="1552" w:type="dxa"/>
            <w:vMerge/>
            <w:tcBorders>
              <w:left w:val="single" w:sz="6" w:space="0" w:color="000000"/>
              <w:right w:val="single" w:sz="4" w:space="0" w:color="auto"/>
            </w:tcBorders>
            <w:vAlign w:val="center"/>
            <w:hideMark/>
          </w:tcPr>
          <w:p w14:paraId="48E1F774"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FDF0990" w14:textId="77777777" w:rsidR="005E1386" w:rsidRPr="00D71884" w:rsidRDefault="005E1386" w:rsidP="0042136E">
            <w:pPr>
              <w:spacing w:line="259" w:lineRule="auto"/>
            </w:pPr>
            <w:r>
              <w:rPr>
                <w:b/>
                <w:bCs/>
              </w:rPr>
              <w:t>S</w:t>
            </w:r>
            <w:r w:rsidRPr="00D71884">
              <w:rPr>
                <w:b/>
                <w:bCs/>
              </w:rPr>
              <w:t>etting</w:t>
            </w:r>
          </w:p>
        </w:tc>
      </w:tr>
      <w:tr w:rsidR="005E1386" w:rsidRPr="00D71884" w14:paraId="2B6B9221" w14:textId="77777777" w:rsidTr="0042136E">
        <w:trPr>
          <w:trHeight w:val="285"/>
        </w:trPr>
        <w:tc>
          <w:tcPr>
            <w:tcW w:w="1552" w:type="dxa"/>
            <w:vMerge/>
            <w:tcBorders>
              <w:left w:val="single" w:sz="6" w:space="0" w:color="000000"/>
              <w:right w:val="single" w:sz="4" w:space="0" w:color="auto"/>
            </w:tcBorders>
            <w:vAlign w:val="center"/>
            <w:hideMark/>
          </w:tcPr>
          <w:p w14:paraId="78B75BD4"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2D4AD8CA" w14:textId="77777777" w:rsidR="005E1386" w:rsidRPr="00D71884" w:rsidRDefault="005E1386" w:rsidP="0042136E">
            <w:pPr>
              <w:spacing w:line="259" w:lineRule="auto"/>
            </w:pPr>
            <w:r>
              <w:rPr>
                <w:b/>
                <w:bCs/>
              </w:rPr>
              <w:t>P</w:t>
            </w:r>
            <w:r w:rsidRPr="00D71884">
              <w:rPr>
                <w:b/>
                <w:bCs/>
              </w:rPr>
              <w:t>opulation</w:t>
            </w:r>
          </w:p>
        </w:tc>
      </w:tr>
      <w:tr w:rsidR="005E1386" w:rsidRPr="00D71884" w14:paraId="2D2169ED" w14:textId="77777777" w:rsidTr="0042136E">
        <w:trPr>
          <w:trHeight w:val="285"/>
        </w:trPr>
        <w:tc>
          <w:tcPr>
            <w:tcW w:w="1552" w:type="dxa"/>
            <w:vMerge/>
            <w:tcBorders>
              <w:left w:val="single" w:sz="6" w:space="0" w:color="000000"/>
              <w:right w:val="single" w:sz="4" w:space="0" w:color="auto"/>
            </w:tcBorders>
            <w:vAlign w:val="center"/>
            <w:hideMark/>
          </w:tcPr>
          <w:p w14:paraId="58D1C02C"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01C63D11" w14:textId="77777777" w:rsidR="005E1386" w:rsidRPr="00D71884" w:rsidRDefault="005E1386" w:rsidP="0042136E">
            <w:pPr>
              <w:spacing w:line="259" w:lineRule="auto"/>
            </w:pPr>
            <w:r>
              <w:rPr>
                <w:b/>
                <w:bCs/>
              </w:rPr>
              <w:t>P</w:t>
            </w:r>
            <w:r w:rsidRPr="00D71884">
              <w:rPr>
                <w:b/>
                <w:bCs/>
              </w:rPr>
              <w:t>opulation size</w:t>
            </w:r>
          </w:p>
        </w:tc>
      </w:tr>
      <w:tr w:rsidR="005E1386" w:rsidRPr="00D71884" w14:paraId="22BF8AAF" w14:textId="77777777" w:rsidTr="0042136E">
        <w:trPr>
          <w:trHeight w:val="285"/>
        </w:trPr>
        <w:tc>
          <w:tcPr>
            <w:tcW w:w="1552" w:type="dxa"/>
            <w:vMerge/>
            <w:tcBorders>
              <w:left w:val="single" w:sz="6" w:space="0" w:color="000000"/>
              <w:right w:val="single" w:sz="4" w:space="0" w:color="auto"/>
            </w:tcBorders>
            <w:vAlign w:val="center"/>
            <w:hideMark/>
          </w:tcPr>
          <w:p w14:paraId="75E97E24"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9992224" w14:textId="77777777" w:rsidR="005E1386" w:rsidRPr="00D71884" w:rsidRDefault="005E1386" w:rsidP="0042136E">
            <w:pPr>
              <w:spacing w:line="259" w:lineRule="auto"/>
            </w:pPr>
            <w:r>
              <w:rPr>
                <w:b/>
                <w:bCs/>
              </w:rPr>
              <w:t>O</w:t>
            </w:r>
            <w:r w:rsidRPr="00D71884">
              <w:rPr>
                <w:b/>
                <w:bCs/>
              </w:rPr>
              <w:t>ther context</w:t>
            </w:r>
          </w:p>
        </w:tc>
      </w:tr>
      <w:tr w:rsidR="005E1386" w:rsidRPr="00D71884" w14:paraId="4E7049AA"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2938199E"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683B8528" w14:textId="77777777" w:rsidR="005E1386" w:rsidRPr="00D71884" w:rsidRDefault="005E1386" w:rsidP="0042136E">
            <w:pPr>
              <w:spacing w:line="259" w:lineRule="auto"/>
            </w:pPr>
            <w:r>
              <w:rPr>
                <w:b/>
                <w:bCs/>
              </w:rPr>
              <w:t>C</w:t>
            </w:r>
            <w:r w:rsidRPr="00D71884">
              <w:rPr>
                <w:b/>
                <w:bCs/>
              </w:rPr>
              <w:t>omments</w:t>
            </w:r>
          </w:p>
        </w:tc>
      </w:tr>
      <w:tr w:rsidR="005E1386" w:rsidRPr="006F2708" w14:paraId="197849DA" w14:textId="77777777" w:rsidTr="0042136E">
        <w:trPr>
          <w:trHeight w:val="285"/>
        </w:trPr>
        <w:tc>
          <w:tcPr>
            <w:tcW w:w="1552" w:type="dxa"/>
            <w:vMerge w:val="restart"/>
            <w:tcBorders>
              <w:top w:val="single" w:sz="6" w:space="0" w:color="000000"/>
              <w:left w:val="single" w:sz="6" w:space="0" w:color="000000"/>
              <w:right w:val="single" w:sz="4" w:space="0" w:color="auto"/>
            </w:tcBorders>
            <w:vAlign w:val="center"/>
            <w:hideMark/>
          </w:tcPr>
          <w:p w14:paraId="44C6DB72" w14:textId="77777777" w:rsidR="005E1386" w:rsidRPr="00D71884" w:rsidRDefault="005E1386" w:rsidP="0042136E">
            <w:pPr>
              <w:spacing w:line="259" w:lineRule="auto"/>
            </w:pPr>
            <w:r w:rsidRPr="00D71884">
              <w:rPr>
                <w:b/>
                <w:bCs/>
              </w:rPr>
              <w:t>Variables</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BDD7258" w14:textId="77777777" w:rsidR="005E1386" w:rsidRPr="004F13DA" w:rsidRDefault="005E1386" w:rsidP="0042136E">
            <w:pPr>
              <w:spacing w:line="259" w:lineRule="auto"/>
              <w:rPr>
                <w:lang w:val="en-GB"/>
              </w:rPr>
            </w:pPr>
            <w:r>
              <w:rPr>
                <w:b/>
                <w:bCs/>
                <w:lang w:val="en-GB"/>
              </w:rPr>
              <w:t>H</w:t>
            </w:r>
            <w:r w:rsidRPr="004F13DA">
              <w:rPr>
                <w:b/>
                <w:bCs/>
                <w:lang w:val="en-GB"/>
              </w:rPr>
              <w:t>ealth as mediator, outcome, exposure</w:t>
            </w:r>
            <w:r>
              <w:rPr>
                <w:b/>
                <w:bCs/>
                <w:lang w:val="en-GB"/>
              </w:rPr>
              <w:t>?</w:t>
            </w:r>
          </w:p>
        </w:tc>
      </w:tr>
      <w:tr w:rsidR="005E1386" w:rsidRPr="00D71884" w14:paraId="60AEC518" w14:textId="77777777" w:rsidTr="0042136E">
        <w:trPr>
          <w:trHeight w:val="285"/>
        </w:trPr>
        <w:tc>
          <w:tcPr>
            <w:tcW w:w="1552" w:type="dxa"/>
            <w:vMerge/>
            <w:tcBorders>
              <w:left w:val="single" w:sz="6" w:space="0" w:color="000000"/>
              <w:right w:val="single" w:sz="4" w:space="0" w:color="auto"/>
            </w:tcBorders>
            <w:vAlign w:val="center"/>
            <w:hideMark/>
          </w:tcPr>
          <w:p w14:paraId="36B5E64B"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B50AAA0" w14:textId="77777777" w:rsidR="005E1386" w:rsidRPr="00D71884" w:rsidRDefault="005E1386" w:rsidP="0042136E">
            <w:pPr>
              <w:spacing w:line="259" w:lineRule="auto"/>
            </w:pPr>
            <w:r>
              <w:rPr>
                <w:b/>
                <w:bCs/>
              </w:rPr>
              <w:t>O</w:t>
            </w:r>
            <w:r w:rsidRPr="00D71884">
              <w:rPr>
                <w:b/>
                <w:bCs/>
              </w:rPr>
              <w:t>perationali</w:t>
            </w:r>
            <w:r>
              <w:rPr>
                <w:b/>
                <w:bCs/>
              </w:rPr>
              <w:t>z</w:t>
            </w:r>
            <w:r w:rsidRPr="00D71884">
              <w:rPr>
                <w:b/>
                <w:bCs/>
              </w:rPr>
              <w:t>ation of health</w:t>
            </w:r>
          </w:p>
        </w:tc>
      </w:tr>
      <w:tr w:rsidR="005E1386" w:rsidRPr="006F2708" w14:paraId="67D530F6" w14:textId="77777777" w:rsidTr="0042136E">
        <w:trPr>
          <w:trHeight w:val="570"/>
        </w:trPr>
        <w:tc>
          <w:tcPr>
            <w:tcW w:w="1552" w:type="dxa"/>
            <w:vMerge/>
            <w:tcBorders>
              <w:left w:val="single" w:sz="6" w:space="0" w:color="000000"/>
              <w:right w:val="single" w:sz="4" w:space="0" w:color="auto"/>
            </w:tcBorders>
            <w:vAlign w:val="center"/>
            <w:hideMark/>
          </w:tcPr>
          <w:p w14:paraId="2BCC050F"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4CEAD409" w14:textId="77777777" w:rsidR="005E1386" w:rsidRPr="004F13DA" w:rsidRDefault="005E1386" w:rsidP="0042136E">
            <w:pPr>
              <w:spacing w:line="259" w:lineRule="auto"/>
              <w:rPr>
                <w:lang w:val="en-GB"/>
              </w:rPr>
            </w:pPr>
            <w:r>
              <w:rPr>
                <w:b/>
                <w:bCs/>
                <w:lang w:val="en-GB"/>
              </w:rPr>
              <w:t>I</w:t>
            </w:r>
            <w:r w:rsidRPr="004F13DA">
              <w:rPr>
                <w:b/>
                <w:bCs/>
                <w:lang w:val="en-GB"/>
              </w:rPr>
              <w:t>nequality/inequity as mediator, outcome, exposure</w:t>
            </w:r>
            <w:r>
              <w:rPr>
                <w:b/>
                <w:bCs/>
                <w:lang w:val="en-GB"/>
              </w:rPr>
              <w:t>?</w:t>
            </w:r>
          </w:p>
        </w:tc>
      </w:tr>
      <w:tr w:rsidR="005E1386" w:rsidRPr="00D71884" w14:paraId="1E077E99" w14:textId="77777777" w:rsidTr="0042136E">
        <w:trPr>
          <w:trHeight w:val="285"/>
        </w:trPr>
        <w:tc>
          <w:tcPr>
            <w:tcW w:w="1552" w:type="dxa"/>
            <w:vMerge/>
            <w:tcBorders>
              <w:left w:val="single" w:sz="6" w:space="0" w:color="000000"/>
              <w:right w:val="single" w:sz="4" w:space="0" w:color="auto"/>
            </w:tcBorders>
            <w:vAlign w:val="center"/>
            <w:hideMark/>
          </w:tcPr>
          <w:p w14:paraId="78C44972"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D4292D4" w14:textId="77777777" w:rsidR="005E1386" w:rsidRPr="00D71884" w:rsidRDefault="005E1386" w:rsidP="0042136E">
            <w:pPr>
              <w:spacing w:line="259" w:lineRule="auto"/>
            </w:pPr>
            <w:r>
              <w:rPr>
                <w:b/>
                <w:bCs/>
              </w:rPr>
              <w:t>O</w:t>
            </w:r>
            <w:r w:rsidRPr="00D71884">
              <w:rPr>
                <w:b/>
                <w:bCs/>
              </w:rPr>
              <w:t>perationali</w:t>
            </w:r>
            <w:r>
              <w:rPr>
                <w:b/>
                <w:bCs/>
              </w:rPr>
              <w:t>z</w:t>
            </w:r>
            <w:r w:rsidRPr="00D71884">
              <w:rPr>
                <w:b/>
                <w:bCs/>
              </w:rPr>
              <w:t>ation of inequality</w:t>
            </w:r>
            <w:r>
              <w:rPr>
                <w:b/>
                <w:bCs/>
              </w:rPr>
              <w:t>/</w:t>
            </w:r>
            <w:r w:rsidRPr="00D71884">
              <w:rPr>
                <w:b/>
                <w:bCs/>
              </w:rPr>
              <w:t>inequity</w:t>
            </w:r>
          </w:p>
        </w:tc>
      </w:tr>
      <w:tr w:rsidR="005E1386" w:rsidRPr="006F2708" w14:paraId="149EED85" w14:textId="77777777" w:rsidTr="0042136E">
        <w:trPr>
          <w:trHeight w:val="285"/>
        </w:trPr>
        <w:tc>
          <w:tcPr>
            <w:tcW w:w="1552" w:type="dxa"/>
            <w:vMerge/>
            <w:tcBorders>
              <w:left w:val="single" w:sz="6" w:space="0" w:color="000000"/>
              <w:right w:val="single" w:sz="4" w:space="0" w:color="auto"/>
            </w:tcBorders>
            <w:vAlign w:val="center"/>
            <w:hideMark/>
          </w:tcPr>
          <w:p w14:paraId="2090742C"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60C5857D" w14:textId="77777777" w:rsidR="005E1386" w:rsidRPr="004F13DA" w:rsidRDefault="005E1386" w:rsidP="0042136E">
            <w:pPr>
              <w:spacing w:line="259" w:lineRule="auto"/>
              <w:rPr>
                <w:lang w:val="en-GB"/>
              </w:rPr>
            </w:pPr>
            <w:r>
              <w:rPr>
                <w:b/>
                <w:bCs/>
                <w:lang w:val="en-GB"/>
              </w:rPr>
              <w:t>H</w:t>
            </w:r>
            <w:r w:rsidRPr="004F13DA">
              <w:rPr>
                <w:b/>
                <w:bCs/>
                <w:lang w:val="en-GB"/>
              </w:rPr>
              <w:t>eat as mediator, exposure, outcome</w:t>
            </w:r>
            <w:r>
              <w:rPr>
                <w:b/>
                <w:bCs/>
                <w:lang w:val="en-GB"/>
              </w:rPr>
              <w:t>?</w:t>
            </w:r>
          </w:p>
        </w:tc>
      </w:tr>
      <w:tr w:rsidR="005E1386" w:rsidRPr="00D71884" w14:paraId="67D41E84" w14:textId="77777777" w:rsidTr="0042136E">
        <w:trPr>
          <w:trHeight w:val="285"/>
        </w:trPr>
        <w:tc>
          <w:tcPr>
            <w:tcW w:w="1552" w:type="dxa"/>
            <w:vMerge/>
            <w:tcBorders>
              <w:left w:val="single" w:sz="6" w:space="0" w:color="000000"/>
              <w:right w:val="single" w:sz="4" w:space="0" w:color="auto"/>
            </w:tcBorders>
            <w:vAlign w:val="center"/>
            <w:hideMark/>
          </w:tcPr>
          <w:p w14:paraId="300ACA61"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2902B485" w14:textId="77777777" w:rsidR="005E1386" w:rsidRPr="00D71884" w:rsidRDefault="005E1386" w:rsidP="0042136E">
            <w:pPr>
              <w:spacing w:line="259" w:lineRule="auto"/>
            </w:pPr>
            <w:r>
              <w:rPr>
                <w:b/>
                <w:bCs/>
              </w:rPr>
              <w:t>O</w:t>
            </w:r>
            <w:r w:rsidRPr="00D71884">
              <w:rPr>
                <w:b/>
                <w:bCs/>
              </w:rPr>
              <w:t>perationali</w:t>
            </w:r>
            <w:r>
              <w:rPr>
                <w:b/>
                <w:bCs/>
              </w:rPr>
              <w:t>z</w:t>
            </w:r>
            <w:r w:rsidRPr="00D71884">
              <w:rPr>
                <w:b/>
                <w:bCs/>
              </w:rPr>
              <w:t>ation of heat</w:t>
            </w:r>
          </w:p>
        </w:tc>
      </w:tr>
      <w:tr w:rsidR="005E1386" w:rsidRPr="00D71884" w14:paraId="0C88537B"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4FA3A3BD"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3CD782E" w14:textId="77777777" w:rsidR="005E1386" w:rsidRPr="00D71884" w:rsidRDefault="005E1386" w:rsidP="0042136E">
            <w:pPr>
              <w:spacing w:line="259" w:lineRule="auto"/>
            </w:pPr>
            <w:r>
              <w:rPr>
                <w:b/>
                <w:bCs/>
              </w:rPr>
              <w:t>C</w:t>
            </w:r>
            <w:r w:rsidRPr="00D71884">
              <w:rPr>
                <w:b/>
                <w:bCs/>
              </w:rPr>
              <w:t>omments</w:t>
            </w:r>
          </w:p>
        </w:tc>
      </w:tr>
      <w:tr w:rsidR="005E1386" w:rsidRPr="00D71884" w14:paraId="03733C0B" w14:textId="77777777" w:rsidTr="0042136E">
        <w:trPr>
          <w:trHeight w:val="285"/>
        </w:trPr>
        <w:tc>
          <w:tcPr>
            <w:tcW w:w="1552" w:type="dxa"/>
            <w:vMerge w:val="restart"/>
            <w:tcBorders>
              <w:top w:val="single" w:sz="6" w:space="0" w:color="000000"/>
              <w:left w:val="single" w:sz="6" w:space="0" w:color="000000"/>
              <w:right w:val="single" w:sz="4" w:space="0" w:color="auto"/>
            </w:tcBorders>
            <w:vAlign w:val="center"/>
            <w:hideMark/>
          </w:tcPr>
          <w:p w14:paraId="64F75632" w14:textId="77777777" w:rsidR="005E1386" w:rsidRPr="00D71884" w:rsidRDefault="005E1386" w:rsidP="0042136E">
            <w:pPr>
              <w:spacing w:line="259" w:lineRule="auto"/>
            </w:pPr>
            <w:r w:rsidRPr="00D71884">
              <w:rPr>
                <w:b/>
                <w:bCs/>
              </w:rPr>
              <w:t>Results</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FB2A50F" w14:textId="77777777" w:rsidR="005E1386" w:rsidRPr="00D71884" w:rsidRDefault="005E1386" w:rsidP="0042136E">
            <w:pPr>
              <w:spacing w:line="259" w:lineRule="auto"/>
            </w:pPr>
            <w:r>
              <w:rPr>
                <w:b/>
                <w:bCs/>
              </w:rPr>
              <w:t>G</w:t>
            </w:r>
            <w:r w:rsidRPr="00D71884">
              <w:rPr>
                <w:b/>
                <w:bCs/>
              </w:rPr>
              <w:t>eneral results</w:t>
            </w:r>
          </w:p>
        </w:tc>
      </w:tr>
      <w:tr w:rsidR="005E1386" w:rsidRPr="00D71884" w14:paraId="36AAAFB9" w14:textId="77777777" w:rsidTr="0042136E">
        <w:trPr>
          <w:trHeight w:val="285"/>
        </w:trPr>
        <w:tc>
          <w:tcPr>
            <w:tcW w:w="1552" w:type="dxa"/>
            <w:vMerge/>
            <w:tcBorders>
              <w:left w:val="single" w:sz="6" w:space="0" w:color="000000"/>
              <w:right w:val="single" w:sz="4" w:space="0" w:color="auto"/>
            </w:tcBorders>
            <w:shd w:val="clear" w:color="auto" w:fill="D8D8D8"/>
            <w:vAlign w:val="center"/>
            <w:hideMark/>
          </w:tcPr>
          <w:p w14:paraId="76D334C1"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F9BCA40" w14:textId="77777777" w:rsidR="005E1386" w:rsidRPr="00D71884" w:rsidRDefault="005E1386" w:rsidP="0042136E">
            <w:pPr>
              <w:spacing w:line="259" w:lineRule="auto"/>
            </w:pPr>
            <w:r>
              <w:rPr>
                <w:b/>
                <w:bCs/>
              </w:rPr>
              <w:t>R</w:t>
            </w:r>
            <w:r w:rsidRPr="00D71884">
              <w:rPr>
                <w:b/>
                <w:bCs/>
              </w:rPr>
              <w:t>esults per subgroup</w:t>
            </w:r>
          </w:p>
        </w:tc>
      </w:tr>
      <w:tr w:rsidR="005E1386" w:rsidRPr="00D71884" w14:paraId="57AE7358"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4D242812"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F220889" w14:textId="77777777" w:rsidR="005E1386" w:rsidRPr="00D71884" w:rsidRDefault="005E1386" w:rsidP="0042136E">
            <w:pPr>
              <w:spacing w:line="259" w:lineRule="auto"/>
            </w:pPr>
            <w:r>
              <w:rPr>
                <w:b/>
                <w:bCs/>
              </w:rPr>
              <w:t>C</w:t>
            </w:r>
            <w:r w:rsidRPr="00D71884">
              <w:rPr>
                <w:b/>
                <w:bCs/>
              </w:rPr>
              <w:t>omments</w:t>
            </w:r>
          </w:p>
        </w:tc>
      </w:tr>
      <w:tr w:rsidR="005E1386" w:rsidRPr="00D71884" w14:paraId="5EB50C96" w14:textId="77777777" w:rsidTr="0042136E">
        <w:trPr>
          <w:trHeight w:val="855"/>
        </w:trPr>
        <w:tc>
          <w:tcPr>
            <w:tcW w:w="1552" w:type="dxa"/>
            <w:vMerge w:val="restart"/>
            <w:tcBorders>
              <w:top w:val="single" w:sz="6" w:space="0" w:color="000000"/>
              <w:left w:val="single" w:sz="6" w:space="0" w:color="000000"/>
              <w:right w:val="single" w:sz="4" w:space="0" w:color="auto"/>
            </w:tcBorders>
            <w:vAlign w:val="center"/>
            <w:hideMark/>
          </w:tcPr>
          <w:p w14:paraId="5A8BCF4F" w14:textId="77777777" w:rsidR="005E1386" w:rsidRPr="004F13DA" w:rsidRDefault="005E1386" w:rsidP="0042136E">
            <w:pPr>
              <w:spacing w:line="259" w:lineRule="auto"/>
              <w:rPr>
                <w:lang w:val="en-GB"/>
              </w:rPr>
            </w:pPr>
            <w:r w:rsidRPr="004F13DA">
              <w:rPr>
                <w:b/>
                <w:bCs/>
                <w:lang w:val="en-GB"/>
              </w:rPr>
              <w:t>Health inequalities: stratification by sub-population</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409CE975" w14:textId="77777777" w:rsidR="005E1386" w:rsidRPr="00D71884" w:rsidRDefault="005E1386" w:rsidP="0042136E">
            <w:pPr>
              <w:spacing w:line="259" w:lineRule="auto"/>
            </w:pPr>
            <w:r>
              <w:rPr>
                <w:b/>
                <w:bCs/>
              </w:rPr>
              <w:t>S</w:t>
            </w:r>
            <w:r w:rsidRPr="00D71884">
              <w:rPr>
                <w:b/>
                <w:bCs/>
              </w:rPr>
              <w:t>ex/gender</w:t>
            </w:r>
          </w:p>
        </w:tc>
      </w:tr>
      <w:tr w:rsidR="005E1386" w:rsidRPr="00D71884" w14:paraId="31D90E84" w14:textId="77777777" w:rsidTr="0042136E">
        <w:trPr>
          <w:trHeight w:val="285"/>
        </w:trPr>
        <w:tc>
          <w:tcPr>
            <w:tcW w:w="1552" w:type="dxa"/>
            <w:vMerge/>
            <w:tcBorders>
              <w:left w:val="single" w:sz="6" w:space="0" w:color="000000"/>
              <w:right w:val="single" w:sz="4" w:space="0" w:color="auto"/>
            </w:tcBorders>
            <w:vAlign w:val="center"/>
            <w:hideMark/>
          </w:tcPr>
          <w:p w14:paraId="62B0C396"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24C3D51" w14:textId="77777777" w:rsidR="005E1386" w:rsidRPr="00D71884" w:rsidRDefault="005E1386" w:rsidP="0042136E">
            <w:pPr>
              <w:spacing w:line="259" w:lineRule="auto"/>
            </w:pPr>
            <w:r>
              <w:rPr>
                <w:b/>
                <w:bCs/>
              </w:rPr>
              <w:t>A</w:t>
            </w:r>
            <w:r w:rsidRPr="00D71884">
              <w:rPr>
                <w:b/>
                <w:bCs/>
              </w:rPr>
              <w:t>ge</w:t>
            </w:r>
          </w:p>
        </w:tc>
      </w:tr>
      <w:tr w:rsidR="005E1386" w:rsidRPr="00D71884" w14:paraId="19DCCAA7" w14:textId="77777777" w:rsidTr="0042136E">
        <w:trPr>
          <w:trHeight w:val="285"/>
        </w:trPr>
        <w:tc>
          <w:tcPr>
            <w:tcW w:w="1552" w:type="dxa"/>
            <w:vMerge/>
            <w:tcBorders>
              <w:left w:val="single" w:sz="6" w:space="0" w:color="000000"/>
              <w:right w:val="single" w:sz="4" w:space="0" w:color="auto"/>
            </w:tcBorders>
            <w:vAlign w:val="center"/>
            <w:hideMark/>
          </w:tcPr>
          <w:p w14:paraId="6F0E995E"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E1EACED" w14:textId="77777777" w:rsidR="005E1386" w:rsidRPr="00D71884" w:rsidRDefault="005E1386" w:rsidP="0042136E">
            <w:pPr>
              <w:spacing w:line="259" w:lineRule="auto"/>
            </w:pPr>
            <w:r>
              <w:rPr>
                <w:b/>
                <w:bCs/>
              </w:rPr>
              <w:t>M</w:t>
            </w:r>
            <w:r w:rsidRPr="00D71884">
              <w:rPr>
                <w:b/>
                <w:bCs/>
              </w:rPr>
              <w:t>a</w:t>
            </w:r>
            <w:r>
              <w:rPr>
                <w:b/>
                <w:bCs/>
              </w:rPr>
              <w:t>rital</w:t>
            </w:r>
            <w:r w:rsidRPr="00D71884">
              <w:rPr>
                <w:b/>
                <w:bCs/>
              </w:rPr>
              <w:t xml:space="preserve"> status/social network</w:t>
            </w:r>
          </w:p>
        </w:tc>
      </w:tr>
      <w:tr w:rsidR="005E1386" w:rsidRPr="00D71884" w14:paraId="21C113ED" w14:textId="77777777" w:rsidTr="0042136E">
        <w:trPr>
          <w:trHeight w:val="285"/>
        </w:trPr>
        <w:tc>
          <w:tcPr>
            <w:tcW w:w="1552" w:type="dxa"/>
            <w:vMerge/>
            <w:tcBorders>
              <w:left w:val="single" w:sz="6" w:space="0" w:color="000000"/>
              <w:right w:val="single" w:sz="4" w:space="0" w:color="auto"/>
            </w:tcBorders>
            <w:vAlign w:val="center"/>
            <w:hideMark/>
          </w:tcPr>
          <w:p w14:paraId="4657383E"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B15789E" w14:textId="77777777" w:rsidR="005E1386" w:rsidRPr="00D71884" w:rsidRDefault="005E1386" w:rsidP="0042136E">
            <w:pPr>
              <w:spacing w:line="259" w:lineRule="auto"/>
            </w:pPr>
            <w:r>
              <w:rPr>
                <w:b/>
                <w:bCs/>
              </w:rPr>
              <w:t>E</w:t>
            </w:r>
            <w:r w:rsidRPr="00D71884">
              <w:rPr>
                <w:b/>
                <w:bCs/>
              </w:rPr>
              <w:t>thnicity</w:t>
            </w:r>
          </w:p>
        </w:tc>
      </w:tr>
      <w:tr w:rsidR="005E1386" w:rsidRPr="00D71884" w14:paraId="089E312D" w14:textId="77777777" w:rsidTr="0042136E">
        <w:trPr>
          <w:trHeight w:val="285"/>
        </w:trPr>
        <w:tc>
          <w:tcPr>
            <w:tcW w:w="1552" w:type="dxa"/>
            <w:vMerge/>
            <w:tcBorders>
              <w:left w:val="single" w:sz="6" w:space="0" w:color="000000"/>
              <w:right w:val="single" w:sz="4" w:space="0" w:color="auto"/>
            </w:tcBorders>
            <w:vAlign w:val="center"/>
            <w:hideMark/>
          </w:tcPr>
          <w:p w14:paraId="07262C5D"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E80A747" w14:textId="77777777" w:rsidR="005E1386" w:rsidRPr="00D71884" w:rsidRDefault="005E1386" w:rsidP="0042136E">
            <w:pPr>
              <w:spacing w:line="259" w:lineRule="auto"/>
            </w:pPr>
            <w:r>
              <w:rPr>
                <w:b/>
                <w:bCs/>
              </w:rPr>
              <w:t>E</w:t>
            </w:r>
            <w:r w:rsidRPr="00D71884">
              <w:rPr>
                <w:b/>
                <w:bCs/>
              </w:rPr>
              <w:t>ducation</w:t>
            </w:r>
          </w:p>
        </w:tc>
      </w:tr>
      <w:tr w:rsidR="005E1386" w:rsidRPr="00D71884" w14:paraId="1E844DE2" w14:textId="77777777" w:rsidTr="0042136E">
        <w:trPr>
          <w:trHeight w:val="285"/>
        </w:trPr>
        <w:tc>
          <w:tcPr>
            <w:tcW w:w="1552" w:type="dxa"/>
            <w:vMerge/>
            <w:tcBorders>
              <w:left w:val="single" w:sz="6" w:space="0" w:color="000000"/>
              <w:right w:val="single" w:sz="4" w:space="0" w:color="auto"/>
            </w:tcBorders>
            <w:vAlign w:val="center"/>
            <w:hideMark/>
          </w:tcPr>
          <w:p w14:paraId="37D151C8"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43B359A" w14:textId="77777777" w:rsidR="005E1386" w:rsidRPr="00D71884" w:rsidRDefault="005E1386" w:rsidP="0042136E">
            <w:pPr>
              <w:spacing w:line="259" w:lineRule="auto"/>
            </w:pPr>
            <w:r>
              <w:rPr>
                <w:b/>
                <w:bCs/>
              </w:rPr>
              <w:t>I</w:t>
            </w:r>
            <w:r w:rsidRPr="00D71884">
              <w:rPr>
                <w:b/>
                <w:bCs/>
              </w:rPr>
              <w:t>ncome</w:t>
            </w:r>
          </w:p>
        </w:tc>
      </w:tr>
      <w:tr w:rsidR="005E1386" w:rsidRPr="00D71884" w14:paraId="643D0574" w14:textId="77777777" w:rsidTr="0042136E">
        <w:trPr>
          <w:trHeight w:val="285"/>
        </w:trPr>
        <w:tc>
          <w:tcPr>
            <w:tcW w:w="1552" w:type="dxa"/>
            <w:vMerge/>
            <w:tcBorders>
              <w:left w:val="single" w:sz="6" w:space="0" w:color="000000"/>
              <w:right w:val="single" w:sz="4" w:space="0" w:color="auto"/>
            </w:tcBorders>
            <w:vAlign w:val="center"/>
            <w:hideMark/>
          </w:tcPr>
          <w:p w14:paraId="54AC912C"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B4A160E" w14:textId="77777777" w:rsidR="005E1386" w:rsidRPr="00D71884" w:rsidRDefault="005E1386" w:rsidP="0042136E">
            <w:pPr>
              <w:spacing w:line="259" w:lineRule="auto"/>
            </w:pPr>
            <w:r>
              <w:rPr>
                <w:b/>
                <w:bCs/>
              </w:rPr>
              <w:t>W</w:t>
            </w:r>
            <w:r w:rsidRPr="00D71884">
              <w:rPr>
                <w:b/>
                <w:bCs/>
              </w:rPr>
              <w:t>ork*</w:t>
            </w:r>
          </w:p>
        </w:tc>
      </w:tr>
      <w:tr w:rsidR="005E1386" w:rsidRPr="006F2708" w14:paraId="0CE259AE" w14:textId="77777777" w:rsidTr="0042136E">
        <w:trPr>
          <w:trHeight w:val="285"/>
        </w:trPr>
        <w:tc>
          <w:tcPr>
            <w:tcW w:w="1552" w:type="dxa"/>
            <w:vMerge/>
            <w:tcBorders>
              <w:left w:val="single" w:sz="6" w:space="0" w:color="000000"/>
              <w:right w:val="single" w:sz="4" w:space="0" w:color="auto"/>
            </w:tcBorders>
            <w:vAlign w:val="center"/>
            <w:hideMark/>
          </w:tcPr>
          <w:p w14:paraId="1407226A"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0BFE5DE" w14:textId="77777777" w:rsidR="005E1386" w:rsidRPr="001A50CB" w:rsidRDefault="005E1386" w:rsidP="0042136E">
            <w:pPr>
              <w:spacing w:line="259" w:lineRule="auto"/>
              <w:rPr>
                <w:lang w:val="en-GB"/>
              </w:rPr>
            </w:pPr>
            <w:r>
              <w:rPr>
                <w:b/>
                <w:bCs/>
                <w:lang w:val="en-GB"/>
              </w:rPr>
              <w:t>A</w:t>
            </w:r>
            <w:r w:rsidRPr="001A50CB">
              <w:rPr>
                <w:b/>
                <w:bCs/>
                <w:lang w:val="en-GB"/>
              </w:rPr>
              <w:t>rea of living / housing conditions</w:t>
            </w:r>
          </w:p>
        </w:tc>
      </w:tr>
      <w:tr w:rsidR="005E1386" w:rsidRPr="00D71884" w14:paraId="738A7681" w14:textId="77777777" w:rsidTr="0042136E">
        <w:trPr>
          <w:trHeight w:val="285"/>
        </w:trPr>
        <w:tc>
          <w:tcPr>
            <w:tcW w:w="1552" w:type="dxa"/>
            <w:vMerge/>
            <w:tcBorders>
              <w:left w:val="single" w:sz="6" w:space="0" w:color="000000"/>
              <w:right w:val="single" w:sz="4" w:space="0" w:color="auto"/>
            </w:tcBorders>
            <w:vAlign w:val="center"/>
            <w:hideMark/>
          </w:tcPr>
          <w:p w14:paraId="62972E91"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CE26005" w14:textId="77777777" w:rsidR="005E1386" w:rsidRPr="00D71884" w:rsidRDefault="005E1386" w:rsidP="0042136E">
            <w:pPr>
              <w:spacing w:line="259" w:lineRule="auto"/>
            </w:pPr>
            <w:r>
              <w:rPr>
                <w:b/>
                <w:bCs/>
              </w:rPr>
              <w:t>E</w:t>
            </w:r>
            <w:r w:rsidRPr="00D71884">
              <w:rPr>
                <w:b/>
                <w:bCs/>
              </w:rPr>
              <w:t>cological parameters</w:t>
            </w:r>
          </w:p>
        </w:tc>
      </w:tr>
      <w:tr w:rsidR="005E1386" w:rsidRPr="00D71884" w14:paraId="61DFB35D" w14:textId="77777777" w:rsidTr="0042136E">
        <w:trPr>
          <w:trHeight w:val="285"/>
        </w:trPr>
        <w:tc>
          <w:tcPr>
            <w:tcW w:w="1552" w:type="dxa"/>
            <w:vMerge/>
            <w:tcBorders>
              <w:left w:val="single" w:sz="6" w:space="0" w:color="000000"/>
              <w:right w:val="single" w:sz="4" w:space="0" w:color="auto"/>
            </w:tcBorders>
            <w:vAlign w:val="center"/>
            <w:hideMark/>
          </w:tcPr>
          <w:p w14:paraId="21F13923"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E29BA5F" w14:textId="77777777" w:rsidR="005E1386" w:rsidRPr="00D71884" w:rsidRDefault="005E1386" w:rsidP="0042136E">
            <w:pPr>
              <w:spacing w:line="259" w:lineRule="auto"/>
            </w:pPr>
            <w:r>
              <w:rPr>
                <w:b/>
                <w:bCs/>
              </w:rPr>
              <w:t>H</w:t>
            </w:r>
            <w:r w:rsidRPr="00D71884">
              <w:rPr>
                <w:b/>
                <w:bCs/>
              </w:rPr>
              <w:t>ealth status</w:t>
            </w:r>
          </w:p>
        </w:tc>
      </w:tr>
      <w:tr w:rsidR="005E1386" w:rsidRPr="00014F01" w14:paraId="5A11E32A" w14:textId="77777777" w:rsidTr="0042136E">
        <w:trPr>
          <w:trHeight w:val="285"/>
        </w:trPr>
        <w:tc>
          <w:tcPr>
            <w:tcW w:w="1552" w:type="dxa"/>
            <w:vMerge/>
            <w:tcBorders>
              <w:left w:val="single" w:sz="6" w:space="0" w:color="000000"/>
              <w:right w:val="single" w:sz="4" w:space="0" w:color="auto"/>
            </w:tcBorders>
            <w:vAlign w:val="center"/>
            <w:hideMark/>
          </w:tcPr>
          <w:p w14:paraId="5DF0E35B"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D4EFB76" w14:textId="77777777" w:rsidR="005E1386" w:rsidRPr="001A50CB" w:rsidRDefault="005E1386" w:rsidP="0042136E">
            <w:pPr>
              <w:spacing w:line="259" w:lineRule="auto"/>
            </w:pPr>
            <w:r w:rsidRPr="001A50CB">
              <w:rPr>
                <w:b/>
                <w:bCs/>
              </w:rPr>
              <w:t>SE</w:t>
            </w:r>
            <w:r>
              <w:rPr>
                <w:b/>
                <w:bCs/>
                <w:lang w:val="fr-FR"/>
              </w:rPr>
              <w:t>S</w:t>
            </w:r>
          </w:p>
        </w:tc>
      </w:tr>
      <w:tr w:rsidR="005E1386" w:rsidRPr="00D71884" w14:paraId="3D6659C8" w14:textId="77777777" w:rsidTr="0042136E">
        <w:trPr>
          <w:trHeight w:val="285"/>
        </w:trPr>
        <w:tc>
          <w:tcPr>
            <w:tcW w:w="1552" w:type="dxa"/>
            <w:vMerge/>
            <w:tcBorders>
              <w:left w:val="single" w:sz="6" w:space="0" w:color="000000"/>
              <w:right w:val="single" w:sz="4" w:space="0" w:color="auto"/>
            </w:tcBorders>
            <w:vAlign w:val="center"/>
            <w:hideMark/>
          </w:tcPr>
          <w:p w14:paraId="7B44A17D" w14:textId="77777777" w:rsidR="005E1386" w:rsidRPr="004F13DA" w:rsidRDefault="005E1386" w:rsidP="0042136E">
            <w:pPr>
              <w:spacing w:line="259" w:lineRule="auto"/>
              <w:rPr>
                <w:lang w:val="fr-FR"/>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12F43372" w14:textId="77777777" w:rsidR="005E1386" w:rsidRPr="00D71884" w:rsidRDefault="005E1386" w:rsidP="0042136E">
            <w:pPr>
              <w:spacing w:line="259" w:lineRule="auto"/>
            </w:pPr>
            <w:r>
              <w:rPr>
                <w:b/>
                <w:bCs/>
              </w:rPr>
              <w:t>O</w:t>
            </w:r>
            <w:r w:rsidRPr="00D71884">
              <w:rPr>
                <w:b/>
                <w:bCs/>
              </w:rPr>
              <w:t>ther</w:t>
            </w:r>
          </w:p>
        </w:tc>
      </w:tr>
      <w:tr w:rsidR="005E1386" w:rsidRPr="00D71884" w14:paraId="33DC45D2"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1A8F1E6E"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F8F3474" w14:textId="77777777" w:rsidR="005E1386" w:rsidRPr="00D71884" w:rsidRDefault="005E1386" w:rsidP="0042136E">
            <w:pPr>
              <w:spacing w:line="259" w:lineRule="auto"/>
            </w:pPr>
            <w:r>
              <w:rPr>
                <w:b/>
                <w:bCs/>
              </w:rPr>
              <w:t>C</w:t>
            </w:r>
            <w:r w:rsidRPr="00D71884">
              <w:rPr>
                <w:b/>
                <w:bCs/>
              </w:rPr>
              <w:t>omments</w:t>
            </w:r>
          </w:p>
        </w:tc>
      </w:tr>
      <w:tr w:rsidR="005E1386" w:rsidRPr="006F2708" w14:paraId="73E129E6" w14:textId="77777777" w:rsidTr="0042136E">
        <w:trPr>
          <w:trHeight w:val="285"/>
        </w:trPr>
        <w:tc>
          <w:tcPr>
            <w:tcW w:w="1552" w:type="dxa"/>
            <w:vMerge w:val="restart"/>
            <w:tcBorders>
              <w:top w:val="single" w:sz="6" w:space="0" w:color="000000"/>
              <w:left w:val="single" w:sz="6" w:space="0" w:color="000000"/>
              <w:right w:val="single" w:sz="4" w:space="0" w:color="auto"/>
            </w:tcBorders>
            <w:vAlign w:val="center"/>
            <w:hideMark/>
          </w:tcPr>
          <w:p w14:paraId="246F508C" w14:textId="77777777" w:rsidR="005E1386" w:rsidRPr="00D71884" w:rsidRDefault="005E1386" w:rsidP="0042136E">
            <w:pPr>
              <w:spacing w:line="259" w:lineRule="auto"/>
            </w:pPr>
            <w:r w:rsidRPr="00D71884">
              <w:rPr>
                <w:b/>
                <w:bCs/>
              </w:rPr>
              <w:t>Health equity concepts</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D71DABB" w14:textId="77777777" w:rsidR="005E1386" w:rsidRPr="001A50CB" w:rsidRDefault="005E1386" w:rsidP="0042136E">
            <w:pPr>
              <w:spacing w:line="259" w:lineRule="auto"/>
              <w:rPr>
                <w:lang w:val="en-GB"/>
              </w:rPr>
            </w:pPr>
            <w:r w:rsidRPr="001A50CB">
              <w:rPr>
                <w:b/>
                <w:bCs/>
                <w:lang w:val="en-GB"/>
              </w:rPr>
              <w:t xml:space="preserve">Reflexivity statement by authors </w:t>
            </w:r>
            <w:r>
              <w:rPr>
                <w:b/>
                <w:bCs/>
                <w:lang w:val="en-GB"/>
              </w:rPr>
              <w:t>[y/n]</w:t>
            </w:r>
          </w:p>
        </w:tc>
      </w:tr>
      <w:tr w:rsidR="005E1386" w:rsidRPr="006F2708" w14:paraId="03A425C3" w14:textId="77777777" w:rsidTr="0042136E">
        <w:trPr>
          <w:trHeight w:val="285"/>
        </w:trPr>
        <w:tc>
          <w:tcPr>
            <w:tcW w:w="1552" w:type="dxa"/>
            <w:vMerge/>
            <w:tcBorders>
              <w:left w:val="single" w:sz="6" w:space="0" w:color="000000"/>
              <w:right w:val="single" w:sz="4" w:space="0" w:color="auto"/>
            </w:tcBorders>
            <w:shd w:val="clear" w:color="auto" w:fill="D8D8D8"/>
            <w:vAlign w:val="center"/>
            <w:hideMark/>
          </w:tcPr>
          <w:p w14:paraId="201140F6"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0F5E021" w14:textId="77777777" w:rsidR="005E1386" w:rsidRPr="001A50CB" w:rsidRDefault="005E1386" w:rsidP="0042136E">
            <w:pPr>
              <w:spacing w:line="259" w:lineRule="auto"/>
              <w:rPr>
                <w:lang w:val="en-GB"/>
              </w:rPr>
            </w:pPr>
            <w:r w:rsidRPr="001A50CB">
              <w:rPr>
                <w:b/>
                <w:bCs/>
                <w:lang w:val="en-GB"/>
              </w:rPr>
              <w:t xml:space="preserve">Inequalities considered as inequities </w:t>
            </w:r>
            <w:r>
              <w:rPr>
                <w:b/>
                <w:bCs/>
                <w:lang w:val="en-GB"/>
              </w:rPr>
              <w:t>[y/n]</w:t>
            </w:r>
          </w:p>
        </w:tc>
      </w:tr>
      <w:tr w:rsidR="005E1386" w:rsidRPr="00D71884" w14:paraId="2F365651"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4B49602A" w14:textId="77777777" w:rsidR="005E1386" w:rsidRPr="004F13DA"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8FAF92F" w14:textId="77777777" w:rsidR="005E1386" w:rsidRPr="00D71884" w:rsidRDefault="005E1386" w:rsidP="0042136E">
            <w:pPr>
              <w:spacing w:line="259" w:lineRule="auto"/>
            </w:pPr>
            <w:r>
              <w:rPr>
                <w:b/>
                <w:bCs/>
              </w:rPr>
              <w:t>H</w:t>
            </w:r>
            <w:r w:rsidRPr="00D71884">
              <w:rPr>
                <w:b/>
                <w:bCs/>
              </w:rPr>
              <w:t>ow are inequalities discussed</w:t>
            </w:r>
            <w:r>
              <w:rPr>
                <w:b/>
                <w:bCs/>
              </w:rPr>
              <w:t>?</w:t>
            </w:r>
          </w:p>
        </w:tc>
      </w:tr>
      <w:tr w:rsidR="005E1386" w:rsidRPr="006F2708" w14:paraId="2E0AC370" w14:textId="77777777" w:rsidTr="0042136E">
        <w:trPr>
          <w:trHeight w:val="570"/>
        </w:trPr>
        <w:tc>
          <w:tcPr>
            <w:tcW w:w="1552" w:type="dxa"/>
            <w:vMerge w:val="restart"/>
            <w:tcBorders>
              <w:top w:val="single" w:sz="6" w:space="0" w:color="000000"/>
              <w:left w:val="single" w:sz="6" w:space="0" w:color="000000"/>
              <w:right w:val="single" w:sz="4" w:space="0" w:color="auto"/>
            </w:tcBorders>
            <w:vAlign w:val="center"/>
            <w:hideMark/>
          </w:tcPr>
          <w:p w14:paraId="529A3DE3" w14:textId="77777777" w:rsidR="005E1386" w:rsidRPr="00D71884" w:rsidRDefault="005E1386" w:rsidP="0042136E">
            <w:pPr>
              <w:spacing w:line="259" w:lineRule="auto"/>
            </w:pPr>
            <w:r w:rsidRPr="00D71884">
              <w:rPr>
                <w:b/>
                <w:bCs/>
              </w:rPr>
              <w:t>Data extraction reflection</w:t>
            </w: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02450CDA" w14:textId="77777777" w:rsidR="005E1386" w:rsidRPr="001A50CB" w:rsidRDefault="005E1386" w:rsidP="0042136E">
            <w:pPr>
              <w:spacing w:line="259" w:lineRule="auto"/>
              <w:rPr>
                <w:lang w:val="en-GB"/>
              </w:rPr>
            </w:pPr>
            <w:r>
              <w:rPr>
                <w:b/>
                <w:bCs/>
                <w:lang w:val="en-GB"/>
              </w:rPr>
              <w:t>M</w:t>
            </w:r>
            <w:r w:rsidRPr="001A50CB">
              <w:rPr>
                <w:b/>
                <w:bCs/>
                <w:lang w:val="en-GB"/>
              </w:rPr>
              <w:t>echanisms that create inequalities</w:t>
            </w:r>
            <w:r>
              <w:rPr>
                <w:b/>
                <w:bCs/>
                <w:lang w:val="en-GB"/>
              </w:rPr>
              <w:t>/inquities</w:t>
            </w:r>
            <w:r w:rsidRPr="001A50CB">
              <w:rPr>
                <w:b/>
                <w:bCs/>
                <w:lang w:val="en-GB"/>
              </w:rPr>
              <w:t xml:space="preserve"> as applied by the authors in methods and analysis</w:t>
            </w:r>
          </w:p>
        </w:tc>
      </w:tr>
      <w:tr w:rsidR="005E1386" w:rsidRPr="00D71884" w14:paraId="0F50610F" w14:textId="77777777" w:rsidTr="0042136E">
        <w:trPr>
          <w:trHeight w:val="285"/>
        </w:trPr>
        <w:tc>
          <w:tcPr>
            <w:tcW w:w="1552" w:type="dxa"/>
            <w:vMerge/>
            <w:tcBorders>
              <w:left w:val="single" w:sz="6" w:space="0" w:color="000000"/>
              <w:right w:val="single" w:sz="4" w:space="0" w:color="auto"/>
            </w:tcBorders>
            <w:vAlign w:val="center"/>
            <w:hideMark/>
          </w:tcPr>
          <w:p w14:paraId="6DF87B06"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70949621" w14:textId="77777777" w:rsidR="005E1386" w:rsidRPr="00D71884" w:rsidRDefault="005E1386" w:rsidP="0042136E">
            <w:pPr>
              <w:spacing w:line="259" w:lineRule="auto"/>
            </w:pPr>
            <w:r>
              <w:rPr>
                <w:b/>
                <w:bCs/>
              </w:rPr>
              <w:t>M</w:t>
            </w:r>
            <w:r w:rsidRPr="00D71884">
              <w:rPr>
                <w:b/>
                <w:bCs/>
              </w:rPr>
              <w:t>echanisms</w:t>
            </w:r>
          </w:p>
        </w:tc>
      </w:tr>
      <w:tr w:rsidR="005E1386" w:rsidRPr="006F2708" w14:paraId="12D7D57E" w14:textId="77777777" w:rsidTr="0042136E">
        <w:trPr>
          <w:trHeight w:val="570"/>
        </w:trPr>
        <w:tc>
          <w:tcPr>
            <w:tcW w:w="1552" w:type="dxa"/>
            <w:vMerge/>
            <w:tcBorders>
              <w:left w:val="single" w:sz="6" w:space="0" w:color="000000"/>
              <w:right w:val="single" w:sz="4" w:space="0" w:color="auto"/>
            </w:tcBorders>
            <w:vAlign w:val="center"/>
            <w:hideMark/>
          </w:tcPr>
          <w:p w14:paraId="19A833AD" w14:textId="77777777" w:rsidR="005E1386" w:rsidRPr="00D71884" w:rsidRDefault="005E1386" w:rsidP="0042136E">
            <w:pPr>
              <w:spacing w:line="259" w:lineRule="auto"/>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64D3224D" w14:textId="77777777" w:rsidR="005E1386" w:rsidRPr="001A50CB" w:rsidRDefault="005E1386" w:rsidP="0042136E">
            <w:pPr>
              <w:spacing w:line="259" w:lineRule="auto"/>
              <w:rPr>
                <w:lang w:val="en-GB"/>
              </w:rPr>
            </w:pPr>
            <w:r>
              <w:rPr>
                <w:b/>
                <w:bCs/>
                <w:lang w:val="en-GB"/>
              </w:rPr>
              <w:t>E</w:t>
            </w:r>
            <w:r w:rsidRPr="001A50CB">
              <w:rPr>
                <w:b/>
                <w:bCs/>
                <w:lang w:val="en-GB"/>
              </w:rPr>
              <w:t>xplicit use of intersectional lens</w:t>
            </w:r>
            <w:r>
              <w:rPr>
                <w:b/>
                <w:bCs/>
                <w:lang w:val="en-GB"/>
              </w:rPr>
              <w:t>/</w:t>
            </w:r>
            <w:r w:rsidRPr="001A50CB">
              <w:rPr>
                <w:b/>
                <w:bCs/>
                <w:lang w:val="en-GB"/>
              </w:rPr>
              <w:t>justice approach to research</w:t>
            </w:r>
            <w:r>
              <w:rPr>
                <w:b/>
                <w:bCs/>
                <w:lang w:val="en-GB"/>
              </w:rPr>
              <w:t xml:space="preserve"> [y/n]</w:t>
            </w:r>
          </w:p>
        </w:tc>
      </w:tr>
      <w:tr w:rsidR="005E1386" w:rsidRPr="006F2708" w14:paraId="055170D1" w14:textId="77777777" w:rsidTr="0042136E">
        <w:trPr>
          <w:trHeight w:val="570"/>
        </w:trPr>
        <w:tc>
          <w:tcPr>
            <w:tcW w:w="1552" w:type="dxa"/>
            <w:vMerge/>
            <w:tcBorders>
              <w:left w:val="single" w:sz="6" w:space="0" w:color="000000"/>
              <w:right w:val="single" w:sz="4" w:space="0" w:color="auto"/>
            </w:tcBorders>
            <w:vAlign w:val="center"/>
            <w:hideMark/>
          </w:tcPr>
          <w:p w14:paraId="7D25FD5D"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3575DAA3" w14:textId="77777777" w:rsidR="005E1386" w:rsidRPr="001A50CB" w:rsidRDefault="005E1386" w:rsidP="0042136E">
            <w:pPr>
              <w:spacing w:line="259" w:lineRule="auto"/>
              <w:rPr>
                <w:lang w:val="en-GB"/>
              </w:rPr>
            </w:pPr>
            <w:r>
              <w:rPr>
                <w:b/>
                <w:bCs/>
                <w:lang w:val="en-GB"/>
              </w:rPr>
              <w:t>W</w:t>
            </w:r>
            <w:r w:rsidRPr="001A50CB">
              <w:rPr>
                <w:b/>
                <w:bCs/>
                <w:lang w:val="en-GB"/>
              </w:rPr>
              <w:t>hich methods were used to operationalise intersectional lens</w:t>
            </w:r>
          </w:p>
        </w:tc>
      </w:tr>
      <w:tr w:rsidR="005E1386" w:rsidRPr="006F2708" w14:paraId="1B171292" w14:textId="77777777" w:rsidTr="0042136E">
        <w:trPr>
          <w:trHeight w:val="570"/>
        </w:trPr>
        <w:tc>
          <w:tcPr>
            <w:tcW w:w="1552" w:type="dxa"/>
            <w:vMerge/>
            <w:tcBorders>
              <w:left w:val="single" w:sz="6" w:space="0" w:color="000000"/>
              <w:right w:val="single" w:sz="4" w:space="0" w:color="auto"/>
            </w:tcBorders>
            <w:vAlign w:val="center"/>
            <w:hideMark/>
          </w:tcPr>
          <w:p w14:paraId="2061ADFC"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E5C6EE4" w14:textId="77777777" w:rsidR="005E1386" w:rsidRPr="001A50CB" w:rsidRDefault="005E1386" w:rsidP="0042136E">
            <w:pPr>
              <w:spacing w:line="259" w:lineRule="auto"/>
              <w:rPr>
                <w:lang w:val="en-GB"/>
              </w:rPr>
            </w:pPr>
            <w:r>
              <w:rPr>
                <w:b/>
                <w:bCs/>
                <w:lang w:val="en-GB"/>
              </w:rPr>
              <w:t>S</w:t>
            </w:r>
            <w:r w:rsidRPr="001A50CB">
              <w:rPr>
                <w:b/>
                <w:bCs/>
                <w:lang w:val="en-GB"/>
              </w:rPr>
              <w:t xml:space="preserve">olutions/approaches to address </w:t>
            </w:r>
            <w:r>
              <w:rPr>
                <w:b/>
                <w:bCs/>
                <w:lang w:val="en-GB"/>
              </w:rPr>
              <w:t>i</w:t>
            </w:r>
            <w:r w:rsidRPr="001A50CB">
              <w:rPr>
                <w:b/>
                <w:bCs/>
                <w:lang w:val="en-GB"/>
              </w:rPr>
              <w:t>nequit</w:t>
            </w:r>
            <w:r>
              <w:rPr>
                <w:b/>
                <w:bCs/>
                <w:lang w:val="en-GB"/>
              </w:rPr>
              <w:t>ies</w:t>
            </w:r>
            <w:r w:rsidRPr="001A50CB">
              <w:rPr>
                <w:b/>
                <w:bCs/>
                <w:lang w:val="en-GB"/>
              </w:rPr>
              <w:t>/</w:t>
            </w:r>
            <w:r>
              <w:rPr>
                <w:b/>
                <w:bCs/>
                <w:lang w:val="en-GB"/>
              </w:rPr>
              <w:t>i</w:t>
            </w:r>
            <w:r w:rsidRPr="001A50CB">
              <w:rPr>
                <w:b/>
                <w:bCs/>
                <w:lang w:val="en-GB"/>
              </w:rPr>
              <w:t>nequalit</w:t>
            </w:r>
            <w:r>
              <w:rPr>
                <w:b/>
                <w:bCs/>
                <w:lang w:val="en-GB"/>
              </w:rPr>
              <w:t>ies</w:t>
            </w:r>
            <w:r w:rsidRPr="001A50CB">
              <w:rPr>
                <w:b/>
                <w:bCs/>
                <w:lang w:val="en-GB"/>
              </w:rPr>
              <w:t xml:space="preserve"> + relevant actor mentioned</w:t>
            </w:r>
          </w:p>
        </w:tc>
      </w:tr>
      <w:tr w:rsidR="005E1386" w:rsidRPr="00D71884" w14:paraId="0C7EA9A0" w14:textId="77777777" w:rsidTr="0042136E">
        <w:trPr>
          <w:trHeight w:val="285"/>
        </w:trPr>
        <w:tc>
          <w:tcPr>
            <w:tcW w:w="1552" w:type="dxa"/>
            <w:vMerge/>
            <w:tcBorders>
              <w:left w:val="single" w:sz="6" w:space="0" w:color="000000"/>
              <w:bottom w:val="single" w:sz="6" w:space="0" w:color="000000"/>
              <w:right w:val="single" w:sz="4" w:space="0" w:color="auto"/>
            </w:tcBorders>
            <w:vAlign w:val="center"/>
            <w:hideMark/>
          </w:tcPr>
          <w:p w14:paraId="5F303A89" w14:textId="77777777" w:rsidR="005E1386" w:rsidRPr="001A50CB" w:rsidRDefault="005E1386" w:rsidP="0042136E">
            <w:pPr>
              <w:spacing w:line="259" w:lineRule="auto"/>
              <w:rPr>
                <w:lang w:val="en-GB"/>
              </w:rPr>
            </w:pPr>
          </w:p>
        </w:tc>
        <w:tc>
          <w:tcPr>
            <w:tcW w:w="7654" w:type="dxa"/>
            <w:tcBorders>
              <w:top w:val="single" w:sz="6" w:space="0" w:color="000000"/>
              <w:left w:val="single" w:sz="4" w:space="0" w:color="auto"/>
              <w:bottom w:val="single" w:sz="6" w:space="0" w:color="000000"/>
              <w:right w:val="single" w:sz="6" w:space="0" w:color="000000"/>
            </w:tcBorders>
            <w:vAlign w:val="center"/>
            <w:hideMark/>
          </w:tcPr>
          <w:p w14:paraId="58428F42" w14:textId="77777777" w:rsidR="005E1386" w:rsidRPr="00D71884" w:rsidRDefault="005E1386" w:rsidP="0042136E">
            <w:pPr>
              <w:spacing w:line="259" w:lineRule="auto"/>
            </w:pPr>
            <w:r>
              <w:rPr>
                <w:b/>
                <w:bCs/>
              </w:rPr>
              <w:t>C</w:t>
            </w:r>
            <w:r w:rsidRPr="00D71884">
              <w:rPr>
                <w:b/>
                <w:bCs/>
              </w:rPr>
              <w:t>omments</w:t>
            </w:r>
          </w:p>
        </w:tc>
      </w:tr>
    </w:tbl>
    <w:p w14:paraId="723E2003" w14:textId="77777777" w:rsidR="005E1386" w:rsidRDefault="005E1386" w:rsidP="005E1386">
      <w:pPr>
        <w:pStyle w:val="berschrift21"/>
        <w:rPr>
          <w:lang w:val="en-US"/>
        </w:rPr>
        <w:sectPr w:rsidR="005E1386" w:rsidSect="005E1386">
          <w:footerReference w:type="default" r:id="rId5"/>
          <w:pgSz w:w="11907" w:h="16839"/>
          <w:pgMar w:top="1911" w:right="1514" w:bottom="2676" w:left="1514" w:header="737" w:footer="567" w:gutter="0"/>
          <w:pgNumType w:start="1"/>
          <w:cols w:space="720"/>
          <w:docGrid w:linePitch="360"/>
        </w:sectPr>
      </w:pPr>
      <w:bookmarkStart w:id="0" w:name="_Hlk213578435"/>
    </w:p>
    <w:p w14:paraId="545EF878" w14:textId="77777777" w:rsidR="005E1386" w:rsidRDefault="005E1386" w:rsidP="005E1386">
      <w:pPr>
        <w:pStyle w:val="berschrift21"/>
        <w:rPr>
          <w:lang w:val="en-US"/>
        </w:rPr>
      </w:pPr>
      <w:r>
        <w:rPr>
          <w:lang w:val="en-US"/>
        </w:rPr>
        <w:lastRenderedPageBreak/>
        <w:t>Appendix 4: Overview of characteristics of reviews</w:t>
      </w:r>
    </w:p>
    <w:tbl>
      <w:tblPr>
        <w:tblW w:w="12242" w:type="dxa"/>
        <w:tblLook w:val="04A0" w:firstRow="1" w:lastRow="0" w:firstColumn="1" w:lastColumn="0" w:noHBand="0" w:noVBand="1"/>
      </w:tblPr>
      <w:tblGrid>
        <w:gridCol w:w="1824"/>
        <w:gridCol w:w="216"/>
        <w:gridCol w:w="216"/>
        <w:gridCol w:w="1767"/>
        <w:gridCol w:w="2548"/>
        <w:gridCol w:w="982"/>
        <w:gridCol w:w="1466"/>
        <w:gridCol w:w="1568"/>
        <w:gridCol w:w="1655"/>
      </w:tblGrid>
      <w:tr w:rsidR="005E1386" w:rsidRPr="003C62A7" w14:paraId="3B280C3F" w14:textId="77777777" w:rsidTr="0042136E">
        <w:trPr>
          <w:trHeight w:val="290"/>
        </w:trPr>
        <w:tc>
          <w:tcPr>
            <w:tcW w:w="4023" w:type="dxa"/>
            <w:gridSpan w:val="4"/>
            <w:tcBorders>
              <w:top w:val="single" w:sz="4" w:space="0" w:color="auto"/>
              <w:left w:val="single" w:sz="4" w:space="0" w:color="auto"/>
              <w:bottom w:val="single" w:sz="4" w:space="0" w:color="auto"/>
              <w:right w:val="single" w:sz="4" w:space="0" w:color="auto"/>
            </w:tcBorders>
            <w:noWrap/>
            <w:hideMark/>
          </w:tcPr>
          <w:p w14:paraId="5A6EE44A" w14:textId="77777777" w:rsidR="005E1386" w:rsidRPr="004F13DA" w:rsidRDefault="005E1386" w:rsidP="0042136E">
            <w:pPr>
              <w:spacing w:before="0" w:after="0" w:line="240" w:lineRule="auto"/>
              <w:rPr>
                <w:rFonts w:ascii="Calibri" w:eastAsia="Times New Roman" w:hAnsi="Calibri" w:cs="Calibri"/>
                <w:color w:val="auto"/>
                <w:sz w:val="22"/>
                <w:szCs w:val="22"/>
                <w:lang w:val="en-GB" w:eastAsia="en-GB"/>
              </w:rPr>
            </w:pPr>
            <w:r w:rsidRPr="004F13DA">
              <w:rPr>
                <w:rFonts w:ascii="Calibri" w:eastAsia="Times New Roman" w:hAnsi="Calibri" w:cs="Calibri"/>
                <w:color w:val="auto"/>
                <w:sz w:val="22"/>
                <w:szCs w:val="22"/>
                <w:lang w:val="en-GB" w:eastAsia="en-GB"/>
              </w:rPr>
              <w:t> </w:t>
            </w:r>
          </w:p>
          <w:p w14:paraId="6B38DCC6" w14:textId="77777777" w:rsidR="005E1386" w:rsidRPr="002D01BB"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2D01BB">
              <w:rPr>
                <w:rFonts w:ascii="Calibri" w:eastAsia="Times New Roman" w:hAnsi="Calibri" w:cs="Calibri"/>
                <w:b/>
                <w:bCs/>
                <w:color w:val="auto"/>
                <w:sz w:val="22"/>
                <w:szCs w:val="22"/>
                <w:lang w:val="en-GB" w:eastAsia="en-GB"/>
              </w:rPr>
              <w:t>Study basics</w:t>
            </w:r>
          </w:p>
        </w:tc>
        <w:tc>
          <w:tcPr>
            <w:tcW w:w="4996" w:type="dxa"/>
            <w:gridSpan w:val="3"/>
            <w:tcBorders>
              <w:top w:val="single" w:sz="4" w:space="0" w:color="auto"/>
              <w:left w:val="single" w:sz="4" w:space="0" w:color="auto"/>
              <w:bottom w:val="single" w:sz="4" w:space="0" w:color="auto"/>
              <w:right w:val="single" w:sz="4" w:space="0" w:color="000000"/>
            </w:tcBorders>
            <w:shd w:val="clear" w:color="E2EFDA" w:fill="E2EFDA"/>
            <w:noWrap/>
            <w:hideMark/>
          </w:tcPr>
          <w:p w14:paraId="7F7A755D" w14:textId="77777777" w:rsidR="005E1386" w:rsidRPr="003C62A7"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3C62A7">
              <w:rPr>
                <w:rFonts w:ascii="Calibri" w:eastAsia="Times New Roman" w:hAnsi="Calibri" w:cs="Calibri"/>
                <w:b/>
                <w:bCs/>
                <w:color w:val="auto"/>
                <w:sz w:val="22"/>
                <w:szCs w:val="22"/>
                <w:lang w:val="en-GB" w:eastAsia="en-GB"/>
              </w:rPr>
              <w:t>Study characteristics</w:t>
            </w:r>
          </w:p>
        </w:tc>
        <w:tc>
          <w:tcPr>
            <w:tcW w:w="3223" w:type="dxa"/>
            <w:gridSpan w:val="2"/>
            <w:tcBorders>
              <w:top w:val="single" w:sz="4" w:space="0" w:color="auto"/>
              <w:left w:val="nil"/>
              <w:bottom w:val="single" w:sz="4" w:space="0" w:color="auto"/>
              <w:right w:val="single" w:sz="4" w:space="0" w:color="000000"/>
            </w:tcBorders>
            <w:shd w:val="clear" w:color="FFF2CC" w:fill="FFF2CC"/>
            <w:noWrap/>
            <w:hideMark/>
          </w:tcPr>
          <w:p w14:paraId="17F55E1C" w14:textId="77777777" w:rsidR="005E1386" w:rsidRPr="003C62A7"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3C62A7">
              <w:rPr>
                <w:rFonts w:ascii="Calibri" w:eastAsia="Times New Roman" w:hAnsi="Calibri" w:cs="Calibri"/>
                <w:b/>
                <w:bCs/>
                <w:color w:val="auto"/>
                <w:sz w:val="22"/>
                <w:szCs w:val="22"/>
                <w:lang w:val="en-GB" w:eastAsia="en-GB"/>
              </w:rPr>
              <w:t>Population and Setting</w:t>
            </w:r>
          </w:p>
        </w:tc>
      </w:tr>
      <w:tr w:rsidR="005E1386" w:rsidRPr="003C62A7" w14:paraId="2916F889" w14:textId="77777777" w:rsidTr="0042136E">
        <w:trPr>
          <w:trHeight w:val="1160"/>
        </w:trPr>
        <w:tc>
          <w:tcPr>
            <w:tcW w:w="1824" w:type="dxa"/>
            <w:tcBorders>
              <w:top w:val="nil"/>
              <w:left w:val="single" w:sz="4" w:space="0" w:color="auto"/>
              <w:bottom w:val="nil"/>
              <w:right w:val="single" w:sz="4" w:space="0" w:color="auto"/>
            </w:tcBorders>
            <w:noWrap/>
            <w:hideMark/>
          </w:tcPr>
          <w:p w14:paraId="0A6AAFF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p>
          <w:p w14:paraId="39EC8F5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First author and year</w:t>
            </w:r>
          </w:p>
        </w:tc>
        <w:tc>
          <w:tcPr>
            <w:tcW w:w="2199" w:type="dxa"/>
            <w:gridSpan w:val="3"/>
            <w:tcBorders>
              <w:top w:val="nil"/>
              <w:left w:val="nil"/>
              <w:bottom w:val="nil"/>
              <w:right w:val="single" w:sz="4" w:space="0" w:color="auto"/>
            </w:tcBorders>
            <w:shd w:val="clear" w:color="D9E1F2" w:fill="D9E1F2"/>
            <w:hideMark/>
          </w:tcPr>
          <w:p w14:paraId="4343A77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Title</w:t>
            </w:r>
          </w:p>
        </w:tc>
        <w:tc>
          <w:tcPr>
            <w:tcW w:w="2551" w:type="dxa"/>
            <w:tcBorders>
              <w:top w:val="nil"/>
              <w:left w:val="nil"/>
              <w:bottom w:val="nil"/>
              <w:right w:val="single" w:sz="4" w:space="0" w:color="auto"/>
            </w:tcBorders>
            <w:shd w:val="clear" w:color="E2EFDA" w:fill="E2EFDA"/>
            <w:hideMark/>
          </w:tcPr>
          <w:p w14:paraId="157C562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Study aim(s); Research question or objectives</w:t>
            </w:r>
          </w:p>
        </w:tc>
        <w:tc>
          <w:tcPr>
            <w:tcW w:w="981" w:type="dxa"/>
            <w:tcBorders>
              <w:top w:val="nil"/>
              <w:left w:val="nil"/>
              <w:bottom w:val="nil"/>
              <w:right w:val="single" w:sz="4" w:space="0" w:color="auto"/>
            </w:tcBorders>
            <w:shd w:val="clear" w:color="E2EFDA" w:fill="E2EFDA"/>
            <w:hideMark/>
          </w:tcPr>
          <w:p w14:paraId="5E02BCE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Number of studies included</w:t>
            </w:r>
          </w:p>
        </w:tc>
        <w:tc>
          <w:tcPr>
            <w:tcW w:w="1464" w:type="dxa"/>
            <w:tcBorders>
              <w:top w:val="nil"/>
              <w:left w:val="nil"/>
              <w:bottom w:val="nil"/>
              <w:right w:val="single" w:sz="4" w:space="0" w:color="auto"/>
            </w:tcBorders>
            <w:shd w:val="clear" w:color="E2EFDA" w:fill="E2EFDA"/>
            <w:hideMark/>
          </w:tcPr>
          <w:p w14:paraId="2A170CB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Assessment of quality and if yes how? (e.g. risk of bias tool)</w:t>
            </w:r>
          </w:p>
        </w:tc>
        <w:tc>
          <w:tcPr>
            <w:tcW w:w="1565" w:type="dxa"/>
            <w:tcBorders>
              <w:top w:val="nil"/>
              <w:left w:val="nil"/>
              <w:bottom w:val="nil"/>
              <w:right w:val="single" w:sz="4" w:space="0" w:color="auto"/>
            </w:tcBorders>
            <w:shd w:val="clear" w:color="FFF2CC" w:fill="FFF2CC"/>
            <w:hideMark/>
          </w:tcPr>
          <w:p w14:paraId="514EC36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Geographic focus (e.g. country/ countries)</w:t>
            </w:r>
          </w:p>
        </w:tc>
        <w:tc>
          <w:tcPr>
            <w:tcW w:w="1658" w:type="dxa"/>
            <w:tcBorders>
              <w:top w:val="nil"/>
              <w:left w:val="nil"/>
              <w:bottom w:val="nil"/>
              <w:right w:val="single" w:sz="4" w:space="0" w:color="auto"/>
            </w:tcBorders>
            <w:shd w:val="clear" w:color="FFF2CC" w:fill="FFF2CC"/>
            <w:hideMark/>
          </w:tcPr>
          <w:p w14:paraId="55AB563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Population(s) of interest</w:t>
            </w:r>
          </w:p>
        </w:tc>
      </w:tr>
      <w:tr w:rsidR="005E1386" w:rsidRPr="006F2708" w14:paraId="28BFFEE2" w14:textId="77777777" w:rsidTr="0042136E">
        <w:trPr>
          <w:trHeight w:val="330"/>
        </w:trPr>
        <w:tc>
          <w:tcPr>
            <w:tcW w:w="12242" w:type="dxa"/>
            <w:gridSpan w:val="9"/>
            <w:tcBorders>
              <w:top w:val="single" w:sz="4" w:space="0" w:color="000000"/>
              <w:left w:val="single" w:sz="4" w:space="0" w:color="auto"/>
              <w:bottom w:val="single" w:sz="4" w:space="0" w:color="000000"/>
              <w:right w:val="single" w:sz="4" w:space="0" w:color="000000"/>
            </w:tcBorders>
            <w:shd w:val="clear" w:color="E7E6E6" w:fill="E7E6E6"/>
            <w:noWrap/>
            <w:hideMark/>
          </w:tcPr>
          <w:p w14:paraId="71496BF8" w14:textId="77777777" w:rsidR="005E1386" w:rsidRPr="003C62A7" w:rsidRDefault="005E1386" w:rsidP="0042136E">
            <w:pPr>
              <w:spacing w:before="0" w:after="0" w:line="240" w:lineRule="auto"/>
              <w:jc w:val="center"/>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Systemati</w:t>
            </w:r>
            <w:r>
              <w:rPr>
                <w:rFonts w:ascii="Calibri" w:eastAsia="Times New Roman" w:hAnsi="Calibri" w:cs="Calibri"/>
                <w:color w:val="auto"/>
                <w:sz w:val="22"/>
                <w:szCs w:val="22"/>
                <w:lang w:val="en-GB" w:eastAsia="en-GB"/>
              </w:rPr>
              <w:t>c</w:t>
            </w:r>
            <w:r w:rsidRPr="003C62A7">
              <w:rPr>
                <w:rFonts w:ascii="Calibri" w:eastAsia="Times New Roman" w:hAnsi="Calibri" w:cs="Calibri"/>
                <w:color w:val="auto"/>
                <w:sz w:val="22"/>
                <w:szCs w:val="22"/>
                <w:lang w:val="en-GB" w:eastAsia="en-GB"/>
              </w:rPr>
              <w:t xml:space="preserve"> Review with meta</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analysis</w:t>
            </w:r>
          </w:p>
        </w:tc>
      </w:tr>
      <w:tr w:rsidR="005E1386" w:rsidRPr="003C62A7" w14:paraId="39ED4116" w14:textId="77777777" w:rsidTr="0042136E">
        <w:trPr>
          <w:trHeight w:val="1740"/>
        </w:trPr>
        <w:tc>
          <w:tcPr>
            <w:tcW w:w="1824" w:type="dxa"/>
            <w:tcBorders>
              <w:top w:val="nil"/>
              <w:left w:val="single" w:sz="4" w:space="0" w:color="auto"/>
              <w:bottom w:val="single" w:sz="4" w:space="0" w:color="000000"/>
              <w:right w:val="single" w:sz="4" w:space="0" w:color="000000"/>
            </w:tcBorders>
            <w:noWrap/>
            <w:hideMark/>
          </w:tcPr>
          <w:p w14:paraId="68A1EC4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Alentorn et al. (2023)</w:t>
            </w:r>
          </w:p>
        </w:tc>
        <w:tc>
          <w:tcPr>
            <w:tcW w:w="2199" w:type="dxa"/>
            <w:gridSpan w:val="3"/>
            <w:tcBorders>
              <w:top w:val="nil"/>
              <w:left w:val="nil"/>
              <w:bottom w:val="single" w:sz="4" w:space="0" w:color="000000"/>
              <w:right w:val="single" w:sz="4" w:space="0" w:color="000000"/>
            </w:tcBorders>
            <w:hideMark/>
          </w:tcPr>
          <w:p w14:paraId="26F176B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Spatial and ecological factors modulate the incidence of Anti-NMDAR Encephalitis</w:t>
            </w:r>
            <w:r>
              <w:rPr>
                <w:rFonts w:ascii="Calibri" w:eastAsia="Times New Roman" w:hAnsi="Calibri" w:cs="Calibri"/>
                <w:color w:val="auto"/>
                <w:sz w:val="22"/>
                <w:szCs w:val="22"/>
                <w:lang w:val="en-GB" w:eastAsia="en-GB"/>
              </w:rPr>
              <w:t xml:space="preserve"> - </w:t>
            </w:r>
            <w:r w:rsidRPr="003C62A7">
              <w:rPr>
                <w:rFonts w:ascii="Calibri" w:eastAsia="Times New Roman" w:hAnsi="Calibri" w:cs="Calibri"/>
                <w:color w:val="auto"/>
                <w:sz w:val="22"/>
                <w:szCs w:val="22"/>
                <w:lang w:val="en-GB" w:eastAsia="en-GB"/>
              </w:rPr>
              <w:t>A systematic review</w:t>
            </w:r>
          </w:p>
        </w:tc>
        <w:tc>
          <w:tcPr>
            <w:tcW w:w="2551" w:type="dxa"/>
            <w:tcBorders>
              <w:top w:val="nil"/>
              <w:left w:val="nil"/>
              <w:bottom w:val="single" w:sz="4" w:space="0" w:color="000000"/>
              <w:right w:val="single" w:sz="4" w:space="0" w:color="000000"/>
            </w:tcBorders>
            <w:hideMark/>
          </w:tcPr>
          <w:p w14:paraId="18653DE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assess the incidence of anti-NMDAR encephalitis in different countries, searching for elements suggesting an influence from geographic, climatic, and environmental factors</w:t>
            </w:r>
          </w:p>
        </w:tc>
        <w:tc>
          <w:tcPr>
            <w:tcW w:w="981" w:type="dxa"/>
            <w:tcBorders>
              <w:top w:val="nil"/>
              <w:left w:val="nil"/>
              <w:bottom w:val="single" w:sz="4" w:space="0" w:color="000000"/>
              <w:right w:val="single" w:sz="4" w:space="0" w:color="000000"/>
            </w:tcBorders>
            <w:hideMark/>
          </w:tcPr>
          <w:p w14:paraId="7F04897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68</w:t>
            </w:r>
          </w:p>
        </w:tc>
        <w:tc>
          <w:tcPr>
            <w:tcW w:w="1464" w:type="dxa"/>
            <w:tcBorders>
              <w:top w:val="nil"/>
              <w:left w:val="nil"/>
              <w:bottom w:val="single" w:sz="4" w:space="0" w:color="000000"/>
              <w:right w:val="single" w:sz="4" w:space="0" w:color="000000"/>
            </w:tcBorders>
            <w:hideMark/>
          </w:tcPr>
          <w:p w14:paraId="6C1A0C5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3E595B4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 xml:space="preserve">orldwide with special focus on </w:t>
            </w: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 xml:space="preserve">reece and </w:t>
            </w:r>
            <w:r>
              <w:rPr>
                <w:rFonts w:ascii="Calibri" w:eastAsia="Times New Roman" w:hAnsi="Calibri" w:cs="Calibri"/>
                <w:color w:val="auto"/>
                <w:sz w:val="22"/>
                <w:szCs w:val="22"/>
                <w:lang w:val="en-GB" w:eastAsia="en-GB"/>
              </w:rPr>
              <w:t>F</w:t>
            </w:r>
            <w:r w:rsidRPr="003C62A7">
              <w:rPr>
                <w:rFonts w:ascii="Calibri" w:eastAsia="Times New Roman" w:hAnsi="Calibri" w:cs="Calibri"/>
                <w:color w:val="auto"/>
                <w:sz w:val="22"/>
                <w:szCs w:val="22"/>
                <w:lang w:val="en-GB" w:eastAsia="en-GB"/>
              </w:rPr>
              <w:t>rance; inclusion of studies from 30 different countries</w:t>
            </w:r>
          </w:p>
        </w:tc>
        <w:tc>
          <w:tcPr>
            <w:tcW w:w="1658" w:type="dxa"/>
            <w:tcBorders>
              <w:top w:val="nil"/>
              <w:left w:val="nil"/>
              <w:bottom w:val="single" w:sz="4" w:space="0" w:color="000000"/>
              <w:right w:val="single" w:sz="4" w:space="0" w:color="auto"/>
            </w:tcBorders>
            <w:hideMark/>
          </w:tcPr>
          <w:p w14:paraId="050F604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DD61F1" w14:paraId="6E183C4D" w14:textId="77777777" w:rsidTr="0042136E">
        <w:trPr>
          <w:trHeight w:val="1124"/>
        </w:trPr>
        <w:tc>
          <w:tcPr>
            <w:tcW w:w="1824" w:type="dxa"/>
            <w:tcBorders>
              <w:top w:val="nil"/>
              <w:left w:val="single" w:sz="4" w:space="0" w:color="auto"/>
              <w:bottom w:val="single" w:sz="4" w:space="0" w:color="000000"/>
              <w:right w:val="single" w:sz="4" w:space="0" w:color="000000"/>
            </w:tcBorders>
            <w:noWrap/>
          </w:tcPr>
          <w:p w14:paraId="5DE6B2CC" w14:textId="77777777" w:rsidR="005E1386" w:rsidRPr="004F13DA" w:rsidRDefault="005E1386" w:rsidP="0042136E">
            <w:pPr>
              <w:spacing w:before="0" w:after="0" w:line="240" w:lineRule="auto"/>
              <w:rPr>
                <w:rFonts w:ascii="Calibri" w:eastAsia="Times New Roman" w:hAnsi="Calibri" w:cs="Calibri"/>
                <w:color w:val="auto"/>
                <w:sz w:val="22"/>
                <w:szCs w:val="22"/>
                <w:vertAlign w:val="superscript"/>
                <w:lang w:val="en-GB" w:eastAsia="en-GB"/>
              </w:rPr>
            </w:pPr>
            <w:r>
              <w:rPr>
                <w:rFonts w:ascii="Calibri" w:eastAsia="Times New Roman" w:hAnsi="Calibri" w:cs="Calibri"/>
                <w:color w:val="auto"/>
                <w:sz w:val="22"/>
                <w:szCs w:val="22"/>
                <w:lang w:val="en-GB" w:eastAsia="en-GB"/>
              </w:rPr>
              <w:t>Byun et al. (2024)</w:t>
            </w:r>
            <w:r>
              <w:rPr>
                <w:rFonts w:ascii="Calibri" w:eastAsia="Times New Roman" w:hAnsi="Calibri" w:cs="Calibri"/>
                <w:color w:val="auto"/>
                <w:sz w:val="22"/>
                <w:szCs w:val="22"/>
                <w:vertAlign w:val="superscript"/>
                <w:lang w:val="en-GB" w:eastAsia="en-GB"/>
              </w:rPr>
              <w:t>ⴕ</w:t>
            </w:r>
          </w:p>
        </w:tc>
        <w:tc>
          <w:tcPr>
            <w:tcW w:w="2199" w:type="dxa"/>
            <w:gridSpan w:val="3"/>
            <w:tcBorders>
              <w:top w:val="nil"/>
              <w:left w:val="nil"/>
              <w:bottom w:val="single" w:sz="4" w:space="0" w:color="000000"/>
              <w:right w:val="single" w:sz="4" w:space="0" w:color="000000"/>
            </w:tcBorders>
          </w:tcPr>
          <w:p w14:paraId="766612B9" w14:textId="77777777" w:rsidR="005E1386" w:rsidRPr="005A53C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Effects of ambient temperature on mental and neurological conditions in</w:t>
            </w:r>
          </w:p>
          <w:p w14:paraId="44E9428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older adults: A systematic review and meta-analysis</w:t>
            </w:r>
          </w:p>
        </w:tc>
        <w:tc>
          <w:tcPr>
            <w:tcW w:w="2551" w:type="dxa"/>
            <w:tcBorders>
              <w:top w:val="nil"/>
              <w:left w:val="nil"/>
              <w:bottom w:val="single" w:sz="4" w:space="0" w:color="000000"/>
              <w:right w:val="single" w:sz="4" w:space="0" w:color="000000"/>
            </w:tcBorders>
          </w:tcPr>
          <w:p w14:paraId="43A96671" w14:textId="77777777" w:rsidR="005E1386" w:rsidRPr="005A53C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This systematic review and meta-analysis study aims to summarize</w:t>
            </w:r>
          </w:p>
          <w:p w14:paraId="54CBE87F" w14:textId="77777777" w:rsidR="005E1386" w:rsidRPr="005A53C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the epidemiological evidence of the effects of ambient temperature,</w:t>
            </w:r>
          </w:p>
          <w:p w14:paraId="2DA33C1C" w14:textId="77777777" w:rsidR="005E1386" w:rsidRPr="005A53C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including both heat and cold exposures, on mental and neurological</w:t>
            </w:r>
          </w:p>
          <w:p w14:paraId="6A45CE3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conditions in older adults</w:t>
            </w:r>
          </w:p>
        </w:tc>
        <w:tc>
          <w:tcPr>
            <w:tcW w:w="981" w:type="dxa"/>
            <w:tcBorders>
              <w:top w:val="nil"/>
              <w:left w:val="nil"/>
              <w:bottom w:val="single" w:sz="4" w:space="0" w:color="000000"/>
              <w:right w:val="single" w:sz="4" w:space="0" w:color="000000"/>
            </w:tcBorders>
          </w:tcPr>
          <w:p w14:paraId="13042DB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76</w:t>
            </w:r>
          </w:p>
        </w:tc>
        <w:tc>
          <w:tcPr>
            <w:tcW w:w="1464" w:type="dxa"/>
            <w:tcBorders>
              <w:top w:val="nil"/>
              <w:left w:val="nil"/>
              <w:bottom w:val="single" w:sz="4" w:space="0" w:color="000000"/>
              <w:right w:val="single" w:sz="4" w:space="0" w:color="000000"/>
            </w:tcBorders>
          </w:tcPr>
          <w:p w14:paraId="225A2E8E" w14:textId="77777777" w:rsidR="005E1386" w:rsidRPr="004F13DA" w:rsidRDefault="005E1386" w:rsidP="0042136E">
            <w:pPr>
              <w:rPr>
                <w:rFonts w:ascii="Calibri" w:hAnsi="Calibri" w:cs="Calibri"/>
                <w:sz w:val="22"/>
                <w:szCs w:val="22"/>
                <w:lang w:val="en-GB"/>
              </w:rPr>
            </w:pPr>
            <w:r>
              <w:rPr>
                <w:rFonts w:ascii="Calibri" w:hAnsi="Calibri" w:cs="Calibri"/>
                <w:sz w:val="22"/>
                <w:szCs w:val="22"/>
                <w:lang w:val="en-GB"/>
              </w:rPr>
              <w:t>R</w:t>
            </w:r>
            <w:r w:rsidRPr="001A50CB">
              <w:rPr>
                <w:rFonts w:ascii="Calibri" w:hAnsi="Calibri" w:cs="Calibri"/>
                <w:sz w:val="22"/>
                <w:szCs w:val="22"/>
                <w:lang w:val="en-GB"/>
              </w:rPr>
              <w:t>isk of bias (RoB) assessment tool developed by the World Health</w:t>
            </w:r>
            <w:r w:rsidRPr="001A50CB">
              <w:rPr>
                <w:rFonts w:ascii="Calibri" w:hAnsi="Calibri" w:cs="Calibri"/>
                <w:sz w:val="22"/>
                <w:szCs w:val="22"/>
                <w:lang w:val="en-GB"/>
              </w:rPr>
              <w:br/>
              <w:t>Organization</w:t>
            </w:r>
          </w:p>
        </w:tc>
        <w:tc>
          <w:tcPr>
            <w:tcW w:w="1565" w:type="dxa"/>
            <w:tcBorders>
              <w:top w:val="nil"/>
              <w:left w:val="nil"/>
              <w:bottom w:val="single" w:sz="4" w:space="0" w:color="000000"/>
              <w:right w:val="single" w:sz="4" w:space="0" w:color="000000"/>
            </w:tcBorders>
          </w:tcPr>
          <w:p w14:paraId="78B8C118" w14:textId="77777777" w:rsidR="005E1386" w:rsidRPr="004F13DA" w:rsidRDefault="005E1386" w:rsidP="0042136E">
            <w:pPr>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G</w:t>
            </w:r>
            <w:r w:rsidRPr="005A53C7">
              <w:rPr>
                <w:rFonts w:ascii="Calibri" w:eastAsia="Times New Roman" w:hAnsi="Calibri" w:cs="Calibri"/>
                <w:sz w:val="22"/>
                <w:szCs w:val="22"/>
                <w:lang w:val="en-GB" w:eastAsia="en-GB"/>
              </w:rPr>
              <w:t>lobal</w:t>
            </w:r>
          </w:p>
        </w:tc>
        <w:tc>
          <w:tcPr>
            <w:tcW w:w="1658" w:type="dxa"/>
            <w:tcBorders>
              <w:top w:val="nil"/>
              <w:left w:val="nil"/>
              <w:bottom w:val="single" w:sz="4" w:space="0" w:color="000000"/>
              <w:right w:val="single" w:sz="4" w:space="0" w:color="auto"/>
            </w:tcBorders>
          </w:tcPr>
          <w:p w14:paraId="62D4A8CF" w14:textId="77777777" w:rsidR="005E1386" w:rsidRPr="005A53C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I</w:t>
            </w:r>
            <w:r w:rsidRPr="005A53C7">
              <w:rPr>
                <w:rFonts w:ascii="Calibri" w:eastAsia="Times New Roman" w:hAnsi="Calibri" w:cs="Calibri"/>
                <w:color w:val="auto"/>
                <w:sz w:val="22"/>
                <w:szCs w:val="22"/>
                <w:lang w:val="en-GB" w:eastAsia="en-GB"/>
              </w:rPr>
              <w:t xml:space="preserve">ndividuals aged 60 years and older, with no </w:t>
            </w:r>
            <w:r>
              <w:rPr>
                <w:rFonts w:ascii="Calibri" w:eastAsia="Times New Roman" w:hAnsi="Calibri" w:cs="Calibri"/>
                <w:color w:val="auto"/>
                <w:sz w:val="22"/>
                <w:szCs w:val="22"/>
                <w:lang w:val="en-GB" w:eastAsia="en-GB"/>
              </w:rPr>
              <w:t>r</w:t>
            </w:r>
            <w:r w:rsidRPr="005A53C7">
              <w:rPr>
                <w:rFonts w:ascii="Calibri" w:eastAsia="Times New Roman" w:hAnsi="Calibri" w:cs="Calibri"/>
                <w:color w:val="auto"/>
                <w:sz w:val="22"/>
                <w:szCs w:val="22"/>
                <w:lang w:val="en-GB" w:eastAsia="en-GB"/>
              </w:rPr>
              <w:t>estrictions based on gender,</w:t>
            </w:r>
          </w:p>
          <w:p w14:paraId="135CE70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5A53C7">
              <w:rPr>
                <w:rFonts w:ascii="Calibri" w:eastAsia="Times New Roman" w:hAnsi="Calibri" w:cs="Calibri"/>
                <w:color w:val="auto"/>
                <w:sz w:val="22"/>
                <w:szCs w:val="22"/>
                <w:lang w:val="en-GB" w:eastAsia="en-GB"/>
              </w:rPr>
              <w:t>race, or ethnicity</w:t>
            </w:r>
          </w:p>
        </w:tc>
      </w:tr>
      <w:tr w:rsidR="005E1386" w:rsidRPr="003C62A7" w14:paraId="35ABD4B7" w14:textId="77777777" w:rsidTr="0042136E">
        <w:trPr>
          <w:trHeight w:val="2320"/>
        </w:trPr>
        <w:tc>
          <w:tcPr>
            <w:tcW w:w="1824" w:type="dxa"/>
            <w:tcBorders>
              <w:top w:val="nil"/>
              <w:left w:val="single" w:sz="4" w:space="0" w:color="auto"/>
              <w:bottom w:val="single" w:sz="4" w:space="0" w:color="000000"/>
              <w:right w:val="single" w:sz="4" w:space="0" w:color="000000"/>
            </w:tcBorders>
            <w:noWrap/>
            <w:hideMark/>
          </w:tcPr>
          <w:p w14:paraId="32CE55B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Fatima et al. (2021)</w:t>
            </w:r>
          </w:p>
        </w:tc>
        <w:tc>
          <w:tcPr>
            <w:tcW w:w="2199" w:type="dxa"/>
            <w:gridSpan w:val="3"/>
            <w:tcBorders>
              <w:top w:val="nil"/>
              <w:left w:val="nil"/>
              <w:bottom w:val="single" w:sz="4" w:space="0" w:color="000000"/>
              <w:right w:val="single" w:sz="4" w:space="0" w:color="000000"/>
            </w:tcBorders>
            <w:hideMark/>
          </w:tcPr>
          <w:p w14:paraId="30BB8ED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Extreme heat and occupational injuries in different climate zones: A systematic review and meta-analysis of epidemiological evidence </w:t>
            </w:r>
          </w:p>
        </w:tc>
        <w:tc>
          <w:tcPr>
            <w:tcW w:w="2551" w:type="dxa"/>
            <w:tcBorders>
              <w:top w:val="nil"/>
              <w:left w:val="nil"/>
              <w:bottom w:val="single" w:sz="4" w:space="0" w:color="000000"/>
              <w:right w:val="single" w:sz="4" w:space="0" w:color="000000"/>
            </w:tcBorders>
            <w:hideMark/>
          </w:tcPr>
          <w:p w14:paraId="2664D3B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summari</w:t>
            </w:r>
            <w:r>
              <w:rPr>
                <w:rFonts w:ascii="Calibri" w:eastAsia="Times New Roman" w:hAnsi="Calibri" w:cs="Calibri"/>
                <w:color w:val="auto"/>
                <w:sz w:val="22"/>
                <w:szCs w:val="22"/>
                <w:lang w:val="en-GB" w:eastAsia="en-GB"/>
              </w:rPr>
              <w:t>z</w:t>
            </w:r>
            <w:r w:rsidRPr="003C62A7">
              <w:rPr>
                <w:rFonts w:ascii="Calibri" w:eastAsia="Times New Roman" w:hAnsi="Calibri" w:cs="Calibri"/>
                <w:color w:val="auto"/>
                <w:sz w:val="22"/>
                <w:szCs w:val="22"/>
                <w:lang w:val="en-GB" w:eastAsia="en-GB"/>
              </w:rPr>
              <w:t>e the existing epidemiological evidence on the impact of extreme heat (hot temperatures and heatwaves) on occupational injuries in different climate zones and to assess the individual risk factors associated with workers and workplace</w:t>
            </w:r>
            <w:r>
              <w:rPr>
                <w:rFonts w:ascii="Calibri" w:eastAsia="Times New Roman" w:hAnsi="Calibri" w:cs="Calibri"/>
                <w:color w:val="auto"/>
                <w:sz w:val="22"/>
                <w:szCs w:val="22"/>
                <w:lang w:val="en-GB" w:eastAsia="en-GB"/>
              </w:rPr>
              <w:t>s</w:t>
            </w:r>
            <w:r w:rsidRPr="003C62A7">
              <w:rPr>
                <w:rFonts w:ascii="Calibri" w:eastAsia="Times New Roman" w:hAnsi="Calibri" w:cs="Calibri"/>
                <w:color w:val="auto"/>
                <w:sz w:val="22"/>
                <w:szCs w:val="22"/>
                <w:lang w:val="en-GB" w:eastAsia="en-GB"/>
              </w:rPr>
              <w:t xml:space="preserve"> that contribute to heat-associated occupational injuries risks</w:t>
            </w:r>
          </w:p>
        </w:tc>
        <w:tc>
          <w:tcPr>
            <w:tcW w:w="981" w:type="dxa"/>
            <w:tcBorders>
              <w:top w:val="nil"/>
              <w:left w:val="nil"/>
              <w:bottom w:val="single" w:sz="4" w:space="0" w:color="000000"/>
              <w:right w:val="single" w:sz="4" w:space="0" w:color="000000"/>
            </w:tcBorders>
            <w:hideMark/>
          </w:tcPr>
          <w:p w14:paraId="051B9B2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24; 22 for meta</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analysis</w:t>
            </w:r>
          </w:p>
        </w:tc>
        <w:tc>
          <w:tcPr>
            <w:tcW w:w="1464" w:type="dxa"/>
            <w:tcBorders>
              <w:top w:val="nil"/>
              <w:left w:val="nil"/>
              <w:bottom w:val="single" w:sz="4" w:space="0" w:color="000000"/>
              <w:right w:val="single" w:sz="4" w:space="0" w:color="000000"/>
            </w:tcBorders>
            <w:hideMark/>
          </w:tcPr>
          <w:p w14:paraId="0F1C086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Navigation Guide framework</w:t>
            </w:r>
          </w:p>
        </w:tc>
        <w:tc>
          <w:tcPr>
            <w:tcW w:w="1565" w:type="dxa"/>
            <w:tcBorders>
              <w:top w:val="nil"/>
              <w:left w:val="nil"/>
              <w:bottom w:val="single" w:sz="4" w:space="0" w:color="000000"/>
              <w:right w:val="single" w:sz="4" w:space="0" w:color="000000"/>
            </w:tcBorders>
            <w:hideMark/>
          </w:tcPr>
          <w:p w14:paraId="417C0E9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w:t>
            </w:r>
          </w:p>
        </w:tc>
        <w:tc>
          <w:tcPr>
            <w:tcW w:w="1658" w:type="dxa"/>
            <w:tcBorders>
              <w:top w:val="nil"/>
              <w:left w:val="nil"/>
              <w:bottom w:val="single" w:sz="4" w:space="0" w:color="000000"/>
              <w:right w:val="single" w:sz="4" w:space="0" w:color="auto"/>
            </w:tcBorders>
            <w:hideMark/>
          </w:tcPr>
          <w:p w14:paraId="4F48C49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orkers</w:t>
            </w:r>
          </w:p>
        </w:tc>
      </w:tr>
      <w:tr w:rsidR="005E1386" w:rsidRPr="006F2708" w14:paraId="3A383418" w14:textId="77777777" w:rsidTr="0042136E">
        <w:trPr>
          <w:trHeight w:val="2610"/>
        </w:trPr>
        <w:tc>
          <w:tcPr>
            <w:tcW w:w="1824" w:type="dxa"/>
            <w:tcBorders>
              <w:top w:val="nil"/>
              <w:left w:val="single" w:sz="4" w:space="0" w:color="auto"/>
              <w:bottom w:val="single" w:sz="4" w:space="0" w:color="000000"/>
              <w:right w:val="single" w:sz="4" w:space="0" w:color="000000"/>
            </w:tcBorders>
            <w:noWrap/>
          </w:tcPr>
          <w:p w14:paraId="1C0C38DD" w14:textId="77777777" w:rsidR="005E1386" w:rsidRPr="003C62A7" w:rsidDel="002D01BB"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Krishnakumar et al. (2024)</w:t>
            </w:r>
            <w:r>
              <w:rPr>
                <w:rFonts w:ascii="Calibri" w:eastAsia="Times New Roman" w:hAnsi="Calibri" w:cs="Calibri"/>
                <w:color w:val="auto"/>
                <w:sz w:val="22"/>
                <w:szCs w:val="22"/>
                <w:vertAlign w:val="superscript"/>
                <w:lang w:val="en-GB" w:eastAsia="en-GB"/>
              </w:rPr>
              <w:t>ⴕ</w:t>
            </w:r>
          </w:p>
        </w:tc>
        <w:tc>
          <w:tcPr>
            <w:tcW w:w="2199" w:type="dxa"/>
            <w:gridSpan w:val="3"/>
            <w:tcBorders>
              <w:top w:val="nil"/>
              <w:left w:val="nil"/>
              <w:bottom w:val="single" w:sz="4" w:space="0" w:color="000000"/>
              <w:right w:val="single" w:sz="4" w:space="0" w:color="000000"/>
            </w:tcBorders>
          </w:tcPr>
          <w:p w14:paraId="1BEE3B99" w14:textId="77777777" w:rsidR="005E1386" w:rsidRPr="004F13DA" w:rsidRDefault="005E1386" w:rsidP="0042136E">
            <w:pPr>
              <w:rPr>
                <w:rFonts w:ascii="Calibri" w:eastAsia="Times New Roman" w:hAnsi="Calibri" w:cs="Calibri"/>
                <w:sz w:val="22"/>
                <w:szCs w:val="22"/>
                <w:lang w:val="en-GB" w:eastAsia="en-GB"/>
              </w:rPr>
            </w:pPr>
            <w:r w:rsidRPr="00B6527C">
              <w:rPr>
                <w:rFonts w:ascii="Calibri" w:eastAsia="Times New Roman" w:hAnsi="Calibri" w:cs="Calibri"/>
                <w:sz w:val="22"/>
                <w:szCs w:val="22"/>
                <w:lang w:val="en-GB" w:eastAsia="en-GB"/>
              </w:rPr>
              <w:t>Impact of exposure to extreme heat events during pregnancy on the incidence of congenital heart disease in offspring: a meta-analysis</w:t>
            </w:r>
          </w:p>
        </w:tc>
        <w:tc>
          <w:tcPr>
            <w:tcW w:w="2551" w:type="dxa"/>
            <w:tcBorders>
              <w:top w:val="nil"/>
              <w:left w:val="nil"/>
              <w:bottom w:val="single" w:sz="4" w:space="0" w:color="000000"/>
              <w:right w:val="single" w:sz="4" w:space="0" w:color="000000"/>
            </w:tcBorders>
          </w:tcPr>
          <w:p w14:paraId="1D7110BC" w14:textId="77777777" w:rsidR="005E1386" w:rsidRPr="004F13DA" w:rsidDel="00066209" w:rsidRDefault="005E1386" w:rsidP="0042136E">
            <w:pPr>
              <w:rPr>
                <w:rFonts w:ascii="Calibri" w:eastAsia="Times New Roman" w:hAnsi="Calibri" w:cs="Calibri"/>
                <w:sz w:val="22"/>
                <w:szCs w:val="22"/>
                <w:lang w:val="en-GB" w:eastAsia="en-GB"/>
              </w:rPr>
            </w:pPr>
            <w:r w:rsidRPr="00B6527C">
              <w:rPr>
                <w:rFonts w:ascii="Calibri" w:eastAsia="Times New Roman" w:hAnsi="Calibri" w:cs="Calibri"/>
                <w:sz w:val="22"/>
                <w:szCs w:val="22"/>
                <w:lang w:val="en-GB" w:eastAsia="en-GB"/>
              </w:rPr>
              <w:t>The primary objective of this meta-analysis is to quantify the extent of the association between maternal exposure to EHE during pregnancy and the likelihood of CHD in the foetus.</w:t>
            </w:r>
          </w:p>
        </w:tc>
        <w:tc>
          <w:tcPr>
            <w:tcW w:w="981" w:type="dxa"/>
            <w:tcBorders>
              <w:top w:val="nil"/>
              <w:left w:val="nil"/>
              <w:bottom w:val="single" w:sz="4" w:space="0" w:color="000000"/>
              <w:right w:val="single" w:sz="4" w:space="0" w:color="000000"/>
            </w:tcBorders>
          </w:tcPr>
          <w:p w14:paraId="159BBFF6"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8</w:t>
            </w:r>
          </w:p>
        </w:tc>
        <w:tc>
          <w:tcPr>
            <w:tcW w:w="1464" w:type="dxa"/>
            <w:tcBorders>
              <w:top w:val="nil"/>
              <w:left w:val="nil"/>
              <w:bottom w:val="single" w:sz="4" w:space="0" w:color="000000"/>
              <w:right w:val="single" w:sz="4" w:space="0" w:color="000000"/>
            </w:tcBorders>
          </w:tcPr>
          <w:p w14:paraId="131FF4AC" w14:textId="77777777" w:rsidR="005E1386" w:rsidRDefault="005E1386" w:rsidP="0042136E">
            <w:pPr>
              <w:spacing w:before="0" w:after="0" w:line="240" w:lineRule="auto"/>
              <w:rPr>
                <w:rFonts w:ascii="Calibri" w:eastAsia="Times New Roman" w:hAnsi="Calibri" w:cs="Calibri"/>
                <w:color w:val="auto"/>
                <w:sz w:val="22"/>
                <w:szCs w:val="22"/>
                <w:lang w:val="en-GB" w:eastAsia="en-GB"/>
              </w:rPr>
            </w:pPr>
            <w:r w:rsidRPr="00B6527C">
              <w:rPr>
                <w:rFonts w:ascii="Calibri" w:eastAsia="Times New Roman" w:hAnsi="Calibri" w:cs="Calibri"/>
                <w:color w:val="auto"/>
                <w:sz w:val="22"/>
                <w:szCs w:val="22"/>
                <w:lang w:val="en-GB" w:eastAsia="en-GB"/>
              </w:rPr>
              <w:t>Newcastle Ottawa scale (NOS)</w:t>
            </w:r>
          </w:p>
          <w:p w14:paraId="4BFA15B8" w14:textId="77777777" w:rsidR="005E1386" w:rsidRPr="004F13DA" w:rsidRDefault="005E1386" w:rsidP="0042136E">
            <w:pPr>
              <w:rPr>
                <w:rFonts w:ascii="Calibri" w:eastAsia="Times New Roman" w:hAnsi="Calibri" w:cs="Calibri"/>
                <w:sz w:val="22"/>
                <w:szCs w:val="22"/>
                <w:lang w:val="en-GB" w:eastAsia="en-GB"/>
              </w:rPr>
            </w:pPr>
          </w:p>
          <w:p w14:paraId="54200644" w14:textId="77777777" w:rsidR="005E1386" w:rsidRPr="004F13DA" w:rsidRDefault="005E1386" w:rsidP="0042136E">
            <w:pPr>
              <w:jc w:val="center"/>
              <w:rPr>
                <w:rFonts w:ascii="Calibri" w:eastAsia="Times New Roman" w:hAnsi="Calibri" w:cs="Calibri"/>
                <w:sz w:val="22"/>
                <w:szCs w:val="22"/>
                <w:lang w:val="en-GB" w:eastAsia="en-GB"/>
              </w:rPr>
            </w:pPr>
          </w:p>
        </w:tc>
        <w:tc>
          <w:tcPr>
            <w:tcW w:w="1565" w:type="dxa"/>
            <w:tcBorders>
              <w:top w:val="nil"/>
              <w:left w:val="nil"/>
              <w:bottom w:val="single" w:sz="4" w:space="0" w:color="000000"/>
              <w:right w:val="single" w:sz="4" w:space="0" w:color="000000"/>
            </w:tcBorders>
          </w:tcPr>
          <w:p w14:paraId="6B9D310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nil"/>
              <w:left w:val="nil"/>
              <w:bottom w:val="nil"/>
              <w:right w:val="single" w:sz="4" w:space="0" w:color="auto"/>
            </w:tcBorders>
          </w:tcPr>
          <w:p w14:paraId="086F8B1B" w14:textId="77777777" w:rsidR="005E1386"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B6527C">
              <w:rPr>
                <w:rFonts w:ascii="Calibri" w:eastAsia="Times New Roman" w:hAnsi="Calibri" w:cs="Calibri"/>
                <w:color w:val="auto"/>
                <w:sz w:val="22"/>
                <w:szCs w:val="22"/>
                <w:lang w:val="en-GB" w:eastAsia="en-GB"/>
              </w:rPr>
              <w:t>eeks 2–8 of the gestation period</w:t>
            </w:r>
          </w:p>
        </w:tc>
      </w:tr>
      <w:tr w:rsidR="005E1386" w:rsidRPr="00E56EC1" w14:paraId="105083C7" w14:textId="77777777" w:rsidTr="0042136E">
        <w:trPr>
          <w:trHeight w:val="2610"/>
        </w:trPr>
        <w:tc>
          <w:tcPr>
            <w:tcW w:w="1824" w:type="dxa"/>
            <w:tcBorders>
              <w:top w:val="nil"/>
              <w:left w:val="single" w:sz="4" w:space="0" w:color="auto"/>
              <w:bottom w:val="single" w:sz="4" w:space="0" w:color="000000"/>
              <w:right w:val="single" w:sz="4" w:space="0" w:color="000000"/>
            </w:tcBorders>
            <w:noWrap/>
            <w:hideMark/>
          </w:tcPr>
          <w:p w14:paraId="193359C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Perry et al. (2023)</w:t>
            </w:r>
          </w:p>
        </w:tc>
        <w:tc>
          <w:tcPr>
            <w:tcW w:w="2199" w:type="dxa"/>
            <w:gridSpan w:val="3"/>
            <w:tcBorders>
              <w:top w:val="nil"/>
              <w:left w:val="nil"/>
              <w:bottom w:val="single" w:sz="4" w:space="0" w:color="000000"/>
              <w:right w:val="single" w:sz="4" w:space="0" w:color="000000"/>
            </w:tcBorders>
            <w:hideMark/>
          </w:tcPr>
          <w:p w14:paraId="6208180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The association between high ambient temperature and mortality in the Mediterranean Basin: A systematic review and meta</w:t>
            </w:r>
            <w:r w:rsidRPr="003C62A7">
              <w:rPr>
                <w:rFonts w:ascii="Calibri" w:eastAsia="Times New Roman" w:hAnsi="Calibri" w:cs="Calibri"/>
                <w:color w:val="auto"/>
                <w:sz w:val="22"/>
                <w:szCs w:val="22"/>
                <w:lang w:val="en-GB" w:eastAsia="en-GB"/>
              </w:rPr>
              <w:noBreakHyphen/>
              <w:t>analysis</w:t>
            </w:r>
          </w:p>
        </w:tc>
        <w:tc>
          <w:tcPr>
            <w:tcW w:w="2551" w:type="dxa"/>
            <w:tcBorders>
              <w:top w:val="nil"/>
              <w:left w:val="nil"/>
              <w:bottom w:val="single" w:sz="4" w:space="0" w:color="000000"/>
              <w:right w:val="single" w:sz="4" w:space="0" w:color="000000"/>
            </w:tcBorders>
            <w:hideMark/>
          </w:tcPr>
          <w:p w14:paraId="6B8FDF7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quantify the risk of mortality associated with exposure to high ambient temperature in the Mediterranean basin in the general population and in vulnerable sub-populations</w:t>
            </w:r>
          </w:p>
        </w:tc>
        <w:tc>
          <w:tcPr>
            <w:tcW w:w="981" w:type="dxa"/>
            <w:tcBorders>
              <w:top w:val="nil"/>
              <w:left w:val="nil"/>
              <w:bottom w:val="single" w:sz="4" w:space="0" w:color="000000"/>
              <w:right w:val="single" w:sz="4" w:space="0" w:color="000000"/>
            </w:tcBorders>
            <w:hideMark/>
          </w:tcPr>
          <w:p w14:paraId="097C1D1E"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16</w:t>
            </w:r>
          </w:p>
        </w:tc>
        <w:tc>
          <w:tcPr>
            <w:tcW w:w="1464" w:type="dxa"/>
            <w:tcBorders>
              <w:top w:val="nil"/>
              <w:left w:val="nil"/>
              <w:bottom w:val="single" w:sz="4" w:space="0" w:color="000000"/>
              <w:right w:val="single" w:sz="4" w:space="0" w:color="000000"/>
            </w:tcBorders>
            <w:hideMark/>
          </w:tcPr>
          <w:p w14:paraId="7975AF6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32D6383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Mediterranean basin; inclusion of studies from Europe (Cyprus, Greece, Italy, Portugal, Slovenia, and Spain), Asia (Israel, Lebanon, and Turkey) and North Africa (Tunisia)</w:t>
            </w:r>
          </w:p>
        </w:tc>
        <w:tc>
          <w:tcPr>
            <w:tcW w:w="1658" w:type="dxa"/>
            <w:tcBorders>
              <w:top w:val="nil"/>
              <w:left w:val="nil"/>
              <w:bottom w:val="nil"/>
              <w:right w:val="single" w:sz="4" w:space="0" w:color="auto"/>
            </w:tcBorders>
            <w:hideMark/>
          </w:tcPr>
          <w:p w14:paraId="5F385CE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 and vulnerable sub-populations</w:t>
            </w:r>
          </w:p>
        </w:tc>
      </w:tr>
      <w:tr w:rsidR="005E1386" w:rsidRPr="00066209" w14:paraId="0AD48D68" w14:textId="77777777" w:rsidTr="0042136E">
        <w:trPr>
          <w:trHeight w:val="1160"/>
        </w:trPr>
        <w:tc>
          <w:tcPr>
            <w:tcW w:w="1824" w:type="dxa"/>
            <w:tcBorders>
              <w:top w:val="nil"/>
              <w:left w:val="single" w:sz="4" w:space="0" w:color="auto"/>
              <w:bottom w:val="single" w:sz="4" w:space="0" w:color="000000"/>
              <w:right w:val="single" w:sz="4" w:space="0" w:color="000000"/>
            </w:tcBorders>
            <w:noWrap/>
          </w:tcPr>
          <w:p w14:paraId="7BDC20D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Tran et al. (2025)</w:t>
            </w:r>
            <w:r>
              <w:rPr>
                <w:rFonts w:ascii="Calibri" w:eastAsia="Times New Roman" w:hAnsi="Calibri" w:cs="Calibri"/>
                <w:color w:val="auto"/>
                <w:sz w:val="22"/>
                <w:szCs w:val="22"/>
                <w:vertAlign w:val="superscript"/>
                <w:lang w:val="en-GB" w:eastAsia="en-GB"/>
              </w:rPr>
              <w:t>ⴕ</w:t>
            </w:r>
          </w:p>
        </w:tc>
        <w:tc>
          <w:tcPr>
            <w:tcW w:w="2199" w:type="dxa"/>
            <w:gridSpan w:val="3"/>
            <w:tcBorders>
              <w:top w:val="nil"/>
              <w:left w:val="nil"/>
              <w:bottom w:val="single" w:sz="4" w:space="0" w:color="000000"/>
              <w:right w:val="single" w:sz="4" w:space="0" w:color="000000"/>
            </w:tcBorders>
          </w:tcPr>
          <w:p w14:paraId="46E3BC41" w14:textId="77777777" w:rsidR="005E1386" w:rsidRPr="004F13DA" w:rsidRDefault="005E1386" w:rsidP="0042136E">
            <w:pPr>
              <w:rPr>
                <w:rFonts w:ascii="Calibri" w:hAnsi="Calibri" w:cs="Calibri"/>
                <w:sz w:val="22"/>
                <w:szCs w:val="22"/>
                <w:lang w:val="en-GB"/>
              </w:rPr>
            </w:pPr>
            <w:r w:rsidRPr="001A50CB">
              <w:rPr>
                <w:rFonts w:ascii="Calibri" w:hAnsi="Calibri" w:cs="Calibri"/>
                <w:sz w:val="22"/>
                <w:szCs w:val="22"/>
                <w:lang w:val="en-GB"/>
              </w:rPr>
              <w:t>Corrigendum to ‘Extreme temperature increases the risk of COPD</w:t>
            </w:r>
            <w:r w:rsidRPr="001A50CB">
              <w:rPr>
                <w:rFonts w:ascii="Calibri" w:hAnsi="Calibri" w:cs="Calibri"/>
                <w:sz w:val="22"/>
                <w:szCs w:val="22"/>
                <w:lang w:val="en-GB"/>
              </w:rPr>
              <w:br/>
              <w:t>morbimortality: A systematic review and meta-analysis [Science of The</w:t>
            </w:r>
            <w:r w:rsidRPr="001A50CB">
              <w:rPr>
                <w:rFonts w:ascii="Calibri" w:hAnsi="Calibri" w:cs="Calibri"/>
                <w:sz w:val="22"/>
                <w:szCs w:val="22"/>
                <w:lang w:val="en-GB"/>
              </w:rPr>
              <w:br/>
              <w:t>Total Environment, Vol 958 [2025] 178087’</w:t>
            </w:r>
          </w:p>
        </w:tc>
        <w:tc>
          <w:tcPr>
            <w:tcW w:w="2551" w:type="dxa"/>
            <w:tcBorders>
              <w:top w:val="nil"/>
              <w:left w:val="nil"/>
              <w:bottom w:val="single" w:sz="4" w:space="0" w:color="000000"/>
              <w:right w:val="single" w:sz="4" w:space="0" w:color="000000"/>
            </w:tcBorders>
          </w:tcPr>
          <w:p w14:paraId="29B9EAA6" w14:textId="77777777" w:rsidR="005E1386" w:rsidRPr="00066209" w:rsidRDefault="005E1386" w:rsidP="0042136E">
            <w:pPr>
              <w:spacing w:before="0" w:after="0" w:line="240" w:lineRule="auto"/>
              <w:rPr>
                <w:rFonts w:ascii="Calibri" w:eastAsia="Times New Roman" w:hAnsi="Calibri" w:cs="Calibri"/>
                <w:color w:val="auto"/>
                <w:sz w:val="22"/>
                <w:szCs w:val="22"/>
                <w:lang w:val="en-GB" w:eastAsia="en-GB"/>
              </w:rPr>
            </w:pPr>
            <w:r w:rsidRPr="00066209">
              <w:rPr>
                <w:rFonts w:ascii="Calibri" w:eastAsia="Times New Roman" w:hAnsi="Calibri" w:cs="Calibri"/>
                <w:color w:val="auto"/>
                <w:sz w:val="22"/>
                <w:szCs w:val="22"/>
                <w:lang w:val="en-GB" w:eastAsia="en-GB"/>
              </w:rPr>
              <w:t>This study aims to</w:t>
            </w:r>
            <w:r>
              <w:rPr>
                <w:rFonts w:ascii="Calibri" w:eastAsia="Times New Roman" w:hAnsi="Calibri" w:cs="Calibri"/>
                <w:color w:val="auto"/>
                <w:sz w:val="22"/>
                <w:szCs w:val="22"/>
                <w:lang w:val="en-GB" w:eastAsia="en-GB"/>
              </w:rPr>
              <w:t xml:space="preserve"> </w:t>
            </w:r>
            <w:r w:rsidRPr="00066209">
              <w:rPr>
                <w:rFonts w:ascii="Calibri" w:eastAsia="Times New Roman" w:hAnsi="Calibri" w:cs="Calibri"/>
                <w:color w:val="auto"/>
                <w:sz w:val="22"/>
                <w:szCs w:val="22"/>
                <w:lang w:val="en-GB" w:eastAsia="en-GB"/>
              </w:rPr>
              <w:t>fill this gap by</w:t>
            </w:r>
            <w:r>
              <w:rPr>
                <w:rFonts w:ascii="Calibri" w:eastAsia="Times New Roman" w:hAnsi="Calibri" w:cs="Calibri"/>
                <w:color w:val="auto"/>
                <w:sz w:val="22"/>
                <w:szCs w:val="22"/>
                <w:lang w:val="en-GB" w:eastAsia="en-GB"/>
              </w:rPr>
              <w:t xml:space="preserve"> c</w:t>
            </w:r>
            <w:r w:rsidRPr="00066209">
              <w:rPr>
                <w:rFonts w:ascii="Calibri" w:eastAsia="Times New Roman" w:hAnsi="Calibri" w:cs="Calibri"/>
                <w:color w:val="auto"/>
                <w:sz w:val="22"/>
                <w:szCs w:val="22"/>
                <w:lang w:val="en-GB" w:eastAsia="en-GB"/>
              </w:rPr>
              <w:t>onducting a comprehensive systematic review and meta-analysis to assess the influence of</w:t>
            </w:r>
            <w:r>
              <w:rPr>
                <w:rFonts w:ascii="Calibri" w:eastAsia="Times New Roman" w:hAnsi="Calibri" w:cs="Calibri"/>
                <w:color w:val="auto"/>
                <w:sz w:val="22"/>
                <w:szCs w:val="22"/>
                <w:lang w:val="en-GB" w:eastAsia="en-GB"/>
              </w:rPr>
              <w:t xml:space="preserve"> </w:t>
            </w:r>
            <w:r w:rsidRPr="00066209">
              <w:rPr>
                <w:rFonts w:ascii="Calibri" w:eastAsia="Times New Roman" w:hAnsi="Calibri" w:cs="Calibri"/>
                <w:color w:val="auto"/>
                <w:sz w:val="22"/>
                <w:szCs w:val="22"/>
                <w:lang w:val="en-GB" w:eastAsia="en-GB"/>
              </w:rPr>
              <w:t xml:space="preserve">extreme temperatures on COPD </w:t>
            </w:r>
            <w:r>
              <w:rPr>
                <w:rFonts w:ascii="Calibri" w:eastAsia="Times New Roman" w:hAnsi="Calibri" w:cs="Calibri"/>
                <w:color w:val="auto"/>
                <w:sz w:val="22"/>
                <w:szCs w:val="22"/>
                <w:lang w:val="en-GB" w:eastAsia="en-GB"/>
              </w:rPr>
              <w:t>m</w:t>
            </w:r>
            <w:r w:rsidRPr="00066209">
              <w:rPr>
                <w:rFonts w:ascii="Calibri" w:eastAsia="Times New Roman" w:hAnsi="Calibri" w:cs="Calibri"/>
                <w:color w:val="auto"/>
                <w:sz w:val="22"/>
                <w:szCs w:val="22"/>
                <w:lang w:val="en-GB" w:eastAsia="en-GB"/>
              </w:rPr>
              <w:t>orbimortality risk globally. We also</w:t>
            </w:r>
          </w:p>
          <w:p w14:paraId="5C6B9E6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066209">
              <w:rPr>
                <w:rFonts w:ascii="Calibri" w:eastAsia="Times New Roman" w:hAnsi="Calibri" w:cs="Calibri"/>
                <w:color w:val="auto"/>
                <w:sz w:val="22"/>
                <w:szCs w:val="22"/>
                <w:lang w:val="en-GB" w:eastAsia="en-GB"/>
              </w:rPr>
              <w:t>aim to identify vulnerable subpopulations susceptible to these temperature extremes by performing subgroup analyses based on age, sex, and</w:t>
            </w:r>
            <w:r>
              <w:rPr>
                <w:rFonts w:ascii="Calibri" w:eastAsia="Times New Roman" w:hAnsi="Calibri" w:cs="Calibri"/>
                <w:color w:val="auto"/>
                <w:sz w:val="22"/>
                <w:szCs w:val="22"/>
                <w:lang w:val="en-GB" w:eastAsia="en-GB"/>
              </w:rPr>
              <w:t xml:space="preserve"> </w:t>
            </w:r>
            <w:r w:rsidRPr="00066209">
              <w:rPr>
                <w:rFonts w:ascii="Calibri" w:eastAsia="Times New Roman" w:hAnsi="Calibri" w:cs="Calibri"/>
                <w:color w:val="auto"/>
                <w:sz w:val="22"/>
                <w:szCs w:val="22"/>
                <w:lang w:val="en-GB" w:eastAsia="en-GB"/>
              </w:rPr>
              <w:t>regions</w:t>
            </w:r>
          </w:p>
        </w:tc>
        <w:tc>
          <w:tcPr>
            <w:tcW w:w="981" w:type="dxa"/>
            <w:tcBorders>
              <w:top w:val="nil"/>
              <w:left w:val="nil"/>
              <w:bottom w:val="single" w:sz="4" w:space="0" w:color="000000"/>
              <w:right w:val="single" w:sz="4" w:space="0" w:color="000000"/>
            </w:tcBorders>
          </w:tcPr>
          <w:p w14:paraId="27A87C75"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25</w:t>
            </w:r>
          </w:p>
        </w:tc>
        <w:tc>
          <w:tcPr>
            <w:tcW w:w="1464" w:type="dxa"/>
            <w:tcBorders>
              <w:top w:val="nil"/>
              <w:left w:val="nil"/>
              <w:bottom w:val="single" w:sz="4" w:space="0" w:color="000000"/>
              <w:right w:val="single" w:sz="4" w:space="0" w:color="000000"/>
            </w:tcBorders>
          </w:tcPr>
          <w:p w14:paraId="05BB605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066209">
              <w:rPr>
                <w:rFonts w:ascii="Calibri" w:eastAsia="Times New Roman" w:hAnsi="Calibri" w:cs="Calibri"/>
                <w:color w:val="auto"/>
                <w:sz w:val="22"/>
                <w:szCs w:val="22"/>
                <w:lang w:val="en-GB" w:eastAsia="en-GB"/>
              </w:rPr>
              <w:t>Yes</w:t>
            </w:r>
            <w:r>
              <w:rPr>
                <w:rFonts w:ascii="Calibri" w:eastAsia="Times New Roman" w:hAnsi="Calibri" w:cs="Calibri"/>
                <w:color w:val="auto"/>
                <w:sz w:val="22"/>
                <w:szCs w:val="22"/>
                <w:lang w:val="en-GB" w:eastAsia="en-GB"/>
              </w:rPr>
              <w:t>, but without a published concept</w:t>
            </w:r>
          </w:p>
        </w:tc>
        <w:tc>
          <w:tcPr>
            <w:tcW w:w="1565" w:type="dxa"/>
            <w:tcBorders>
              <w:top w:val="nil"/>
              <w:left w:val="nil"/>
              <w:bottom w:val="single" w:sz="4" w:space="0" w:color="000000"/>
              <w:right w:val="single" w:sz="4" w:space="0" w:color="000000"/>
            </w:tcBorders>
          </w:tcPr>
          <w:p w14:paraId="006B6FD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single" w:sz="4" w:space="0" w:color="auto"/>
              <w:left w:val="nil"/>
              <w:bottom w:val="single" w:sz="4" w:space="0" w:color="auto"/>
              <w:right w:val="single" w:sz="4" w:space="0" w:color="auto"/>
            </w:tcBorders>
          </w:tcPr>
          <w:p w14:paraId="34ADCE6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COPD patients</w:t>
            </w:r>
          </w:p>
        </w:tc>
      </w:tr>
      <w:tr w:rsidR="005E1386" w:rsidRPr="006F2708" w14:paraId="37C96BC1" w14:textId="77777777" w:rsidTr="0042136E">
        <w:trPr>
          <w:trHeight w:val="1160"/>
        </w:trPr>
        <w:tc>
          <w:tcPr>
            <w:tcW w:w="1824" w:type="dxa"/>
            <w:tcBorders>
              <w:top w:val="nil"/>
              <w:left w:val="single" w:sz="4" w:space="0" w:color="auto"/>
              <w:bottom w:val="single" w:sz="4" w:space="0" w:color="000000"/>
              <w:right w:val="single" w:sz="4" w:space="0" w:color="000000"/>
            </w:tcBorders>
            <w:noWrap/>
            <w:hideMark/>
          </w:tcPr>
          <w:p w14:paraId="1741860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Witt et al. (2015)</w:t>
            </w:r>
          </w:p>
        </w:tc>
        <w:tc>
          <w:tcPr>
            <w:tcW w:w="2199" w:type="dxa"/>
            <w:gridSpan w:val="3"/>
            <w:tcBorders>
              <w:top w:val="nil"/>
              <w:left w:val="nil"/>
              <w:bottom w:val="single" w:sz="4" w:space="0" w:color="000000"/>
              <w:right w:val="single" w:sz="4" w:space="0" w:color="000000"/>
            </w:tcBorders>
            <w:hideMark/>
          </w:tcPr>
          <w:p w14:paraId="47C0191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The effects of climate change on patients with chronic lung disease</w:t>
            </w:r>
          </w:p>
        </w:tc>
        <w:tc>
          <w:tcPr>
            <w:tcW w:w="2551" w:type="dxa"/>
            <w:tcBorders>
              <w:top w:val="nil"/>
              <w:left w:val="nil"/>
              <w:bottom w:val="single" w:sz="4" w:space="0" w:color="000000"/>
              <w:right w:val="single" w:sz="4" w:space="0" w:color="000000"/>
            </w:tcBorders>
            <w:hideMark/>
          </w:tcPr>
          <w:p w14:paraId="2F90702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assess effects of heat waves on the morbidity and mortality of persons with chronic lung disease</w:t>
            </w:r>
          </w:p>
        </w:tc>
        <w:tc>
          <w:tcPr>
            <w:tcW w:w="981" w:type="dxa"/>
            <w:tcBorders>
              <w:top w:val="nil"/>
              <w:left w:val="nil"/>
              <w:bottom w:val="single" w:sz="4" w:space="0" w:color="000000"/>
              <w:right w:val="single" w:sz="4" w:space="0" w:color="000000"/>
            </w:tcBorders>
            <w:hideMark/>
          </w:tcPr>
          <w:p w14:paraId="532C2917"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33</w:t>
            </w:r>
          </w:p>
        </w:tc>
        <w:tc>
          <w:tcPr>
            <w:tcW w:w="1464" w:type="dxa"/>
            <w:tcBorders>
              <w:top w:val="nil"/>
              <w:left w:val="nil"/>
              <w:bottom w:val="single" w:sz="4" w:space="0" w:color="000000"/>
              <w:right w:val="single" w:sz="4" w:space="0" w:color="000000"/>
            </w:tcBorders>
            <w:hideMark/>
          </w:tcPr>
          <w:p w14:paraId="603140C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yes, but without a published concept</w:t>
            </w:r>
          </w:p>
        </w:tc>
        <w:tc>
          <w:tcPr>
            <w:tcW w:w="1565" w:type="dxa"/>
            <w:tcBorders>
              <w:top w:val="nil"/>
              <w:left w:val="nil"/>
              <w:bottom w:val="single" w:sz="4" w:space="0" w:color="000000"/>
              <w:right w:val="single" w:sz="4" w:space="0" w:color="000000"/>
            </w:tcBorders>
            <w:hideMark/>
          </w:tcPr>
          <w:p w14:paraId="5C8F01E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 inclusion of studies from Europe, Asia, Australia and America</w:t>
            </w:r>
          </w:p>
        </w:tc>
        <w:tc>
          <w:tcPr>
            <w:tcW w:w="1658" w:type="dxa"/>
            <w:tcBorders>
              <w:top w:val="single" w:sz="4" w:space="0" w:color="auto"/>
              <w:left w:val="nil"/>
              <w:bottom w:val="single" w:sz="4" w:space="0" w:color="auto"/>
              <w:right w:val="single" w:sz="4" w:space="0" w:color="auto"/>
            </w:tcBorders>
            <w:hideMark/>
          </w:tcPr>
          <w:p w14:paraId="754A206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Persons with chronic lung disease</w:t>
            </w:r>
          </w:p>
        </w:tc>
      </w:tr>
      <w:tr w:rsidR="005E1386" w:rsidRPr="00066209" w14:paraId="6DCE3CE0" w14:textId="77777777" w:rsidTr="0042136E">
        <w:trPr>
          <w:trHeight w:val="1160"/>
        </w:trPr>
        <w:tc>
          <w:tcPr>
            <w:tcW w:w="1824" w:type="dxa"/>
            <w:tcBorders>
              <w:top w:val="nil"/>
              <w:left w:val="single" w:sz="4" w:space="0" w:color="auto"/>
              <w:bottom w:val="single" w:sz="4" w:space="0" w:color="000000"/>
              <w:right w:val="single" w:sz="4" w:space="0" w:color="000000"/>
            </w:tcBorders>
            <w:noWrap/>
          </w:tcPr>
          <w:p w14:paraId="4537934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Zhou et al. (2025)</w:t>
            </w:r>
            <w:r>
              <w:rPr>
                <w:rFonts w:ascii="Calibri" w:eastAsia="Times New Roman" w:hAnsi="Calibri" w:cs="Calibri"/>
                <w:color w:val="auto"/>
                <w:sz w:val="22"/>
                <w:szCs w:val="22"/>
                <w:vertAlign w:val="superscript"/>
                <w:lang w:val="en-GB" w:eastAsia="en-GB"/>
              </w:rPr>
              <w:t>ⴕ</w:t>
            </w:r>
          </w:p>
        </w:tc>
        <w:tc>
          <w:tcPr>
            <w:tcW w:w="2199" w:type="dxa"/>
            <w:gridSpan w:val="3"/>
            <w:tcBorders>
              <w:top w:val="nil"/>
              <w:left w:val="nil"/>
              <w:bottom w:val="single" w:sz="4" w:space="0" w:color="000000"/>
              <w:right w:val="single" w:sz="4" w:space="0" w:color="000000"/>
            </w:tcBorders>
          </w:tcPr>
          <w:p w14:paraId="001994D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Sex differences in the impact of extreme heat on cardiovascular disease outcomes: a systematic review and meta-analysis</w:t>
            </w:r>
          </w:p>
        </w:tc>
        <w:tc>
          <w:tcPr>
            <w:tcW w:w="2551" w:type="dxa"/>
            <w:tcBorders>
              <w:top w:val="nil"/>
              <w:left w:val="nil"/>
              <w:bottom w:val="single" w:sz="4" w:space="0" w:color="000000"/>
              <w:right w:val="single" w:sz="4" w:space="0" w:color="000000"/>
            </w:tcBorders>
          </w:tcPr>
          <w:p w14:paraId="706F9641" w14:textId="77777777" w:rsidR="005E1386" w:rsidRPr="004F13DA" w:rsidDel="00066209" w:rsidRDefault="005E1386" w:rsidP="0042136E">
            <w:pPr>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T</w:t>
            </w:r>
            <w:r w:rsidRPr="00DD61F1">
              <w:rPr>
                <w:rFonts w:ascii="Calibri" w:eastAsia="Times New Roman" w:hAnsi="Calibri" w:cs="Calibri"/>
                <w:sz w:val="22"/>
                <w:szCs w:val="22"/>
                <w:lang w:val="en-GB" w:eastAsia="en-GB"/>
              </w:rPr>
              <w:t>his systematic review and meta-analysis aim to examine the sex-specific association between extreme heat exposure and cardiovascular disease outcomes. The focus of the analysis is synthesizing epidemiological evidence from the past decade in males and females and quantifying sex-specific relative risks of CVD responses to extreme heat exposure through meta-analysis</w:t>
            </w:r>
          </w:p>
        </w:tc>
        <w:tc>
          <w:tcPr>
            <w:tcW w:w="981" w:type="dxa"/>
            <w:tcBorders>
              <w:top w:val="nil"/>
              <w:left w:val="nil"/>
              <w:bottom w:val="single" w:sz="4" w:space="0" w:color="000000"/>
              <w:right w:val="single" w:sz="4" w:space="0" w:color="000000"/>
            </w:tcBorders>
          </w:tcPr>
          <w:p w14:paraId="03E42485"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79</w:t>
            </w:r>
          </w:p>
        </w:tc>
        <w:tc>
          <w:tcPr>
            <w:tcW w:w="1464" w:type="dxa"/>
            <w:tcBorders>
              <w:top w:val="nil"/>
              <w:left w:val="nil"/>
              <w:bottom w:val="single" w:sz="4" w:space="0" w:color="000000"/>
              <w:right w:val="single" w:sz="4" w:space="0" w:color="000000"/>
            </w:tcBorders>
          </w:tcPr>
          <w:p w14:paraId="6259A89A" w14:textId="77777777" w:rsidR="005E1386" w:rsidRPr="004F13DA" w:rsidRDefault="005E1386" w:rsidP="0042136E">
            <w:pPr>
              <w:rPr>
                <w:rFonts w:ascii="Calibri" w:eastAsia="Times New Roman" w:hAnsi="Calibri" w:cs="Calibri"/>
                <w:sz w:val="22"/>
                <w:szCs w:val="22"/>
                <w:lang w:val="en-GB" w:eastAsia="en-GB"/>
              </w:rPr>
            </w:pPr>
            <w:r w:rsidRPr="00DD61F1">
              <w:rPr>
                <w:rFonts w:ascii="Calibri" w:eastAsia="Times New Roman" w:hAnsi="Calibri" w:cs="Calibri"/>
                <w:sz w:val="22"/>
                <w:szCs w:val="22"/>
                <w:lang w:val="en-GB" w:eastAsia="en-GB"/>
              </w:rPr>
              <w:t>Navigation Guide criteria</w:t>
            </w:r>
          </w:p>
        </w:tc>
        <w:tc>
          <w:tcPr>
            <w:tcW w:w="1565" w:type="dxa"/>
            <w:tcBorders>
              <w:top w:val="nil"/>
              <w:left w:val="nil"/>
              <w:bottom w:val="single" w:sz="4" w:space="0" w:color="000000"/>
              <w:right w:val="single" w:sz="4" w:space="0" w:color="000000"/>
            </w:tcBorders>
          </w:tcPr>
          <w:p w14:paraId="24A6152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single" w:sz="4" w:space="0" w:color="auto"/>
              <w:left w:val="nil"/>
              <w:bottom w:val="single" w:sz="4" w:space="0" w:color="auto"/>
              <w:right w:val="single" w:sz="4" w:space="0" w:color="auto"/>
            </w:tcBorders>
          </w:tcPr>
          <w:p w14:paraId="12875B8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General population</w:t>
            </w:r>
          </w:p>
        </w:tc>
      </w:tr>
      <w:tr w:rsidR="005E1386" w:rsidRPr="006F2708" w14:paraId="2096567B" w14:textId="77777777" w:rsidTr="0042136E">
        <w:trPr>
          <w:trHeight w:val="330"/>
        </w:trPr>
        <w:tc>
          <w:tcPr>
            <w:tcW w:w="12242" w:type="dxa"/>
            <w:gridSpan w:val="9"/>
            <w:tcBorders>
              <w:top w:val="single" w:sz="4" w:space="0" w:color="000000"/>
              <w:left w:val="single" w:sz="4" w:space="0" w:color="auto"/>
              <w:bottom w:val="single" w:sz="4" w:space="0" w:color="000000"/>
              <w:right w:val="single" w:sz="4" w:space="0" w:color="000000"/>
            </w:tcBorders>
            <w:shd w:val="clear" w:color="E7E6E6" w:fill="E7E6E6"/>
            <w:noWrap/>
            <w:hideMark/>
          </w:tcPr>
          <w:p w14:paraId="1C02557D" w14:textId="77777777" w:rsidR="005E1386" w:rsidRPr="003C62A7" w:rsidRDefault="005E1386" w:rsidP="0042136E">
            <w:pPr>
              <w:spacing w:before="0" w:after="0" w:line="240" w:lineRule="auto"/>
              <w:jc w:val="center"/>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Systematic Review without meta</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analysis</w:t>
            </w:r>
          </w:p>
        </w:tc>
      </w:tr>
      <w:tr w:rsidR="005E1386" w:rsidRPr="006F2708" w14:paraId="158D377D" w14:textId="77777777" w:rsidTr="0042136E">
        <w:trPr>
          <w:trHeight w:val="1740"/>
        </w:trPr>
        <w:tc>
          <w:tcPr>
            <w:tcW w:w="2040" w:type="dxa"/>
            <w:gridSpan w:val="2"/>
            <w:tcBorders>
              <w:top w:val="nil"/>
              <w:left w:val="single" w:sz="4" w:space="0" w:color="auto"/>
              <w:bottom w:val="single" w:sz="4" w:space="0" w:color="000000"/>
              <w:right w:val="single" w:sz="4" w:space="0" w:color="000000"/>
            </w:tcBorders>
            <w:noWrap/>
          </w:tcPr>
          <w:p w14:paraId="42807DC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lastRenderedPageBreak/>
              <w:t>Dickinson et al. (2025)</w:t>
            </w:r>
            <w:r>
              <w:rPr>
                <w:rFonts w:ascii="Calibri" w:eastAsia="Times New Roman" w:hAnsi="Calibri" w:cs="Calibri"/>
                <w:color w:val="auto"/>
                <w:sz w:val="22"/>
                <w:szCs w:val="22"/>
                <w:vertAlign w:val="superscript"/>
                <w:lang w:val="en-GB" w:eastAsia="en-GB"/>
              </w:rPr>
              <w:t>ⴕ</w:t>
            </w:r>
          </w:p>
        </w:tc>
        <w:tc>
          <w:tcPr>
            <w:tcW w:w="1983" w:type="dxa"/>
            <w:gridSpan w:val="2"/>
            <w:tcBorders>
              <w:top w:val="nil"/>
              <w:left w:val="nil"/>
              <w:bottom w:val="single" w:sz="4" w:space="0" w:color="000000"/>
              <w:right w:val="single" w:sz="4" w:space="0" w:color="000000"/>
            </w:tcBorders>
          </w:tcPr>
          <w:p w14:paraId="5665437B" w14:textId="77777777" w:rsidR="005E1386" w:rsidRPr="00DD61F1"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Extreme Weather Events in the UK and</w:t>
            </w:r>
          </w:p>
          <w:p w14:paraId="05DAB4E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Resulting Public Health Outcomes</w:t>
            </w:r>
          </w:p>
        </w:tc>
        <w:tc>
          <w:tcPr>
            <w:tcW w:w="2551" w:type="dxa"/>
            <w:tcBorders>
              <w:top w:val="nil"/>
              <w:left w:val="nil"/>
              <w:bottom w:val="single" w:sz="4" w:space="0" w:color="000000"/>
              <w:right w:val="single" w:sz="4" w:space="0" w:color="000000"/>
            </w:tcBorders>
          </w:tcPr>
          <w:p w14:paraId="3259E47F" w14:textId="77777777" w:rsidR="005E1386" w:rsidRPr="00DD61F1"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To investigate the impacts of EWEs on the UK population, public</w:t>
            </w:r>
          </w:p>
          <w:p w14:paraId="3D9F9DE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 xml:space="preserve">health and </w:t>
            </w:r>
            <w:r>
              <w:rPr>
                <w:rFonts w:ascii="Calibri" w:eastAsia="Times New Roman" w:hAnsi="Calibri" w:cs="Calibri"/>
                <w:color w:val="auto"/>
                <w:sz w:val="22"/>
                <w:szCs w:val="22"/>
                <w:lang w:val="en-GB" w:eastAsia="en-GB"/>
              </w:rPr>
              <w:t>w</w:t>
            </w:r>
            <w:r w:rsidRPr="00DD61F1">
              <w:rPr>
                <w:rFonts w:ascii="Calibri" w:eastAsia="Times New Roman" w:hAnsi="Calibri" w:cs="Calibri"/>
                <w:color w:val="auto"/>
                <w:sz w:val="22"/>
                <w:szCs w:val="22"/>
                <w:lang w:val="en-GB" w:eastAsia="en-GB"/>
              </w:rPr>
              <w:t xml:space="preserve">ellbeing </w:t>
            </w:r>
            <w:r>
              <w:rPr>
                <w:rFonts w:ascii="Calibri" w:eastAsia="Times New Roman" w:hAnsi="Calibri" w:cs="Calibri"/>
                <w:color w:val="auto"/>
                <w:sz w:val="22"/>
                <w:szCs w:val="22"/>
                <w:lang w:val="en-GB" w:eastAsia="en-GB"/>
              </w:rPr>
              <w:t>o</w:t>
            </w:r>
            <w:r w:rsidRPr="00DD61F1">
              <w:rPr>
                <w:rFonts w:ascii="Calibri" w:eastAsia="Times New Roman" w:hAnsi="Calibri" w:cs="Calibri"/>
                <w:color w:val="auto"/>
                <w:sz w:val="22"/>
                <w:szCs w:val="22"/>
                <w:lang w:val="en-GB" w:eastAsia="en-GB"/>
              </w:rPr>
              <w:t>utcomes and evaluate through a health-economic lens</w:t>
            </w:r>
          </w:p>
        </w:tc>
        <w:tc>
          <w:tcPr>
            <w:tcW w:w="981" w:type="dxa"/>
            <w:tcBorders>
              <w:top w:val="nil"/>
              <w:left w:val="nil"/>
              <w:bottom w:val="single" w:sz="4" w:space="0" w:color="000000"/>
              <w:right w:val="single" w:sz="4" w:space="0" w:color="000000"/>
            </w:tcBorders>
          </w:tcPr>
          <w:p w14:paraId="2F7A5302"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48</w:t>
            </w:r>
          </w:p>
        </w:tc>
        <w:tc>
          <w:tcPr>
            <w:tcW w:w="1464" w:type="dxa"/>
            <w:tcBorders>
              <w:top w:val="nil"/>
              <w:left w:val="nil"/>
              <w:bottom w:val="single" w:sz="4" w:space="0" w:color="000000"/>
              <w:right w:val="single" w:sz="4" w:space="0" w:color="000000"/>
            </w:tcBorders>
          </w:tcPr>
          <w:p w14:paraId="02CF394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JBI critical appraisal tools</w:t>
            </w:r>
          </w:p>
        </w:tc>
        <w:tc>
          <w:tcPr>
            <w:tcW w:w="1565" w:type="dxa"/>
            <w:tcBorders>
              <w:top w:val="nil"/>
              <w:left w:val="nil"/>
              <w:bottom w:val="single" w:sz="4" w:space="0" w:color="000000"/>
              <w:right w:val="single" w:sz="4" w:space="0" w:color="000000"/>
            </w:tcBorders>
          </w:tcPr>
          <w:p w14:paraId="62D4886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United Kingdom</w:t>
            </w:r>
          </w:p>
        </w:tc>
        <w:tc>
          <w:tcPr>
            <w:tcW w:w="1658" w:type="dxa"/>
            <w:tcBorders>
              <w:top w:val="nil"/>
              <w:left w:val="nil"/>
              <w:bottom w:val="single" w:sz="4" w:space="0" w:color="000000"/>
              <w:right w:val="single" w:sz="4" w:space="0" w:color="auto"/>
            </w:tcBorders>
          </w:tcPr>
          <w:p w14:paraId="0E81685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Population affected by extreme weather events</w:t>
            </w:r>
          </w:p>
        </w:tc>
      </w:tr>
      <w:tr w:rsidR="005E1386" w:rsidRPr="003C62A7" w14:paraId="73067B42" w14:textId="77777777" w:rsidTr="0042136E">
        <w:trPr>
          <w:trHeight w:val="1740"/>
        </w:trPr>
        <w:tc>
          <w:tcPr>
            <w:tcW w:w="2040" w:type="dxa"/>
            <w:gridSpan w:val="2"/>
            <w:tcBorders>
              <w:top w:val="nil"/>
              <w:left w:val="single" w:sz="4" w:space="0" w:color="auto"/>
              <w:bottom w:val="single" w:sz="4" w:space="0" w:color="000000"/>
              <w:right w:val="single" w:sz="4" w:space="0" w:color="000000"/>
            </w:tcBorders>
            <w:noWrap/>
            <w:hideMark/>
          </w:tcPr>
          <w:p w14:paraId="6596746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Gupta et al. (2021)</w:t>
            </w:r>
          </w:p>
        </w:tc>
        <w:tc>
          <w:tcPr>
            <w:tcW w:w="1983" w:type="dxa"/>
            <w:gridSpan w:val="2"/>
            <w:tcBorders>
              <w:top w:val="nil"/>
              <w:left w:val="nil"/>
              <w:bottom w:val="single" w:sz="4" w:space="0" w:color="000000"/>
              <w:right w:val="single" w:sz="4" w:space="0" w:color="000000"/>
            </w:tcBorders>
            <w:hideMark/>
          </w:tcPr>
          <w:p w14:paraId="57FB690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Electric fans for reducing adverse health impacts in heatwaves (Review)</w:t>
            </w:r>
          </w:p>
        </w:tc>
        <w:tc>
          <w:tcPr>
            <w:tcW w:w="2551" w:type="dxa"/>
            <w:tcBorders>
              <w:top w:val="nil"/>
              <w:left w:val="nil"/>
              <w:bottom w:val="single" w:sz="4" w:space="0" w:color="000000"/>
              <w:right w:val="single" w:sz="4" w:space="0" w:color="000000"/>
            </w:tcBorders>
            <w:hideMark/>
          </w:tcPr>
          <w:p w14:paraId="62F92FC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determine whether the use of electric fans contributes to, or impedes, heat loss at high ambient temperatures during a heatwave, and to contribute to the evidence base for the public health impacts of heatwaves</w:t>
            </w:r>
          </w:p>
        </w:tc>
        <w:tc>
          <w:tcPr>
            <w:tcW w:w="981" w:type="dxa"/>
            <w:tcBorders>
              <w:top w:val="nil"/>
              <w:left w:val="nil"/>
              <w:bottom w:val="single" w:sz="4" w:space="0" w:color="000000"/>
              <w:right w:val="single" w:sz="4" w:space="0" w:color="000000"/>
            </w:tcBorders>
            <w:hideMark/>
          </w:tcPr>
          <w:p w14:paraId="0CAB816D"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0</w:t>
            </w:r>
          </w:p>
        </w:tc>
        <w:tc>
          <w:tcPr>
            <w:tcW w:w="1464" w:type="dxa"/>
            <w:tcBorders>
              <w:top w:val="nil"/>
              <w:left w:val="nil"/>
              <w:bottom w:val="single" w:sz="4" w:space="0" w:color="000000"/>
              <w:right w:val="single" w:sz="4" w:space="0" w:color="000000"/>
            </w:tcBorders>
            <w:hideMark/>
          </w:tcPr>
          <w:p w14:paraId="2A90DDA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Y</w:t>
            </w:r>
            <w:r w:rsidRPr="003C62A7">
              <w:rPr>
                <w:rFonts w:ascii="Calibri" w:eastAsia="Times New Roman" w:hAnsi="Calibri" w:cs="Calibri"/>
                <w:color w:val="auto"/>
                <w:sz w:val="22"/>
                <w:szCs w:val="22"/>
                <w:lang w:val="en-GB" w:eastAsia="en-GB"/>
              </w:rPr>
              <w:t>es, if there were studies included</w:t>
            </w:r>
          </w:p>
        </w:tc>
        <w:tc>
          <w:tcPr>
            <w:tcW w:w="1565" w:type="dxa"/>
            <w:tcBorders>
              <w:top w:val="nil"/>
              <w:left w:val="nil"/>
              <w:bottom w:val="single" w:sz="4" w:space="0" w:color="000000"/>
              <w:right w:val="single" w:sz="4" w:space="0" w:color="000000"/>
            </w:tcBorders>
            <w:hideMark/>
          </w:tcPr>
          <w:p w14:paraId="1295471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w:t>
            </w:r>
          </w:p>
        </w:tc>
        <w:tc>
          <w:tcPr>
            <w:tcW w:w="1658" w:type="dxa"/>
            <w:tcBorders>
              <w:top w:val="nil"/>
              <w:left w:val="nil"/>
              <w:bottom w:val="single" w:sz="4" w:space="0" w:color="000000"/>
              <w:right w:val="single" w:sz="4" w:space="0" w:color="auto"/>
            </w:tcBorders>
            <w:hideMark/>
          </w:tcPr>
          <w:p w14:paraId="03D3E50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3E7979B8" w14:textId="77777777" w:rsidTr="0042136E">
        <w:trPr>
          <w:trHeight w:val="2610"/>
        </w:trPr>
        <w:tc>
          <w:tcPr>
            <w:tcW w:w="2040" w:type="dxa"/>
            <w:gridSpan w:val="2"/>
            <w:tcBorders>
              <w:top w:val="nil"/>
              <w:left w:val="single" w:sz="4" w:space="0" w:color="auto"/>
              <w:bottom w:val="single" w:sz="4" w:space="0" w:color="000000"/>
              <w:right w:val="single" w:sz="4" w:space="0" w:color="000000"/>
            </w:tcBorders>
            <w:noWrap/>
            <w:hideMark/>
          </w:tcPr>
          <w:p w14:paraId="5AB38FE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Haghighi et al. (2021)</w:t>
            </w:r>
          </w:p>
        </w:tc>
        <w:tc>
          <w:tcPr>
            <w:tcW w:w="1983" w:type="dxa"/>
            <w:gridSpan w:val="2"/>
            <w:tcBorders>
              <w:top w:val="nil"/>
              <w:left w:val="nil"/>
              <w:bottom w:val="single" w:sz="4" w:space="0" w:color="000000"/>
              <w:right w:val="single" w:sz="4" w:space="0" w:color="000000"/>
            </w:tcBorders>
            <w:hideMark/>
          </w:tcPr>
          <w:p w14:paraId="35A3A32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Impacts of high environmental temperatures on congenital anomalies: A systematic review</w:t>
            </w:r>
          </w:p>
        </w:tc>
        <w:tc>
          <w:tcPr>
            <w:tcW w:w="2551" w:type="dxa"/>
            <w:tcBorders>
              <w:top w:val="nil"/>
              <w:left w:val="nil"/>
              <w:bottom w:val="single" w:sz="4" w:space="0" w:color="000000"/>
              <w:right w:val="single" w:sz="4" w:space="0" w:color="000000"/>
            </w:tcBorders>
            <w:hideMark/>
          </w:tcPr>
          <w:p w14:paraId="61B6BEA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review evidence of associations between heat exposure (ambient or environmental) and the incidence of congenital anomalies</w:t>
            </w:r>
          </w:p>
        </w:tc>
        <w:tc>
          <w:tcPr>
            <w:tcW w:w="981" w:type="dxa"/>
            <w:tcBorders>
              <w:top w:val="nil"/>
              <w:left w:val="nil"/>
              <w:bottom w:val="single" w:sz="4" w:space="0" w:color="000000"/>
              <w:right w:val="single" w:sz="4" w:space="0" w:color="000000"/>
            </w:tcBorders>
            <w:hideMark/>
          </w:tcPr>
          <w:p w14:paraId="3ABDAC78"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13</w:t>
            </w:r>
          </w:p>
        </w:tc>
        <w:tc>
          <w:tcPr>
            <w:tcW w:w="1464" w:type="dxa"/>
            <w:tcBorders>
              <w:top w:val="nil"/>
              <w:left w:val="nil"/>
              <w:bottom w:val="single" w:sz="4" w:space="0" w:color="000000"/>
              <w:right w:val="single" w:sz="4" w:space="0" w:color="000000"/>
            </w:tcBorders>
            <w:hideMark/>
          </w:tcPr>
          <w:p w14:paraId="198E453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No, but highlighted particular concerns around study quality as relevant</w:t>
            </w:r>
          </w:p>
        </w:tc>
        <w:tc>
          <w:tcPr>
            <w:tcW w:w="1565" w:type="dxa"/>
            <w:tcBorders>
              <w:top w:val="nil"/>
              <w:left w:val="nil"/>
              <w:bottom w:val="single" w:sz="4" w:space="0" w:color="000000"/>
              <w:right w:val="single" w:sz="4" w:space="0" w:color="000000"/>
            </w:tcBorders>
            <w:hideMark/>
          </w:tcPr>
          <w:p w14:paraId="0202561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 included studies from the United States, Asia and the Middle East, Canada and Europe</w:t>
            </w:r>
          </w:p>
        </w:tc>
        <w:tc>
          <w:tcPr>
            <w:tcW w:w="1658" w:type="dxa"/>
            <w:tcBorders>
              <w:top w:val="nil"/>
              <w:left w:val="nil"/>
              <w:bottom w:val="single" w:sz="4" w:space="0" w:color="000000"/>
              <w:right w:val="single" w:sz="4" w:space="0" w:color="auto"/>
            </w:tcBorders>
            <w:hideMark/>
          </w:tcPr>
          <w:p w14:paraId="2EAD03D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F</w:t>
            </w:r>
            <w:r w:rsidRPr="003C62A7">
              <w:rPr>
                <w:rFonts w:ascii="Calibri" w:eastAsia="Times New Roman" w:hAnsi="Calibri" w:cs="Calibri"/>
                <w:color w:val="auto"/>
                <w:sz w:val="22"/>
                <w:szCs w:val="22"/>
                <w:lang w:val="en-GB" w:eastAsia="en-GB"/>
              </w:rPr>
              <w:t>oetuses and embryos</w:t>
            </w:r>
          </w:p>
        </w:tc>
      </w:tr>
      <w:tr w:rsidR="005E1386" w:rsidRPr="003C62A7" w14:paraId="21D4E5A5" w14:textId="77777777" w:rsidTr="0042136E">
        <w:trPr>
          <w:trHeight w:val="3190"/>
        </w:trPr>
        <w:tc>
          <w:tcPr>
            <w:tcW w:w="2040" w:type="dxa"/>
            <w:gridSpan w:val="2"/>
            <w:tcBorders>
              <w:top w:val="nil"/>
              <w:left w:val="single" w:sz="4" w:space="0" w:color="auto"/>
              <w:bottom w:val="single" w:sz="4" w:space="0" w:color="000000"/>
              <w:right w:val="single" w:sz="4" w:space="0" w:color="000000"/>
            </w:tcBorders>
            <w:noWrap/>
            <w:hideMark/>
          </w:tcPr>
          <w:p w14:paraId="553F692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Hedlund et al. (2014)</w:t>
            </w:r>
          </w:p>
        </w:tc>
        <w:tc>
          <w:tcPr>
            <w:tcW w:w="1983" w:type="dxa"/>
            <w:gridSpan w:val="2"/>
            <w:tcBorders>
              <w:top w:val="nil"/>
              <w:left w:val="nil"/>
              <w:bottom w:val="single" w:sz="4" w:space="0" w:color="000000"/>
              <w:right w:val="single" w:sz="4" w:space="0" w:color="000000"/>
            </w:tcBorders>
            <w:hideMark/>
          </w:tcPr>
          <w:p w14:paraId="7CB2BB4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Association of climatic factors with infectious diseases in the Arctic and Subarctic region – A systematic review</w:t>
            </w:r>
          </w:p>
        </w:tc>
        <w:tc>
          <w:tcPr>
            <w:tcW w:w="2551" w:type="dxa"/>
            <w:tcBorders>
              <w:top w:val="nil"/>
              <w:left w:val="nil"/>
              <w:bottom w:val="single" w:sz="4" w:space="0" w:color="000000"/>
              <w:right w:val="single" w:sz="4" w:space="0" w:color="000000"/>
            </w:tcBorders>
            <w:hideMark/>
          </w:tcPr>
          <w:p w14:paraId="6FC8CF5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investigate the evidence for an association between climatic factors and infectious diseases, and to identify the most climate-sensitive diseases and vulnerable populations in the Arctic and subarctic region</w:t>
            </w:r>
          </w:p>
        </w:tc>
        <w:tc>
          <w:tcPr>
            <w:tcW w:w="981" w:type="dxa"/>
            <w:tcBorders>
              <w:top w:val="nil"/>
              <w:left w:val="nil"/>
              <w:bottom w:val="single" w:sz="4" w:space="0" w:color="000000"/>
              <w:right w:val="single" w:sz="4" w:space="0" w:color="000000"/>
            </w:tcBorders>
            <w:hideMark/>
          </w:tcPr>
          <w:p w14:paraId="05C73060"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29</w:t>
            </w:r>
          </w:p>
        </w:tc>
        <w:tc>
          <w:tcPr>
            <w:tcW w:w="1464" w:type="dxa"/>
            <w:tcBorders>
              <w:top w:val="nil"/>
              <w:left w:val="nil"/>
              <w:bottom w:val="single" w:sz="4" w:space="0" w:color="000000"/>
              <w:right w:val="single" w:sz="4" w:space="0" w:color="000000"/>
            </w:tcBorders>
            <w:hideMark/>
          </w:tcPr>
          <w:p w14:paraId="4597786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SIGN methodology checklist</w:t>
            </w:r>
          </w:p>
        </w:tc>
        <w:tc>
          <w:tcPr>
            <w:tcW w:w="1565" w:type="dxa"/>
            <w:tcBorders>
              <w:top w:val="nil"/>
              <w:left w:val="nil"/>
              <w:bottom w:val="single" w:sz="4" w:space="0" w:color="000000"/>
              <w:right w:val="single" w:sz="4" w:space="0" w:color="000000"/>
            </w:tcBorders>
            <w:hideMark/>
          </w:tcPr>
          <w:p w14:paraId="5EF3546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Arctic and subarctic region (Canada, Greenland, Iceland, Norway, Sweden, Finland, Alaska and the northern parts of Russia); included studies from Canada, Alaska, Sweden, Finland, Norway and Russia</w:t>
            </w:r>
          </w:p>
        </w:tc>
        <w:tc>
          <w:tcPr>
            <w:tcW w:w="1658" w:type="dxa"/>
            <w:tcBorders>
              <w:top w:val="nil"/>
              <w:left w:val="nil"/>
              <w:bottom w:val="single" w:sz="4" w:space="0" w:color="000000"/>
              <w:right w:val="single" w:sz="4" w:space="0" w:color="auto"/>
            </w:tcBorders>
            <w:hideMark/>
          </w:tcPr>
          <w:p w14:paraId="37FA8BE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228CB759" w14:textId="77777777" w:rsidTr="0042136E">
        <w:trPr>
          <w:trHeight w:val="1266"/>
        </w:trPr>
        <w:tc>
          <w:tcPr>
            <w:tcW w:w="2040" w:type="dxa"/>
            <w:gridSpan w:val="2"/>
            <w:tcBorders>
              <w:top w:val="nil"/>
              <w:left w:val="single" w:sz="4" w:space="0" w:color="auto"/>
              <w:bottom w:val="single" w:sz="4" w:space="0" w:color="000000"/>
              <w:right w:val="single" w:sz="4" w:space="0" w:color="000000"/>
            </w:tcBorders>
            <w:noWrap/>
            <w:hideMark/>
          </w:tcPr>
          <w:p w14:paraId="7F7AB98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Levi et al. (2018)</w:t>
            </w:r>
          </w:p>
        </w:tc>
        <w:tc>
          <w:tcPr>
            <w:tcW w:w="1983" w:type="dxa"/>
            <w:gridSpan w:val="2"/>
            <w:tcBorders>
              <w:top w:val="nil"/>
              <w:left w:val="nil"/>
              <w:bottom w:val="single" w:sz="4" w:space="0" w:color="000000"/>
              <w:right w:val="single" w:sz="4" w:space="0" w:color="000000"/>
            </w:tcBorders>
            <w:hideMark/>
          </w:tcPr>
          <w:p w14:paraId="222CD1B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Impact of climate change on occupational health and productivity: A systematic literature review focusing on workplace heat</w:t>
            </w:r>
          </w:p>
        </w:tc>
        <w:tc>
          <w:tcPr>
            <w:tcW w:w="2551" w:type="dxa"/>
            <w:tcBorders>
              <w:top w:val="nil"/>
              <w:left w:val="nil"/>
              <w:bottom w:val="single" w:sz="4" w:space="0" w:color="000000"/>
              <w:right w:val="single" w:sz="4" w:space="0" w:color="000000"/>
            </w:tcBorders>
            <w:hideMark/>
          </w:tcPr>
          <w:p w14:paraId="2C76AA4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summarize the epidemiological evidence of the effects of climate change, with a special focus on high temperatures and heat waves, on workers’ health and productivity, in order to better inform health policies in the EU and beyond</w:t>
            </w:r>
          </w:p>
        </w:tc>
        <w:tc>
          <w:tcPr>
            <w:tcW w:w="981" w:type="dxa"/>
            <w:tcBorders>
              <w:top w:val="nil"/>
              <w:left w:val="nil"/>
              <w:bottom w:val="single" w:sz="4" w:space="0" w:color="000000"/>
              <w:right w:val="single" w:sz="4" w:space="0" w:color="000000"/>
            </w:tcBorders>
            <w:hideMark/>
          </w:tcPr>
          <w:p w14:paraId="5F705517"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36</w:t>
            </w:r>
          </w:p>
        </w:tc>
        <w:tc>
          <w:tcPr>
            <w:tcW w:w="1464" w:type="dxa"/>
            <w:tcBorders>
              <w:top w:val="nil"/>
              <w:left w:val="nil"/>
              <w:bottom w:val="single" w:sz="4" w:space="0" w:color="000000"/>
              <w:right w:val="single" w:sz="4" w:space="0" w:color="000000"/>
            </w:tcBorders>
            <w:hideMark/>
          </w:tcPr>
          <w:p w14:paraId="737D3CA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268BCE3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 included studies from North America, Asia, Australia/New Zealand, Central America and Europe</w:t>
            </w:r>
          </w:p>
        </w:tc>
        <w:tc>
          <w:tcPr>
            <w:tcW w:w="1658" w:type="dxa"/>
            <w:tcBorders>
              <w:top w:val="nil"/>
              <w:left w:val="nil"/>
              <w:bottom w:val="single" w:sz="4" w:space="0" w:color="000000"/>
              <w:right w:val="single" w:sz="4" w:space="0" w:color="auto"/>
            </w:tcBorders>
            <w:hideMark/>
          </w:tcPr>
          <w:p w14:paraId="5C72289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orkers</w:t>
            </w:r>
          </w:p>
        </w:tc>
      </w:tr>
      <w:tr w:rsidR="005E1386" w:rsidRPr="002D01BB" w14:paraId="296F4AD4" w14:textId="77777777" w:rsidTr="0042136E">
        <w:trPr>
          <w:trHeight w:val="699"/>
        </w:trPr>
        <w:tc>
          <w:tcPr>
            <w:tcW w:w="2040" w:type="dxa"/>
            <w:gridSpan w:val="2"/>
            <w:tcBorders>
              <w:top w:val="nil"/>
              <w:left w:val="single" w:sz="4" w:space="0" w:color="auto"/>
              <w:bottom w:val="single" w:sz="4" w:space="0" w:color="000000"/>
              <w:right w:val="single" w:sz="4" w:space="0" w:color="000000"/>
            </w:tcBorders>
            <w:noWrap/>
          </w:tcPr>
          <w:p w14:paraId="0B62A08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lastRenderedPageBreak/>
              <w:t>Pantavou et al. (2025)</w:t>
            </w:r>
            <w:r>
              <w:rPr>
                <w:rFonts w:ascii="Calibri" w:eastAsia="Times New Roman" w:hAnsi="Calibri" w:cs="Calibri"/>
                <w:color w:val="auto"/>
                <w:sz w:val="22"/>
                <w:szCs w:val="22"/>
                <w:vertAlign w:val="superscript"/>
                <w:lang w:val="en-GB" w:eastAsia="en-GB"/>
              </w:rPr>
              <w:t>ⴕ</w:t>
            </w:r>
          </w:p>
        </w:tc>
        <w:tc>
          <w:tcPr>
            <w:tcW w:w="1983" w:type="dxa"/>
            <w:gridSpan w:val="2"/>
            <w:tcBorders>
              <w:top w:val="nil"/>
              <w:left w:val="nil"/>
              <w:bottom w:val="single" w:sz="4" w:space="0" w:color="000000"/>
              <w:right w:val="single" w:sz="4" w:space="0" w:color="000000"/>
            </w:tcBorders>
          </w:tcPr>
          <w:p w14:paraId="61B55B0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Thermal indices for evaluating the impact of thermal conditions on human health: a systematic review</w:t>
            </w:r>
          </w:p>
        </w:tc>
        <w:tc>
          <w:tcPr>
            <w:tcW w:w="2551" w:type="dxa"/>
            <w:tcBorders>
              <w:top w:val="nil"/>
              <w:left w:val="nil"/>
              <w:bottom w:val="single" w:sz="4" w:space="0" w:color="000000"/>
              <w:right w:val="single" w:sz="4" w:space="0" w:color="000000"/>
            </w:tcBorders>
          </w:tcPr>
          <w:p w14:paraId="0571B1F3" w14:textId="77777777" w:rsidR="005E1386" w:rsidRPr="003C62A7" w:rsidDel="00DD61F1" w:rsidRDefault="005E1386" w:rsidP="0042136E">
            <w:pPr>
              <w:spacing w:before="0" w:after="0" w:line="240" w:lineRule="auto"/>
              <w:rPr>
                <w:rFonts w:ascii="Calibri" w:eastAsia="Times New Roman" w:hAnsi="Calibri" w:cs="Calibri"/>
                <w:color w:val="auto"/>
                <w:sz w:val="22"/>
                <w:szCs w:val="22"/>
                <w:lang w:val="en-GB" w:eastAsia="en-GB"/>
              </w:rPr>
            </w:pPr>
            <w:r w:rsidRPr="00DD61F1">
              <w:rPr>
                <w:rFonts w:ascii="Calibri" w:eastAsia="Times New Roman" w:hAnsi="Calibri" w:cs="Calibri"/>
                <w:color w:val="auto"/>
                <w:sz w:val="22"/>
                <w:szCs w:val="22"/>
                <w:lang w:val="en-GB" w:eastAsia="en-GB"/>
              </w:rPr>
              <w:t xml:space="preserve">The aim of this paper is to summarize the existing evidence on the statistical relationship, (i.e., association) between thermal indices and human health. This will help identify the most commonly used indices, thereby contributing to the standardization of information and facilitating easier comparison of results. Moreover, this review aims to popularize the use of thermal indices among medical scientists, public health professionals, epidemiologists, and </w:t>
            </w:r>
            <w:r>
              <w:rPr>
                <w:rFonts w:ascii="Calibri" w:eastAsia="Times New Roman" w:hAnsi="Calibri" w:cs="Calibri"/>
                <w:color w:val="auto"/>
                <w:sz w:val="22"/>
                <w:szCs w:val="22"/>
                <w:lang w:val="en-GB" w:eastAsia="en-GB"/>
              </w:rPr>
              <w:t>p</w:t>
            </w:r>
            <w:r w:rsidRPr="00DD61F1">
              <w:rPr>
                <w:rFonts w:ascii="Calibri" w:eastAsia="Times New Roman" w:hAnsi="Calibri" w:cs="Calibri"/>
                <w:color w:val="auto"/>
                <w:sz w:val="22"/>
                <w:szCs w:val="22"/>
                <w:lang w:val="en-GB" w:eastAsia="en-GB"/>
              </w:rPr>
              <w:t>olicymakers. It will also examine which diseases have been studied in relation to thermal indices, aiming to consolidate this information and highlight gaps in the application of thermal indices in medical and public health research</w:t>
            </w:r>
          </w:p>
        </w:tc>
        <w:tc>
          <w:tcPr>
            <w:tcW w:w="981" w:type="dxa"/>
            <w:tcBorders>
              <w:top w:val="nil"/>
              <w:left w:val="nil"/>
              <w:bottom w:val="single" w:sz="4" w:space="0" w:color="000000"/>
              <w:right w:val="single" w:sz="4" w:space="0" w:color="000000"/>
            </w:tcBorders>
          </w:tcPr>
          <w:p w14:paraId="75C476AA"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310</w:t>
            </w:r>
          </w:p>
        </w:tc>
        <w:tc>
          <w:tcPr>
            <w:tcW w:w="1464" w:type="dxa"/>
            <w:tcBorders>
              <w:top w:val="nil"/>
              <w:left w:val="nil"/>
              <w:bottom w:val="single" w:sz="4" w:space="0" w:color="000000"/>
              <w:right w:val="single" w:sz="4" w:space="0" w:color="000000"/>
            </w:tcBorders>
          </w:tcPr>
          <w:p w14:paraId="0D094B3A" w14:textId="77777777" w:rsidR="005E1386" w:rsidRPr="004F13DA" w:rsidRDefault="005E1386" w:rsidP="0042136E">
            <w:pPr>
              <w:rPr>
                <w:rFonts w:ascii="Calibri" w:eastAsia="Times New Roman" w:hAnsi="Calibri" w:cs="Calibri"/>
                <w:sz w:val="22"/>
                <w:szCs w:val="22"/>
                <w:lang w:val="en-GB" w:eastAsia="en-GB"/>
              </w:rPr>
            </w:pPr>
            <w:r w:rsidRPr="00DD61F1">
              <w:rPr>
                <w:rFonts w:ascii="Calibri" w:eastAsia="Times New Roman" w:hAnsi="Calibri" w:cs="Calibri"/>
                <w:sz w:val="22"/>
                <w:szCs w:val="22"/>
                <w:lang w:val="en-GB" w:eastAsia="en-GB"/>
              </w:rPr>
              <w:t>United States National Institutes of Health (NIH) Quality Assessment Tool for Observational Cohort and Cross-Sectional Studies</w:t>
            </w:r>
          </w:p>
        </w:tc>
        <w:tc>
          <w:tcPr>
            <w:tcW w:w="1565" w:type="dxa"/>
            <w:tcBorders>
              <w:top w:val="nil"/>
              <w:left w:val="nil"/>
              <w:bottom w:val="single" w:sz="4" w:space="0" w:color="000000"/>
              <w:right w:val="single" w:sz="4" w:space="0" w:color="000000"/>
            </w:tcBorders>
          </w:tcPr>
          <w:p w14:paraId="3897A01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nil"/>
              <w:left w:val="nil"/>
              <w:bottom w:val="single" w:sz="4" w:space="0" w:color="000000"/>
              <w:right w:val="single" w:sz="4" w:space="0" w:color="auto"/>
            </w:tcBorders>
          </w:tcPr>
          <w:p w14:paraId="2BE5C97B" w14:textId="77777777" w:rsidR="005E1386"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General population</w:t>
            </w:r>
          </w:p>
        </w:tc>
      </w:tr>
      <w:tr w:rsidR="005E1386" w:rsidRPr="003C62A7" w14:paraId="26FC24D9" w14:textId="77777777" w:rsidTr="0042136E">
        <w:trPr>
          <w:trHeight w:val="2900"/>
        </w:trPr>
        <w:tc>
          <w:tcPr>
            <w:tcW w:w="2040" w:type="dxa"/>
            <w:gridSpan w:val="2"/>
            <w:tcBorders>
              <w:top w:val="nil"/>
              <w:left w:val="single" w:sz="4" w:space="0" w:color="auto"/>
              <w:bottom w:val="single" w:sz="4" w:space="0" w:color="000000"/>
              <w:right w:val="single" w:sz="4" w:space="0" w:color="000000"/>
            </w:tcBorders>
            <w:noWrap/>
            <w:hideMark/>
          </w:tcPr>
          <w:p w14:paraId="2D96640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Weilnhammer et al. (2021)</w:t>
            </w:r>
          </w:p>
        </w:tc>
        <w:tc>
          <w:tcPr>
            <w:tcW w:w="1983" w:type="dxa"/>
            <w:gridSpan w:val="2"/>
            <w:tcBorders>
              <w:top w:val="nil"/>
              <w:left w:val="nil"/>
              <w:bottom w:val="single" w:sz="4" w:space="0" w:color="000000"/>
              <w:right w:val="single" w:sz="4" w:space="0" w:color="000000"/>
            </w:tcBorders>
            <w:hideMark/>
          </w:tcPr>
          <w:p w14:paraId="7D87750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Extreme weather events in Europe and their health consequences – A systematic review</w:t>
            </w:r>
          </w:p>
        </w:tc>
        <w:tc>
          <w:tcPr>
            <w:tcW w:w="2551" w:type="dxa"/>
            <w:tcBorders>
              <w:top w:val="nil"/>
              <w:left w:val="nil"/>
              <w:bottom w:val="single" w:sz="4" w:space="0" w:color="000000"/>
              <w:right w:val="single" w:sz="4" w:space="0" w:color="000000"/>
            </w:tcBorders>
            <w:hideMark/>
          </w:tcPr>
          <w:p w14:paraId="50A127E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assess the current literature about the association between these extreme weather events and their impact on the health of the European population</w:t>
            </w:r>
          </w:p>
        </w:tc>
        <w:tc>
          <w:tcPr>
            <w:tcW w:w="981" w:type="dxa"/>
            <w:tcBorders>
              <w:top w:val="nil"/>
              <w:left w:val="nil"/>
              <w:bottom w:val="single" w:sz="4" w:space="0" w:color="000000"/>
              <w:right w:val="single" w:sz="4" w:space="0" w:color="000000"/>
            </w:tcBorders>
            <w:hideMark/>
          </w:tcPr>
          <w:p w14:paraId="518539D0"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35</w:t>
            </w:r>
          </w:p>
        </w:tc>
        <w:tc>
          <w:tcPr>
            <w:tcW w:w="1464" w:type="dxa"/>
            <w:tcBorders>
              <w:top w:val="nil"/>
              <w:left w:val="nil"/>
              <w:bottom w:val="single" w:sz="4" w:space="0" w:color="000000"/>
              <w:right w:val="single" w:sz="4" w:space="0" w:color="000000"/>
            </w:tcBorders>
            <w:hideMark/>
          </w:tcPr>
          <w:p w14:paraId="7F07B96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NICE quality appraisal checklist</w:t>
            </w:r>
          </w:p>
        </w:tc>
        <w:tc>
          <w:tcPr>
            <w:tcW w:w="1565" w:type="dxa"/>
            <w:tcBorders>
              <w:top w:val="nil"/>
              <w:left w:val="nil"/>
              <w:bottom w:val="single" w:sz="4" w:space="0" w:color="000000"/>
              <w:right w:val="single" w:sz="4" w:space="0" w:color="000000"/>
            </w:tcBorders>
            <w:hideMark/>
          </w:tcPr>
          <w:p w14:paraId="666174C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Europe; included studies from Czech Republic, Finland, France, Germany, Greece, Hungary, Ireland, Italy, Netherlands, Portugal, Russia, Spain, Sweden and UK</w:t>
            </w:r>
          </w:p>
        </w:tc>
        <w:tc>
          <w:tcPr>
            <w:tcW w:w="1658" w:type="dxa"/>
            <w:tcBorders>
              <w:top w:val="nil"/>
              <w:left w:val="nil"/>
              <w:bottom w:val="single" w:sz="4" w:space="0" w:color="000000"/>
              <w:right w:val="single" w:sz="4" w:space="0" w:color="auto"/>
            </w:tcBorders>
            <w:hideMark/>
          </w:tcPr>
          <w:p w14:paraId="43C9923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538414C7" w14:textId="77777777" w:rsidTr="0042136E">
        <w:trPr>
          <w:trHeight w:val="330"/>
        </w:trPr>
        <w:tc>
          <w:tcPr>
            <w:tcW w:w="12242" w:type="dxa"/>
            <w:gridSpan w:val="9"/>
            <w:tcBorders>
              <w:top w:val="single" w:sz="4" w:space="0" w:color="000000"/>
              <w:left w:val="single" w:sz="4" w:space="0" w:color="auto"/>
              <w:bottom w:val="single" w:sz="4" w:space="0" w:color="000000"/>
              <w:right w:val="single" w:sz="4" w:space="0" w:color="000000"/>
            </w:tcBorders>
            <w:shd w:val="clear" w:color="E7E6E6" w:fill="E7E6E6"/>
            <w:noWrap/>
            <w:hideMark/>
          </w:tcPr>
          <w:p w14:paraId="321E67E2" w14:textId="77777777" w:rsidR="005E1386" w:rsidRPr="003C62A7" w:rsidRDefault="005E1386" w:rsidP="0042136E">
            <w:pPr>
              <w:spacing w:before="0" w:after="0" w:line="240" w:lineRule="auto"/>
              <w:jc w:val="center"/>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Scoping Review</w:t>
            </w:r>
          </w:p>
        </w:tc>
      </w:tr>
      <w:tr w:rsidR="005E1386" w:rsidRPr="003C62A7" w14:paraId="4D45E67F" w14:textId="77777777" w:rsidTr="0042136E">
        <w:trPr>
          <w:trHeight w:val="2320"/>
        </w:trPr>
        <w:tc>
          <w:tcPr>
            <w:tcW w:w="2256" w:type="dxa"/>
            <w:gridSpan w:val="3"/>
            <w:tcBorders>
              <w:top w:val="nil"/>
              <w:left w:val="single" w:sz="4" w:space="0" w:color="auto"/>
              <w:bottom w:val="single" w:sz="4" w:space="0" w:color="000000"/>
              <w:right w:val="single" w:sz="4" w:space="0" w:color="000000"/>
            </w:tcBorders>
            <w:noWrap/>
            <w:hideMark/>
          </w:tcPr>
          <w:p w14:paraId="0D1E01A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Cicci et al. (2022)</w:t>
            </w:r>
          </w:p>
        </w:tc>
        <w:tc>
          <w:tcPr>
            <w:tcW w:w="1767" w:type="dxa"/>
            <w:tcBorders>
              <w:top w:val="nil"/>
              <w:left w:val="nil"/>
              <w:bottom w:val="single" w:sz="4" w:space="0" w:color="000000"/>
              <w:right w:val="single" w:sz="4" w:space="0" w:color="000000"/>
            </w:tcBorders>
            <w:hideMark/>
          </w:tcPr>
          <w:p w14:paraId="5332BBC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High temperatures and cardiovascular-related morbidity: A scoping review</w:t>
            </w:r>
          </w:p>
        </w:tc>
        <w:tc>
          <w:tcPr>
            <w:tcW w:w="2551" w:type="dxa"/>
            <w:tcBorders>
              <w:top w:val="nil"/>
              <w:left w:val="nil"/>
              <w:bottom w:val="single" w:sz="4" w:space="0" w:color="000000"/>
              <w:right w:val="single" w:sz="4" w:space="0" w:color="000000"/>
            </w:tcBorders>
            <w:hideMark/>
          </w:tcPr>
          <w:p w14:paraId="5C59FBF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synthesize studies assessing the relationships between high temperatures and cardiovascular disease (CVD)-related hospital encounters (i.e., emergency department (ED) visits or hospitalizations) in urban Canada and other comparable populations, and to identify areas for future research</w:t>
            </w:r>
          </w:p>
        </w:tc>
        <w:tc>
          <w:tcPr>
            <w:tcW w:w="981" w:type="dxa"/>
            <w:tcBorders>
              <w:top w:val="nil"/>
              <w:left w:val="nil"/>
              <w:bottom w:val="single" w:sz="4" w:space="0" w:color="000000"/>
              <w:right w:val="single" w:sz="4" w:space="0" w:color="000000"/>
            </w:tcBorders>
            <w:hideMark/>
          </w:tcPr>
          <w:p w14:paraId="0324CBB7"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22</w:t>
            </w:r>
          </w:p>
        </w:tc>
        <w:tc>
          <w:tcPr>
            <w:tcW w:w="1464" w:type="dxa"/>
            <w:tcBorders>
              <w:top w:val="nil"/>
              <w:left w:val="nil"/>
              <w:bottom w:val="single" w:sz="4" w:space="0" w:color="000000"/>
              <w:right w:val="single" w:sz="4" w:space="0" w:color="000000"/>
            </w:tcBorders>
            <w:hideMark/>
          </w:tcPr>
          <w:p w14:paraId="35A7E4C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0501649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North America and Europe</w:t>
            </w:r>
          </w:p>
        </w:tc>
        <w:tc>
          <w:tcPr>
            <w:tcW w:w="1658" w:type="dxa"/>
            <w:tcBorders>
              <w:top w:val="nil"/>
              <w:left w:val="nil"/>
              <w:bottom w:val="single" w:sz="4" w:space="0" w:color="000000"/>
              <w:right w:val="single" w:sz="4" w:space="0" w:color="auto"/>
            </w:tcBorders>
            <w:hideMark/>
          </w:tcPr>
          <w:p w14:paraId="217CD6B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2D01BB" w14:paraId="28CD6876" w14:textId="77777777" w:rsidTr="0042136E">
        <w:trPr>
          <w:trHeight w:val="2320"/>
        </w:trPr>
        <w:tc>
          <w:tcPr>
            <w:tcW w:w="2256" w:type="dxa"/>
            <w:gridSpan w:val="3"/>
            <w:tcBorders>
              <w:top w:val="nil"/>
              <w:left w:val="single" w:sz="4" w:space="0" w:color="auto"/>
              <w:bottom w:val="single" w:sz="4" w:space="0" w:color="000000"/>
              <w:right w:val="single" w:sz="4" w:space="0" w:color="000000"/>
            </w:tcBorders>
            <w:noWrap/>
          </w:tcPr>
          <w:p w14:paraId="0DA882F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lastRenderedPageBreak/>
              <w:t>Edwards et al. (2025)</w:t>
            </w:r>
            <w:r>
              <w:rPr>
                <w:rFonts w:ascii="Calibri" w:eastAsia="Times New Roman" w:hAnsi="Calibri" w:cs="Calibri"/>
                <w:color w:val="auto"/>
                <w:sz w:val="22"/>
                <w:szCs w:val="22"/>
                <w:vertAlign w:val="superscript"/>
                <w:lang w:val="en-GB" w:eastAsia="en-GB"/>
              </w:rPr>
              <w:t>ⴕ</w:t>
            </w:r>
          </w:p>
        </w:tc>
        <w:tc>
          <w:tcPr>
            <w:tcW w:w="1767" w:type="dxa"/>
            <w:tcBorders>
              <w:top w:val="nil"/>
              <w:left w:val="nil"/>
              <w:bottom w:val="single" w:sz="4" w:space="0" w:color="000000"/>
              <w:right w:val="single" w:sz="4" w:space="0" w:color="000000"/>
            </w:tcBorders>
          </w:tcPr>
          <w:p w14:paraId="14B3DAC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Residential indoor temperatures and health: A scoping review of</w:t>
            </w:r>
            <w:r>
              <w:rPr>
                <w:rFonts w:ascii="Calibri" w:eastAsia="Times New Roman" w:hAnsi="Calibri" w:cs="Calibri"/>
                <w:color w:val="auto"/>
                <w:sz w:val="22"/>
                <w:szCs w:val="22"/>
                <w:lang w:val="en-GB" w:eastAsia="en-GB"/>
              </w:rPr>
              <w:t xml:space="preserve"> </w:t>
            </w:r>
            <w:r w:rsidRPr="006A123E">
              <w:rPr>
                <w:rFonts w:ascii="Calibri" w:eastAsia="Times New Roman" w:hAnsi="Calibri" w:cs="Calibri"/>
                <w:color w:val="auto"/>
                <w:sz w:val="22"/>
                <w:szCs w:val="22"/>
                <w:lang w:val="en-GB" w:eastAsia="en-GB"/>
              </w:rPr>
              <w:t>observational studies</w:t>
            </w:r>
          </w:p>
        </w:tc>
        <w:tc>
          <w:tcPr>
            <w:tcW w:w="2551" w:type="dxa"/>
            <w:tcBorders>
              <w:top w:val="nil"/>
              <w:left w:val="nil"/>
              <w:bottom w:val="single" w:sz="4" w:space="0" w:color="000000"/>
              <w:right w:val="single" w:sz="4" w:space="0" w:color="000000"/>
            </w:tcBorders>
          </w:tcPr>
          <w:p w14:paraId="52DCB080" w14:textId="77777777" w:rsidR="005E1386" w:rsidRPr="003C62A7" w:rsidDel="004A15F7"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The objective of this review was to identify peer-reviewed studies of</w:t>
            </w:r>
            <w:r>
              <w:rPr>
                <w:rFonts w:ascii="Calibri" w:eastAsia="Times New Roman" w:hAnsi="Calibri" w:cs="Calibri"/>
                <w:color w:val="auto"/>
                <w:sz w:val="22"/>
                <w:szCs w:val="22"/>
                <w:lang w:val="en-GB" w:eastAsia="en-GB"/>
              </w:rPr>
              <w:t xml:space="preserve"> </w:t>
            </w:r>
            <w:r w:rsidRPr="006A123E">
              <w:rPr>
                <w:rFonts w:ascii="Calibri" w:eastAsia="Times New Roman" w:hAnsi="Calibri" w:cs="Calibri"/>
                <w:color w:val="auto"/>
                <w:sz w:val="22"/>
                <w:szCs w:val="22"/>
                <w:lang w:val="en-GB" w:eastAsia="en-GB"/>
              </w:rPr>
              <w:t>associations of warm indoor temperatures with mortality/morbidity</w:t>
            </w:r>
            <w:r>
              <w:rPr>
                <w:rFonts w:ascii="Calibri" w:eastAsia="Times New Roman" w:hAnsi="Calibri" w:cs="Calibri"/>
                <w:color w:val="auto"/>
                <w:sz w:val="22"/>
                <w:szCs w:val="22"/>
                <w:lang w:val="en-GB" w:eastAsia="en-GB"/>
              </w:rPr>
              <w:t xml:space="preserve"> </w:t>
            </w:r>
            <w:r w:rsidRPr="006A123E">
              <w:rPr>
                <w:rFonts w:ascii="Calibri" w:eastAsia="Times New Roman" w:hAnsi="Calibri" w:cs="Calibri"/>
                <w:color w:val="auto"/>
                <w:sz w:val="22"/>
                <w:szCs w:val="22"/>
                <w:lang w:val="en-GB" w:eastAsia="en-GB"/>
              </w:rPr>
              <w:t>outcomes or thermal comfort</w:t>
            </w:r>
          </w:p>
        </w:tc>
        <w:tc>
          <w:tcPr>
            <w:tcW w:w="981" w:type="dxa"/>
            <w:tcBorders>
              <w:top w:val="nil"/>
              <w:left w:val="nil"/>
              <w:bottom w:val="single" w:sz="4" w:space="0" w:color="000000"/>
              <w:right w:val="single" w:sz="4" w:space="0" w:color="000000"/>
            </w:tcBorders>
          </w:tcPr>
          <w:p w14:paraId="776BFEC8"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29</w:t>
            </w:r>
          </w:p>
        </w:tc>
        <w:tc>
          <w:tcPr>
            <w:tcW w:w="1464" w:type="dxa"/>
            <w:tcBorders>
              <w:top w:val="nil"/>
              <w:left w:val="nil"/>
              <w:bottom w:val="single" w:sz="4" w:space="0" w:color="000000"/>
              <w:right w:val="single" w:sz="4" w:space="0" w:color="000000"/>
            </w:tcBorders>
          </w:tcPr>
          <w:p w14:paraId="051A282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tcPr>
          <w:p w14:paraId="578356C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nil"/>
              <w:left w:val="nil"/>
              <w:bottom w:val="single" w:sz="4" w:space="0" w:color="000000"/>
              <w:right w:val="single" w:sz="4" w:space="0" w:color="auto"/>
            </w:tcBorders>
          </w:tcPr>
          <w:p w14:paraId="64A4FEB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General population</w:t>
            </w:r>
          </w:p>
        </w:tc>
      </w:tr>
      <w:tr w:rsidR="005E1386" w:rsidRPr="003C62A7" w14:paraId="4621C0EC" w14:textId="77777777" w:rsidTr="0042136E">
        <w:trPr>
          <w:trHeight w:val="3480"/>
        </w:trPr>
        <w:tc>
          <w:tcPr>
            <w:tcW w:w="2256" w:type="dxa"/>
            <w:gridSpan w:val="3"/>
            <w:tcBorders>
              <w:top w:val="nil"/>
              <w:left w:val="single" w:sz="4" w:space="0" w:color="auto"/>
              <w:bottom w:val="single" w:sz="4" w:space="0" w:color="000000"/>
              <w:right w:val="single" w:sz="4" w:space="0" w:color="000000"/>
            </w:tcBorders>
            <w:noWrap/>
          </w:tcPr>
          <w:p w14:paraId="6B2D3B80" w14:textId="77777777" w:rsidR="005E1386" w:rsidRPr="003C62A7" w:rsidDel="002D01BB"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Gebhardt et al. (2023)</w:t>
            </w:r>
            <w:r>
              <w:rPr>
                <w:rFonts w:ascii="Calibri" w:eastAsia="Times New Roman" w:hAnsi="Calibri" w:cs="Calibri"/>
                <w:color w:val="auto"/>
                <w:sz w:val="22"/>
                <w:szCs w:val="22"/>
                <w:vertAlign w:val="superscript"/>
                <w:lang w:val="en-GB" w:eastAsia="en-GB"/>
              </w:rPr>
              <w:t xml:space="preserve"> ⴕ</w:t>
            </w:r>
          </w:p>
        </w:tc>
        <w:tc>
          <w:tcPr>
            <w:tcW w:w="1767" w:type="dxa"/>
            <w:tcBorders>
              <w:top w:val="nil"/>
              <w:left w:val="nil"/>
              <w:bottom w:val="single" w:sz="4" w:space="0" w:color="000000"/>
              <w:right w:val="single" w:sz="4" w:space="0" w:color="000000"/>
            </w:tcBorders>
          </w:tcPr>
          <w:p w14:paraId="41508606" w14:textId="77777777" w:rsidR="005E1386" w:rsidRPr="005C3174" w:rsidRDefault="005E1386" w:rsidP="0042136E">
            <w:pPr>
              <w:spacing w:before="0" w:after="0" w:line="240" w:lineRule="auto"/>
              <w:rPr>
                <w:rFonts w:ascii="Calibri" w:eastAsia="Times New Roman" w:hAnsi="Calibri" w:cs="Calibri"/>
                <w:color w:val="auto"/>
                <w:sz w:val="22"/>
                <w:szCs w:val="22"/>
                <w:lang w:val="en-GB" w:eastAsia="en-GB"/>
              </w:rPr>
            </w:pPr>
            <w:r w:rsidRPr="004F13DA">
              <w:rPr>
                <w:rFonts w:ascii="Calibri" w:eastAsia="Times New Roman" w:hAnsi="Calibri" w:cs="Calibri"/>
                <w:color w:val="auto"/>
                <w:sz w:val="22"/>
                <w:szCs w:val="22"/>
                <w:lang w:val="en-GB" w:eastAsia="en-GB"/>
              </w:rPr>
              <w:t>Scoping review of climate change and mental health in Germany - Direct and indirect impacts, vulnerable groups, resilience factors</w:t>
            </w:r>
          </w:p>
        </w:tc>
        <w:tc>
          <w:tcPr>
            <w:tcW w:w="2551" w:type="dxa"/>
            <w:tcBorders>
              <w:top w:val="nil"/>
              <w:left w:val="nil"/>
              <w:bottom w:val="single" w:sz="4" w:space="0" w:color="000000"/>
              <w:right w:val="single" w:sz="4" w:space="0" w:color="000000"/>
            </w:tcBorders>
          </w:tcPr>
          <w:p w14:paraId="49327D01" w14:textId="77777777" w:rsidR="005E1386" w:rsidRPr="005C3174" w:rsidDel="006A123E" w:rsidRDefault="005E1386" w:rsidP="0042136E">
            <w:pPr>
              <w:spacing w:before="0" w:after="0" w:line="240" w:lineRule="auto"/>
              <w:rPr>
                <w:rFonts w:ascii="Calibri" w:eastAsia="Times New Roman" w:hAnsi="Calibri" w:cs="Calibri"/>
                <w:color w:val="auto"/>
                <w:sz w:val="22"/>
                <w:szCs w:val="22"/>
                <w:lang w:val="en-GB" w:eastAsia="en-GB"/>
              </w:rPr>
            </w:pPr>
            <w:r w:rsidRPr="004F13DA">
              <w:rPr>
                <w:rFonts w:ascii="Calibri" w:eastAsia="Times New Roman" w:hAnsi="Calibri" w:cs="Calibri"/>
                <w:color w:val="auto"/>
                <w:sz w:val="22"/>
                <w:szCs w:val="22"/>
                <w:lang w:val="en-GB" w:eastAsia="en-GB"/>
              </w:rPr>
              <w:t>The aim was to develop a comprehensive overview of the state of research in order to derive recommendations for mitigating the negative consequences of climate change on the mental health of the German population.</w:t>
            </w:r>
          </w:p>
        </w:tc>
        <w:tc>
          <w:tcPr>
            <w:tcW w:w="981" w:type="dxa"/>
            <w:tcBorders>
              <w:top w:val="nil"/>
              <w:left w:val="nil"/>
              <w:bottom w:val="single" w:sz="4" w:space="0" w:color="000000"/>
              <w:right w:val="single" w:sz="4" w:space="0" w:color="000000"/>
            </w:tcBorders>
          </w:tcPr>
          <w:p w14:paraId="30F26DA0" w14:textId="77777777" w:rsidR="005E1386" w:rsidRPr="004F13DA" w:rsidRDefault="005E1386" w:rsidP="0042136E">
            <w:pPr>
              <w:spacing w:before="0" w:after="0" w:line="240" w:lineRule="auto"/>
              <w:jc w:val="right"/>
              <w:rPr>
                <w:rFonts w:ascii="Calibri" w:eastAsia="Times New Roman" w:hAnsi="Calibri" w:cs="Calibri"/>
                <w:color w:val="auto"/>
                <w:sz w:val="22"/>
                <w:szCs w:val="22"/>
                <w:lang w:eastAsia="en-GB"/>
              </w:rPr>
            </w:pPr>
            <w:r>
              <w:rPr>
                <w:rFonts w:ascii="Calibri" w:eastAsia="Times New Roman" w:hAnsi="Calibri" w:cs="Calibri"/>
                <w:color w:val="auto"/>
                <w:sz w:val="22"/>
                <w:szCs w:val="22"/>
                <w:lang w:eastAsia="en-GB"/>
              </w:rPr>
              <w:t>10</w:t>
            </w:r>
          </w:p>
        </w:tc>
        <w:tc>
          <w:tcPr>
            <w:tcW w:w="1464" w:type="dxa"/>
            <w:tcBorders>
              <w:top w:val="nil"/>
              <w:left w:val="nil"/>
              <w:bottom w:val="single" w:sz="4" w:space="0" w:color="000000"/>
              <w:right w:val="single" w:sz="4" w:space="0" w:color="000000"/>
            </w:tcBorders>
          </w:tcPr>
          <w:p w14:paraId="5F6459EE" w14:textId="77777777" w:rsidR="005E1386" w:rsidRPr="004F13DA" w:rsidDel="00206244" w:rsidRDefault="005E1386" w:rsidP="0042136E">
            <w:pPr>
              <w:spacing w:before="0" w:after="0" w:line="240" w:lineRule="auto"/>
              <w:rPr>
                <w:rFonts w:ascii="Calibri" w:eastAsia="Times New Roman" w:hAnsi="Calibri" w:cs="Calibri"/>
                <w:color w:val="auto"/>
                <w:sz w:val="22"/>
                <w:szCs w:val="22"/>
                <w:lang w:eastAsia="en-GB"/>
              </w:rPr>
            </w:pPr>
            <w:r>
              <w:rPr>
                <w:rFonts w:ascii="Calibri" w:eastAsia="Times New Roman" w:hAnsi="Calibri" w:cs="Calibri"/>
                <w:color w:val="auto"/>
                <w:sz w:val="22"/>
                <w:szCs w:val="22"/>
                <w:lang w:eastAsia="en-GB"/>
              </w:rPr>
              <w:t>nr</w:t>
            </w:r>
          </w:p>
        </w:tc>
        <w:tc>
          <w:tcPr>
            <w:tcW w:w="1565" w:type="dxa"/>
            <w:tcBorders>
              <w:top w:val="nil"/>
              <w:left w:val="nil"/>
              <w:bottom w:val="single" w:sz="4" w:space="0" w:color="000000"/>
              <w:right w:val="single" w:sz="4" w:space="0" w:color="000000"/>
            </w:tcBorders>
          </w:tcPr>
          <w:p w14:paraId="27DAF241" w14:textId="77777777" w:rsidR="005E1386" w:rsidRPr="004F13DA" w:rsidRDefault="005E1386" w:rsidP="0042136E">
            <w:pPr>
              <w:spacing w:before="0" w:after="0" w:line="240" w:lineRule="auto"/>
              <w:rPr>
                <w:rFonts w:ascii="Calibri" w:eastAsia="Times New Roman" w:hAnsi="Calibri" w:cs="Calibri"/>
                <w:color w:val="auto"/>
                <w:sz w:val="22"/>
                <w:szCs w:val="22"/>
                <w:lang w:eastAsia="en-GB"/>
              </w:rPr>
            </w:pPr>
            <w:r>
              <w:rPr>
                <w:rFonts w:ascii="Calibri" w:eastAsia="Times New Roman" w:hAnsi="Calibri" w:cs="Calibri"/>
                <w:color w:val="auto"/>
                <w:sz w:val="22"/>
                <w:szCs w:val="22"/>
                <w:lang w:eastAsia="en-GB"/>
              </w:rPr>
              <w:t>Germany</w:t>
            </w:r>
          </w:p>
        </w:tc>
        <w:tc>
          <w:tcPr>
            <w:tcW w:w="1658" w:type="dxa"/>
            <w:tcBorders>
              <w:top w:val="nil"/>
              <w:left w:val="nil"/>
              <w:bottom w:val="single" w:sz="4" w:space="0" w:color="000000"/>
              <w:right w:val="single" w:sz="4" w:space="0" w:color="auto"/>
            </w:tcBorders>
          </w:tcPr>
          <w:p w14:paraId="158C6595" w14:textId="77777777" w:rsidR="005E1386" w:rsidRPr="004F13DA" w:rsidRDefault="005E1386" w:rsidP="0042136E">
            <w:pPr>
              <w:spacing w:before="0" w:after="0" w:line="240" w:lineRule="auto"/>
              <w:rPr>
                <w:rFonts w:ascii="Calibri" w:eastAsia="Times New Roman" w:hAnsi="Calibri" w:cs="Calibri"/>
                <w:color w:val="auto"/>
                <w:sz w:val="22"/>
                <w:szCs w:val="22"/>
                <w:lang w:eastAsia="en-GB"/>
              </w:rPr>
            </w:pPr>
            <w:r>
              <w:rPr>
                <w:rFonts w:ascii="Calibri" w:eastAsia="Times New Roman" w:hAnsi="Calibri" w:cs="Calibri"/>
                <w:color w:val="auto"/>
                <w:sz w:val="22"/>
                <w:szCs w:val="22"/>
                <w:lang w:eastAsia="en-GB"/>
              </w:rPr>
              <w:t>General population</w:t>
            </w:r>
          </w:p>
        </w:tc>
      </w:tr>
      <w:tr w:rsidR="005E1386" w:rsidRPr="003C62A7" w14:paraId="002D4978" w14:textId="77777777" w:rsidTr="0042136E">
        <w:trPr>
          <w:trHeight w:val="3480"/>
        </w:trPr>
        <w:tc>
          <w:tcPr>
            <w:tcW w:w="2256" w:type="dxa"/>
            <w:gridSpan w:val="3"/>
            <w:tcBorders>
              <w:top w:val="nil"/>
              <w:left w:val="single" w:sz="4" w:space="0" w:color="auto"/>
              <w:bottom w:val="single" w:sz="4" w:space="0" w:color="000000"/>
              <w:right w:val="single" w:sz="4" w:space="0" w:color="000000"/>
            </w:tcBorders>
            <w:noWrap/>
            <w:hideMark/>
          </w:tcPr>
          <w:p w14:paraId="17F2F5A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Massazza et al. (2022)</w:t>
            </w:r>
          </w:p>
        </w:tc>
        <w:tc>
          <w:tcPr>
            <w:tcW w:w="1767" w:type="dxa"/>
            <w:tcBorders>
              <w:top w:val="nil"/>
              <w:left w:val="nil"/>
              <w:bottom w:val="single" w:sz="4" w:space="0" w:color="000000"/>
              <w:right w:val="single" w:sz="4" w:space="0" w:color="000000"/>
            </w:tcBorders>
            <w:hideMark/>
          </w:tcPr>
          <w:p w14:paraId="5EC5D76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Climate change, trauma and mental health in Italy: A scoping review</w:t>
            </w:r>
          </w:p>
        </w:tc>
        <w:tc>
          <w:tcPr>
            <w:tcW w:w="2551" w:type="dxa"/>
            <w:tcBorders>
              <w:top w:val="nil"/>
              <w:left w:val="nil"/>
              <w:bottom w:val="single" w:sz="4" w:space="0" w:color="000000"/>
              <w:right w:val="single" w:sz="4" w:space="0" w:color="000000"/>
            </w:tcBorders>
            <w:hideMark/>
          </w:tcPr>
          <w:p w14:paraId="66E6B52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provide a review of the original research literature on the relationship between climate change stressors and mental health in Italy, with a particular focus on trauma and PTSD and to encourage more research and policy action on the intersection between climate change and mental health</w:t>
            </w:r>
          </w:p>
        </w:tc>
        <w:tc>
          <w:tcPr>
            <w:tcW w:w="981" w:type="dxa"/>
            <w:tcBorders>
              <w:top w:val="nil"/>
              <w:left w:val="nil"/>
              <w:bottom w:val="single" w:sz="4" w:space="0" w:color="000000"/>
              <w:right w:val="single" w:sz="4" w:space="0" w:color="000000"/>
            </w:tcBorders>
            <w:hideMark/>
          </w:tcPr>
          <w:p w14:paraId="3BBFC433"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21</w:t>
            </w:r>
          </w:p>
        </w:tc>
        <w:tc>
          <w:tcPr>
            <w:tcW w:w="1464" w:type="dxa"/>
            <w:tcBorders>
              <w:top w:val="nil"/>
              <w:left w:val="nil"/>
              <w:bottom w:val="single" w:sz="4" w:space="0" w:color="000000"/>
              <w:right w:val="single" w:sz="4" w:space="0" w:color="000000"/>
            </w:tcBorders>
            <w:hideMark/>
          </w:tcPr>
          <w:p w14:paraId="46D6B31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NIH Quality Assessment Tool for Case–Control Studies and the NIH Quality Assessment Tool for Observational Cohort and Cross-Sectional Studies</w:t>
            </w:r>
          </w:p>
        </w:tc>
        <w:tc>
          <w:tcPr>
            <w:tcW w:w="1565" w:type="dxa"/>
            <w:tcBorders>
              <w:top w:val="nil"/>
              <w:left w:val="nil"/>
              <w:bottom w:val="single" w:sz="4" w:space="0" w:color="000000"/>
              <w:right w:val="single" w:sz="4" w:space="0" w:color="000000"/>
            </w:tcBorders>
            <w:hideMark/>
          </w:tcPr>
          <w:p w14:paraId="35A2508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Italy</w:t>
            </w:r>
          </w:p>
        </w:tc>
        <w:tc>
          <w:tcPr>
            <w:tcW w:w="1658" w:type="dxa"/>
            <w:tcBorders>
              <w:top w:val="nil"/>
              <w:left w:val="nil"/>
              <w:bottom w:val="single" w:sz="4" w:space="0" w:color="000000"/>
              <w:right w:val="single" w:sz="4" w:space="0" w:color="auto"/>
            </w:tcBorders>
            <w:hideMark/>
          </w:tcPr>
          <w:p w14:paraId="2EF8219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0D11BB" w14:paraId="274F9039" w14:textId="77777777" w:rsidTr="0042136E">
        <w:trPr>
          <w:trHeight w:val="3480"/>
        </w:trPr>
        <w:tc>
          <w:tcPr>
            <w:tcW w:w="2256" w:type="dxa"/>
            <w:gridSpan w:val="3"/>
            <w:tcBorders>
              <w:top w:val="nil"/>
              <w:left w:val="single" w:sz="4" w:space="0" w:color="auto"/>
              <w:bottom w:val="single" w:sz="4" w:space="0" w:color="000000"/>
              <w:right w:val="single" w:sz="4" w:space="0" w:color="000000"/>
            </w:tcBorders>
            <w:noWrap/>
          </w:tcPr>
          <w:p w14:paraId="64682921" w14:textId="77777777" w:rsidR="005E1386" w:rsidRPr="003C62A7" w:rsidDel="002D01BB"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Meherali et al. (2024)</w:t>
            </w:r>
            <w:r>
              <w:rPr>
                <w:rFonts w:ascii="Calibri" w:eastAsia="Times New Roman" w:hAnsi="Calibri" w:cs="Calibri"/>
                <w:color w:val="auto"/>
                <w:sz w:val="22"/>
                <w:szCs w:val="22"/>
                <w:vertAlign w:val="superscript"/>
                <w:lang w:val="en-GB" w:eastAsia="en-GB"/>
              </w:rPr>
              <w:t>ⴕ</w:t>
            </w:r>
          </w:p>
        </w:tc>
        <w:tc>
          <w:tcPr>
            <w:tcW w:w="1767" w:type="dxa"/>
            <w:tcBorders>
              <w:top w:val="nil"/>
              <w:left w:val="nil"/>
              <w:bottom w:val="single" w:sz="4" w:space="0" w:color="000000"/>
              <w:right w:val="single" w:sz="4" w:space="0" w:color="000000"/>
            </w:tcBorders>
          </w:tcPr>
          <w:p w14:paraId="0AFEBB19" w14:textId="77777777" w:rsidR="005E1386" w:rsidRPr="004F13DA" w:rsidRDefault="005E1386" w:rsidP="0042136E">
            <w:pPr>
              <w:rPr>
                <w:rFonts w:ascii="Calibri" w:eastAsia="Times New Roman" w:hAnsi="Calibri" w:cs="Calibri"/>
                <w:sz w:val="22"/>
                <w:szCs w:val="22"/>
                <w:lang w:val="en-GB" w:eastAsia="en-GB"/>
              </w:rPr>
            </w:pPr>
            <w:r w:rsidRPr="000D11BB">
              <w:rPr>
                <w:rFonts w:ascii="Calibri" w:eastAsia="Times New Roman" w:hAnsi="Calibri" w:cs="Calibri"/>
                <w:sz w:val="22"/>
                <w:szCs w:val="22"/>
                <w:lang w:val="en-GB" w:eastAsia="en-GB"/>
              </w:rPr>
              <w:t xml:space="preserve">Impact of climate change on maternal health </w:t>
            </w:r>
            <w:r>
              <w:rPr>
                <w:rFonts w:ascii="Calibri" w:eastAsia="Times New Roman" w:hAnsi="Calibri" w:cs="Calibri"/>
                <w:sz w:val="22"/>
                <w:szCs w:val="22"/>
                <w:lang w:val="en-GB" w:eastAsia="en-GB"/>
              </w:rPr>
              <w:t>o</w:t>
            </w:r>
            <w:r w:rsidRPr="000D11BB">
              <w:rPr>
                <w:rFonts w:ascii="Calibri" w:eastAsia="Times New Roman" w:hAnsi="Calibri" w:cs="Calibri"/>
                <w:sz w:val="22"/>
                <w:szCs w:val="22"/>
                <w:lang w:val="en-GB" w:eastAsia="en-GB"/>
              </w:rPr>
              <w:t>utcomes: An evidence gap map review</w:t>
            </w:r>
          </w:p>
        </w:tc>
        <w:tc>
          <w:tcPr>
            <w:tcW w:w="2551" w:type="dxa"/>
            <w:tcBorders>
              <w:top w:val="nil"/>
              <w:left w:val="nil"/>
              <w:bottom w:val="single" w:sz="4" w:space="0" w:color="000000"/>
              <w:right w:val="single" w:sz="4" w:space="0" w:color="000000"/>
            </w:tcBorders>
          </w:tcPr>
          <w:p w14:paraId="695C635B" w14:textId="77777777" w:rsidR="005E1386" w:rsidRPr="004F13DA" w:rsidDel="006A123E" w:rsidRDefault="005E1386" w:rsidP="0042136E">
            <w:pPr>
              <w:rPr>
                <w:rFonts w:ascii="Calibri" w:eastAsia="Times New Roman" w:hAnsi="Calibri" w:cs="Calibri"/>
                <w:sz w:val="22"/>
                <w:szCs w:val="22"/>
                <w:lang w:val="en-GB" w:eastAsia="en-GB"/>
              </w:rPr>
            </w:pPr>
            <w:r w:rsidRPr="004F13DA">
              <w:rPr>
                <w:rFonts w:ascii="Calibri" w:hAnsi="Calibri" w:cs="Calibri"/>
                <w:color w:val="000000"/>
                <w:sz w:val="22"/>
                <w:szCs w:val="22"/>
                <w:lang w:val="en-GB"/>
              </w:rPr>
              <w:t>This review aims to bridge this gap by systematically mapping the global evidence available on the impact of climate change on maternal well-being by generating the evidence gap map (EGM).</w:t>
            </w:r>
          </w:p>
        </w:tc>
        <w:tc>
          <w:tcPr>
            <w:tcW w:w="981" w:type="dxa"/>
            <w:tcBorders>
              <w:top w:val="nil"/>
              <w:left w:val="nil"/>
              <w:bottom w:val="single" w:sz="4" w:space="0" w:color="000000"/>
              <w:right w:val="single" w:sz="4" w:space="0" w:color="000000"/>
            </w:tcBorders>
          </w:tcPr>
          <w:p w14:paraId="185C7985"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133</w:t>
            </w:r>
          </w:p>
        </w:tc>
        <w:tc>
          <w:tcPr>
            <w:tcW w:w="1464" w:type="dxa"/>
            <w:tcBorders>
              <w:top w:val="nil"/>
              <w:left w:val="nil"/>
              <w:bottom w:val="single" w:sz="4" w:space="0" w:color="000000"/>
              <w:right w:val="single" w:sz="4" w:space="0" w:color="000000"/>
            </w:tcBorders>
          </w:tcPr>
          <w:p w14:paraId="2EAEA687" w14:textId="77777777" w:rsidR="005E1386" w:rsidRPr="004F13DA" w:rsidRDefault="005E1386" w:rsidP="0042136E">
            <w:pPr>
              <w:rPr>
                <w:rFonts w:ascii="Calibri" w:eastAsia="Times New Roman" w:hAnsi="Calibri" w:cs="Calibri"/>
                <w:sz w:val="22"/>
                <w:szCs w:val="22"/>
                <w:lang w:val="en-GB" w:eastAsia="en-GB"/>
              </w:rPr>
            </w:pPr>
            <w:r w:rsidRPr="000D11BB">
              <w:rPr>
                <w:rFonts w:ascii="Calibri" w:eastAsia="Times New Roman" w:hAnsi="Calibri" w:cs="Calibri"/>
                <w:sz w:val="22"/>
                <w:szCs w:val="22"/>
                <w:lang w:val="en-GB" w:eastAsia="en-GB"/>
              </w:rPr>
              <w:t xml:space="preserve">Assessment of Multiple Systematic Reviews 2 (AMSTAR) for systematic reviews (RCTs and non-RCTs), the Mixed Methods Appraisal Tool (MMAT) for primary studies </w:t>
            </w:r>
            <w:r w:rsidRPr="000D11BB">
              <w:rPr>
                <w:rFonts w:ascii="Calibri" w:eastAsia="Times New Roman" w:hAnsi="Calibri" w:cs="Calibri"/>
                <w:sz w:val="22"/>
                <w:szCs w:val="22"/>
                <w:lang w:val="en-GB" w:eastAsia="en-GB"/>
              </w:rPr>
              <w:lastRenderedPageBreak/>
              <w:t>(qualitative and quantitative), and a Qualitative Meta-Review Quality Assessment Tool for the qualitative synthesis.</w:t>
            </w:r>
          </w:p>
        </w:tc>
        <w:tc>
          <w:tcPr>
            <w:tcW w:w="1565" w:type="dxa"/>
            <w:tcBorders>
              <w:top w:val="nil"/>
              <w:left w:val="nil"/>
              <w:bottom w:val="single" w:sz="4" w:space="0" w:color="000000"/>
              <w:right w:val="single" w:sz="4" w:space="0" w:color="000000"/>
            </w:tcBorders>
          </w:tcPr>
          <w:p w14:paraId="7D37604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lastRenderedPageBreak/>
              <w:t>Global</w:t>
            </w:r>
          </w:p>
        </w:tc>
        <w:tc>
          <w:tcPr>
            <w:tcW w:w="1658" w:type="dxa"/>
            <w:tcBorders>
              <w:top w:val="nil"/>
              <w:left w:val="nil"/>
              <w:bottom w:val="single" w:sz="4" w:space="0" w:color="000000"/>
              <w:right w:val="single" w:sz="4" w:space="0" w:color="auto"/>
            </w:tcBorders>
          </w:tcPr>
          <w:p w14:paraId="5074AE4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0D11BB">
              <w:rPr>
                <w:rFonts w:ascii="Calibri" w:eastAsia="Times New Roman" w:hAnsi="Calibri" w:cs="Calibri"/>
                <w:color w:val="auto"/>
                <w:sz w:val="22"/>
                <w:szCs w:val="22"/>
                <w:lang w:val="en-GB" w:eastAsia="en-GB"/>
              </w:rPr>
              <w:t>omen aged 15–49</w:t>
            </w:r>
          </w:p>
        </w:tc>
      </w:tr>
      <w:tr w:rsidR="005E1386" w:rsidRPr="006F2708" w14:paraId="4BBF1A1D" w14:textId="77777777" w:rsidTr="0042136E">
        <w:trPr>
          <w:trHeight w:val="6380"/>
        </w:trPr>
        <w:tc>
          <w:tcPr>
            <w:tcW w:w="2256" w:type="dxa"/>
            <w:gridSpan w:val="3"/>
            <w:tcBorders>
              <w:top w:val="nil"/>
              <w:left w:val="single" w:sz="4" w:space="0" w:color="auto"/>
              <w:bottom w:val="single" w:sz="4" w:space="0" w:color="000000"/>
              <w:right w:val="single" w:sz="4" w:space="0" w:color="000000"/>
            </w:tcBorders>
            <w:noWrap/>
            <w:hideMark/>
          </w:tcPr>
          <w:p w14:paraId="325CA2C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Paterson et al. (2020)</w:t>
            </w:r>
          </w:p>
        </w:tc>
        <w:tc>
          <w:tcPr>
            <w:tcW w:w="1767" w:type="dxa"/>
            <w:tcBorders>
              <w:top w:val="nil"/>
              <w:left w:val="nil"/>
              <w:bottom w:val="single" w:sz="4" w:space="0" w:color="000000"/>
              <w:right w:val="single" w:sz="4" w:space="0" w:color="000000"/>
            </w:tcBorders>
            <w:hideMark/>
          </w:tcPr>
          <w:p w14:paraId="26DDEF2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Heat-health vulnerability in temperate climates: lessons and response options from Ireland</w:t>
            </w:r>
          </w:p>
        </w:tc>
        <w:tc>
          <w:tcPr>
            <w:tcW w:w="2551" w:type="dxa"/>
            <w:tcBorders>
              <w:top w:val="nil"/>
              <w:left w:val="nil"/>
              <w:bottom w:val="single" w:sz="4" w:space="0" w:color="000000"/>
              <w:right w:val="single" w:sz="4" w:space="0" w:color="000000"/>
            </w:tcBorders>
            <w:hideMark/>
          </w:tcPr>
          <w:p w14:paraId="2B2DA2B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 xml:space="preserve">To highlight the anticipated heat-health challenges in Ireland, and other temperate regions, </w:t>
            </w:r>
            <w:r>
              <w:rPr>
                <w:rFonts w:ascii="Calibri" w:eastAsia="Times New Roman" w:hAnsi="Calibri" w:cs="Calibri"/>
                <w:color w:val="auto"/>
                <w:sz w:val="22"/>
                <w:szCs w:val="22"/>
                <w:lang w:val="en-GB" w:eastAsia="en-GB"/>
              </w:rPr>
              <w:t>by</w:t>
            </w:r>
            <w:r w:rsidRPr="003C62A7">
              <w:rPr>
                <w:rFonts w:ascii="Calibri" w:eastAsia="Times New Roman" w:hAnsi="Calibri" w:cs="Calibri"/>
                <w:color w:val="auto"/>
                <w:sz w:val="22"/>
                <w:szCs w:val="22"/>
                <w:lang w:val="en-GB" w:eastAsia="en-GB"/>
              </w:rPr>
              <w:t xml:space="preserve"> analy</w:t>
            </w:r>
            <w:r>
              <w:rPr>
                <w:rFonts w:ascii="Calibri" w:eastAsia="Times New Roman" w:hAnsi="Calibri" w:cs="Calibri"/>
                <w:color w:val="auto"/>
                <w:sz w:val="22"/>
                <w:szCs w:val="22"/>
                <w:lang w:val="en-GB" w:eastAsia="en-GB"/>
              </w:rPr>
              <w:t>z</w:t>
            </w:r>
            <w:r w:rsidRPr="003C62A7">
              <w:rPr>
                <w:rFonts w:ascii="Calibri" w:eastAsia="Times New Roman" w:hAnsi="Calibri" w:cs="Calibri"/>
                <w:color w:val="auto"/>
                <w:sz w:val="22"/>
                <w:szCs w:val="22"/>
                <w:lang w:val="en-GB" w:eastAsia="en-GB"/>
              </w:rPr>
              <w:t>ing vulnerable groups and systems</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 xml:space="preserve"> and to identify a range of potential interventions that can begin to tackle this growing threat</w:t>
            </w:r>
          </w:p>
        </w:tc>
        <w:tc>
          <w:tcPr>
            <w:tcW w:w="981" w:type="dxa"/>
            <w:tcBorders>
              <w:top w:val="nil"/>
              <w:left w:val="nil"/>
              <w:bottom w:val="single" w:sz="4" w:space="0" w:color="000000"/>
              <w:right w:val="single" w:sz="4" w:space="0" w:color="000000"/>
            </w:tcBorders>
            <w:hideMark/>
          </w:tcPr>
          <w:p w14:paraId="10C7E248"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15</w:t>
            </w:r>
          </w:p>
        </w:tc>
        <w:tc>
          <w:tcPr>
            <w:tcW w:w="1464" w:type="dxa"/>
            <w:tcBorders>
              <w:top w:val="nil"/>
              <w:left w:val="nil"/>
              <w:bottom w:val="single" w:sz="4" w:space="0" w:color="000000"/>
              <w:right w:val="single" w:sz="4" w:space="0" w:color="000000"/>
            </w:tcBorders>
            <w:hideMark/>
          </w:tcPr>
          <w:p w14:paraId="5F40A68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4E41F9C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Ireland; included studies from other temperate climates</w:t>
            </w:r>
          </w:p>
        </w:tc>
        <w:tc>
          <w:tcPr>
            <w:tcW w:w="1658" w:type="dxa"/>
            <w:tcBorders>
              <w:top w:val="nil"/>
              <w:left w:val="nil"/>
              <w:bottom w:val="single" w:sz="4" w:space="0" w:color="000000"/>
              <w:right w:val="single" w:sz="4" w:space="0" w:color="auto"/>
            </w:tcBorders>
            <w:hideMark/>
          </w:tcPr>
          <w:p w14:paraId="5418854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P</w:t>
            </w:r>
            <w:r w:rsidRPr="003C62A7">
              <w:rPr>
                <w:rFonts w:ascii="Calibri" w:eastAsia="Times New Roman" w:hAnsi="Calibri" w:cs="Calibri"/>
                <w:color w:val="auto"/>
                <w:sz w:val="22"/>
                <w:szCs w:val="22"/>
                <w:lang w:val="en-GB" w:eastAsia="en-GB"/>
              </w:rPr>
              <w:t>opulations vulnerable to heat (older people; chronically ill; infants, pregnant women and children; outdoor workers; socio-economic status and urban dwellers; food systems and the health sector)</w:t>
            </w:r>
          </w:p>
        </w:tc>
      </w:tr>
      <w:tr w:rsidR="005E1386" w:rsidRPr="00DD61F1" w14:paraId="6203D72E" w14:textId="77777777" w:rsidTr="0042136E">
        <w:trPr>
          <w:trHeight w:val="2967"/>
        </w:trPr>
        <w:tc>
          <w:tcPr>
            <w:tcW w:w="2256" w:type="dxa"/>
            <w:gridSpan w:val="3"/>
            <w:tcBorders>
              <w:top w:val="nil"/>
              <w:left w:val="single" w:sz="4" w:space="0" w:color="auto"/>
              <w:bottom w:val="single" w:sz="4" w:space="0" w:color="000000"/>
              <w:right w:val="single" w:sz="4" w:space="0" w:color="000000"/>
            </w:tcBorders>
            <w:noWrap/>
          </w:tcPr>
          <w:p w14:paraId="7D59B262"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lastRenderedPageBreak/>
              <w:t>Wu et al. (2023)</w:t>
            </w:r>
            <w:r>
              <w:rPr>
                <w:rFonts w:ascii="Calibri" w:eastAsia="Times New Roman" w:hAnsi="Calibri" w:cs="Calibri"/>
                <w:color w:val="auto"/>
                <w:sz w:val="22"/>
                <w:szCs w:val="22"/>
                <w:vertAlign w:val="superscript"/>
                <w:lang w:val="en-GB" w:eastAsia="en-GB"/>
              </w:rPr>
              <w:t>ⴕ</w:t>
            </w:r>
          </w:p>
        </w:tc>
        <w:tc>
          <w:tcPr>
            <w:tcW w:w="1767" w:type="dxa"/>
            <w:tcBorders>
              <w:top w:val="nil"/>
              <w:left w:val="nil"/>
              <w:bottom w:val="single" w:sz="4" w:space="0" w:color="000000"/>
              <w:right w:val="single" w:sz="4" w:space="0" w:color="000000"/>
            </w:tcBorders>
          </w:tcPr>
          <w:p w14:paraId="751D505C"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Scoping review of the characteristics</w:t>
            </w:r>
          </w:p>
          <w:p w14:paraId="00A0D5E2"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 xml:space="preserve">and outcomes of adults presenting to the </w:t>
            </w:r>
            <w:r>
              <w:rPr>
                <w:rFonts w:ascii="Calibri" w:eastAsia="Times New Roman" w:hAnsi="Calibri" w:cs="Calibri"/>
                <w:color w:val="auto"/>
                <w:sz w:val="22"/>
                <w:szCs w:val="22"/>
                <w:lang w:val="en-GB" w:eastAsia="en-GB"/>
              </w:rPr>
              <w:t>e</w:t>
            </w:r>
            <w:r w:rsidRPr="006A123E">
              <w:rPr>
                <w:rFonts w:ascii="Calibri" w:eastAsia="Times New Roman" w:hAnsi="Calibri" w:cs="Calibri"/>
                <w:color w:val="auto"/>
                <w:sz w:val="22"/>
                <w:szCs w:val="22"/>
                <w:lang w:val="en-GB" w:eastAsia="en-GB"/>
              </w:rPr>
              <w:t>mergency</w:t>
            </w:r>
          </w:p>
          <w:p w14:paraId="3539E75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department during heatwaves</w:t>
            </w:r>
          </w:p>
        </w:tc>
        <w:tc>
          <w:tcPr>
            <w:tcW w:w="2551" w:type="dxa"/>
            <w:tcBorders>
              <w:top w:val="nil"/>
              <w:left w:val="nil"/>
              <w:bottom w:val="single" w:sz="4" w:space="0" w:color="000000"/>
              <w:right w:val="single" w:sz="4" w:space="0" w:color="000000"/>
            </w:tcBorders>
          </w:tcPr>
          <w:p w14:paraId="096CBCD7"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 xml:space="preserve">The aim of this review is to identify, evaluate and summarise </w:t>
            </w:r>
            <w:r>
              <w:rPr>
                <w:rFonts w:ascii="Calibri" w:eastAsia="Times New Roman" w:hAnsi="Calibri" w:cs="Calibri"/>
                <w:color w:val="auto"/>
                <w:sz w:val="22"/>
                <w:szCs w:val="22"/>
                <w:lang w:val="en-GB" w:eastAsia="en-GB"/>
              </w:rPr>
              <w:t>c</w:t>
            </w:r>
            <w:r w:rsidRPr="006A123E">
              <w:rPr>
                <w:rFonts w:ascii="Calibri" w:eastAsia="Times New Roman" w:hAnsi="Calibri" w:cs="Calibri"/>
                <w:color w:val="auto"/>
                <w:sz w:val="22"/>
                <w:szCs w:val="22"/>
                <w:lang w:val="en-GB" w:eastAsia="en-GB"/>
              </w:rPr>
              <w:t>urrent</w:t>
            </w:r>
            <w:r>
              <w:rPr>
                <w:rFonts w:ascii="Calibri" w:eastAsia="Times New Roman" w:hAnsi="Calibri" w:cs="Calibri"/>
                <w:color w:val="auto"/>
                <w:sz w:val="22"/>
                <w:szCs w:val="22"/>
                <w:lang w:val="en-GB" w:eastAsia="en-GB"/>
              </w:rPr>
              <w:t xml:space="preserve"> </w:t>
            </w:r>
            <w:r w:rsidRPr="006A123E">
              <w:rPr>
                <w:rFonts w:ascii="Calibri" w:eastAsia="Times New Roman" w:hAnsi="Calibri" w:cs="Calibri"/>
                <w:color w:val="auto"/>
                <w:sz w:val="22"/>
                <w:szCs w:val="22"/>
                <w:lang w:val="en-GB" w:eastAsia="en-GB"/>
              </w:rPr>
              <w:t xml:space="preserve">literature regarding the main </w:t>
            </w:r>
            <w:r>
              <w:rPr>
                <w:rFonts w:ascii="Calibri" w:eastAsia="Times New Roman" w:hAnsi="Calibri" w:cs="Calibri"/>
                <w:color w:val="auto"/>
                <w:sz w:val="22"/>
                <w:szCs w:val="22"/>
                <w:lang w:val="en-GB" w:eastAsia="en-GB"/>
              </w:rPr>
              <w:t>c</w:t>
            </w:r>
            <w:r w:rsidRPr="006A123E">
              <w:rPr>
                <w:rFonts w:ascii="Calibri" w:eastAsia="Times New Roman" w:hAnsi="Calibri" w:cs="Calibri"/>
                <w:color w:val="auto"/>
                <w:sz w:val="22"/>
                <w:szCs w:val="22"/>
                <w:lang w:val="en-GB" w:eastAsia="en-GB"/>
              </w:rPr>
              <w:t>haracteristics and outcomes of adult</w:t>
            </w:r>
          </w:p>
          <w:p w14:paraId="2B9546FB"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patients attending EDs during</w:t>
            </w:r>
          </w:p>
          <w:p w14:paraId="18D0D63A"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heatwaves, whereas comparing different heatwave definitions. Specifically,</w:t>
            </w:r>
          </w:p>
          <w:p w14:paraId="1EB73265"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we sought to undertake a subgroup</w:t>
            </w:r>
            <w:r>
              <w:rPr>
                <w:rFonts w:ascii="Calibri" w:eastAsia="Times New Roman" w:hAnsi="Calibri" w:cs="Calibri"/>
                <w:color w:val="auto"/>
                <w:sz w:val="22"/>
                <w:szCs w:val="22"/>
                <w:lang w:val="en-GB" w:eastAsia="en-GB"/>
              </w:rPr>
              <w:t xml:space="preserve"> </w:t>
            </w:r>
            <w:r w:rsidRPr="006A123E">
              <w:rPr>
                <w:rFonts w:ascii="Calibri" w:eastAsia="Times New Roman" w:hAnsi="Calibri" w:cs="Calibri"/>
                <w:color w:val="auto"/>
                <w:sz w:val="22"/>
                <w:szCs w:val="22"/>
                <w:lang w:val="en-GB" w:eastAsia="en-GB"/>
              </w:rPr>
              <w:t xml:space="preserve">analysis of at-risk </w:t>
            </w:r>
            <w:r>
              <w:rPr>
                <w:rFonts w:ascii="Calibri" w:eastAsia="Times New Roman" w:hAnsi="Calibri" w:cs="Calibri"/>
                <w:color w:val="auto"/>
                <w:sz w:val="22"/>
                <w:szCs w:val="22"/>
                <w:lang w:val="en-GB" w:eastAsia="en-GB"/>
              </w:rPr>
              <w:t>p</w:t>
            </w:r>
            <w:r w:rsidRPr="006A123E">
              <w:rPr>
                <w:rFonts w:ascii="Calibri" w:eastAsia="Times New Roman" w:hAnsi="Calibri" w:cs="Calibri"/>
                <w:color w:val="auto"/>
                <w:sz w:val="22"/>
                <w:szCs w:val="22"/>
                <w:lang w:val="en-GB" w:eastAsia="en-GB"/>
              </w:rPr>
              <w:t>opulations, that</w:t>
            </w:r>
          </w:p>
          <w:p w14:paraId="75151B2D" w14:textId="77777777" w:rsidR="005E1386" w:rsidRPr="003C62A7" w:rsidDel="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were anticipated to be more susceptible during heatwaves.</w:t>
            </w:r>
          </w:p>
        </w:tc>
        <w:tc>
          <w:tcPr>
            <w:tcW w:w="981" w:type="dxa"/>
            <w:tcBorders>
              <w:top w:val="nil"/>
              <w:left w:val="nil"/>
              <w:bottom w:val="single" w:sz="4" w:space="0" w:color="000000"/>
              <w:right w:val="single" w:sz="4" w:space="0" w:color="000000"/>
            </w:tcBorders>
          </w:tcPr>
          <w:p w14:paraId="45C084AC"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31</w:t>
            </w:r>
          </w:p>
        </w:tc>
        <w:tc>
          <w:tcPr>
            <w:tcW w:w="1464" w:type="dxa"/>
            <w:tcBorders>
              <w:top w:val="nil"/>
              <w:left w:val="nil"/>
              <w:bottom w:val="single" w:sz="4" w:space="0" w:color="000000"/>
              <w:right w:val="single" w:sz="4" w:space="0" w:color="000000"/>
            </w:tcBorders>
          </w:tcPr>
          <w:p w14:paraId="05AE8B56" w14:textId="77777777" w:rsidR="005E1386" w:rsidRPr="006A123E"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Mixed Methods Appraisal</w:t>
            </w:r>
          </w:p>
          <w:p w14:paraId="1424155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6A123E">
              <w:rPr>
                <w:rFonts w:ascii="Calibri" w:eastAsia="Times New Roman" w:hAnsi="Calibri" w:cs="Calibri"/>
                <w:color w:val="auto"/>
                <w:sz w:val="22"/>
                <w:szCs w:val="22"/>
                <w:lang w:val="en-GB" w:eastAsia="en-GB"/>
              </w:rPr>
              <w:t>Tool (MMAT)</w:t>
            </w:r>
          </w:p>
        </w:tc>
        <w:tc>
          <w:tcPr>
            <w:tcW w:w="1565" w:type="dxa"/>
            <w:tcBorders>
              <w:top w:val="nil"/>
              <w:left w:val="nil"/>
              <w:bottom w:val="single" w:sz="4" w:space="0" w:color="000000"/>
              <w:right w:val="single" w:sz="4" w:space="0" w:color="000000"/>
            </w:tcBorders>
          </w:tcPr>
          <w:p w14:paraId="4753A62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Global</w:t>
            </w:r>
          </w:p>
        </w:tc>
        <w:tc>
          <w:tcPr>
            <w:tcW w:w="1658" w:type="dxa"/>
            <w:tcBorders>
              <w:top w:val="nil"/>
              <w:left w:val="nil"/>
              <w:bottom w:val="single" w:sz="4" w:space="0" w:color="000000"/>
              <w:right w:val="single" w:sz="4" w:space="0" w:color="auto"/>
            </w:tcBorders>
          </w:tcPr>
          <w:p w14:paraId="6F1A60E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P</w:t>
            </w:r>
            <w:r w:rsidRPr="006A123E">
              <w:rPr>
                <w:rFonts w:ascii="Calibri" w:eastAsia="Times New Roman" w:hAnsi="Calibri" w:cs="Calibri"/>
                <w:color w:val="auto"/>
                <w:sz w:val="22"/>
                <w:szCs w:val="22"/>
                <w:lang w:val="en-GB" w:eastAsia="en-GB"/>
              </w:rPr>
              <w:t>atients admitted to ED</w:t>
            </w:r>
          </w:p>
        </w:tc>
      </w:tr>
      <w:tr w:rsidR="005E1386" w:rsidRPr="003C62A7" w14:paraId="13CAC1B1" w14:textId="77777777" w:rsidTr="0042136E">
        <w:trPr>
          <w:trHeight w:val="330"/>
        </w:trPr>
        <w:tc>
          <w:tcPr>
            <w:tcW w:w="12242" w:type="dxa"/>
            <w:gridSpan w:val="9"/>
            <w:tcBorders>
              <w:top w:val="single" w:sz="4" w:space="0" w:color="000000"/>
              <w:left w:val="single" w:sz="4" w:space="0" w:color="auto"/>
              <w:bottom w:val="single" w:sz="4" w:space="0" w:color="000000"/>
              <w:right w:val="single" w:sz="4" w:space="0" w:color="000000"/>
            </w:tcBorders>
            <w:shd w:val="clear" w:color="E7E6E6" w:fill="E7E6E6"/>
            <w:noWrap/>
            <w:hideMark/>
          </w:tcPr>
          <w:p w14:paraId="4862DD25" w14:textId="77777777" w:rsidR="005E1386" w:rsidRPr="003C62A7" w:rsidRDefault="005E1386" w:rsidP="0042136E">
            <w:pPr>
              <w:spacing w:before="0" w:after="0" w:line="240" w:lineRule="auto"/>
              <w:jc w:val="center"/>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Narrativ</w:t>
            </w:r>
            <w:r>
              <w:rPr>
                <w:rFonts w:ascii="Calibri" w:eastAsia="Times New Roman" w:hAnsi="Calibri" w:cs="Calibri"/>
                <w:color w:val="auto"/>
                <w:sz w:val="22"/>
                <w:szCs w:val="22"/>
                <w:lang w:val="en-GB" w:eastAsia="en-GB"/>
              </w:rPr>
              <w:t>e</w:t>
            </w:r>
            <w:r w:rsidRPr="003C62A7">
              <w:rPr>
                <w:rFonts w:ascii="Calibri" w:eastAsia="Times New Roman" w:hAnsi="Calibri" w:cs="Calibri"/>
                <w:color w:val="auto"/>
                <w:sz w:val="22"/>
                <w:szCs w:val="22"/>
                <w:lang w:val="en-GB" w:eastAsia="en-GB"/>
              </w:rPr>
              <w:t xml:space="preserve"> Review</w:t>
            </w:r>
            <w:r>
              <w:rPr>
                <w:rFonts w:ascii="Calibri" w:eastAsia="Times New Roman" w:hAnsi="Calibri" w:cs="Calibri"/>
                <w:color w:val="auto"/>
                <w:sz w:val="22"/>
                <w:szCs w:val="22"/>
                <w:lang w:val="en-GB" w:eastAsia="en-GB"/>
              </w:rPr>
              <w:t xml:space="preserve"> / Literature search</w:t>
            </w:r>
          </w:p>
        </w:tc>
      </w:tr>
      <w:tr w:rsidR="005E1386" w:rsidRPr="003C62A7" w14:paraId="5F2C3DBF" w14:textId="77777777" w:rsidTr="0042136E">
        <w:trPr>
          <w:trHeight w:val="4350"/>
        </w:trPr>
        <w:tc>
          <w:tcPr>
            <w:tcW w:w="2256" w:type="dxa"/>
            <w:gridSpan w:val="3"/>
            <w:tcBorders>
              <w:top w:val="nil"/>
              <w:left w:val="single" w:sz="4" w:space="0" w:color="auto"/>
              <w:bottom w:val="single" w:sz="4" w:space="0" w:color="000000"/>
              <w:right w:val="single" w:sz="4" w:space="0" w:color="000000"/>
            </w:tcBorders>
            <w:hideMark/>
          </w:tcPr>
          <w:p w14:paraId="6475505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Anderson et al. (2013)</w:t>
            </w:r>
          </w:p>
        </w:tc>
        <w:tc>
          <w:tcPr>
            <w:tcW w:w="1767" w:type="dxa"/>
            <w:tcBorders>
              <w:top w:val="nil"/>
              <w:left w:val="nil"/>
              <w:bottom w:val="single" w:sz="4" w:space="0" w:color="000000"/>
              <w:right w:val="single" w:sz="4" w:space="0" w:color="000000"/>
            </w:tcBorders>
            <w:hideMark/>
          </w:tcPr>
          <w:p w14:paraId="0397AD1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Defining indoor heat thresholds for health in the UK</w:t>
            </w:r>
          </w:p>
        </w:tc>
        <w:tc>
          <w:tcPr>
            <w:tcW w:w="2551" w:type="dxa"/>
            <w:tcBorders>
              <w:top w:val="nil"/>
              <w:left w:val="nil"/>
              <w:bottom w:val="single" w:sz="4" w:space="0" w:color="000000"/>
              <w:right w:val="single" w:sz="4" w:space="0" w:color="000000"/>
            </w:tcBorders>
            <w:hideMark/>
          </w:tcPr>
          <w:p w14:paraId="6CD8078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outline the need for indoor heat thresholds and to establish if they can be identified</w:t>
            </w:r>
          </w:p>
        </w:tc>
        <w:tc>
          <w:tcPr>
            <w:tcW w:w="981" w:type="dxa"/>
            <w:tcBorders>
              <w:top w:val="nil"/>
              <w:left w:val="nil"/>
              <w:bottom w:val="single" w:sz="4" w:space="0" w:color="000000"/>
              <w:right w:val="single" w:sz="4" w:space="0" w:color="000000"/>
            </w:tcBorders>
            <w:hideMark/>
          </w:tcPr>
          <w:p w14:paraId="36A5740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96</w:t>
            </w:r>
          </w:p>
        </w:tc>
        <w:tc>
          <w:tcPr>
            <w:tcW w:w="1464" w:type="dxa"/>
            <w:tcBorders>
              <w:top w:val="nil"/>
              <w:left w:val="nil"/>
              <w:bottom w:val="single" w:sz="4" w:space="0" w:color="000000"/>
              <w:right w:val="single" w:sz="4" w:space="0" w:color="000000"/>
            </w:tcBorders>
            <w:hideMark/>
          </w:tcPr>
          <w:p w14:paraId="0461DE95"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39A4B50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United Kingdom; included studies worldwide</w:t>
            </w:r>
          </w:p>
        </w:tc>
        <w:tc>
          <w:tcPr>
            <w:tcW w:w="1658" w:type="dxa"/>
            <w:tcBorders>
              <w:top w:val="nil"/>
              <w:left w:val="nil"/>
              <w:bottom w:val="single" w:sz="4" w:space="0" w:color="000000"/>
              <w:right w:val="single" w:sz="4" w:space="0" w:color="auto"/>
            </w:tcBorders>
            <w:hideMark/>
          </w:tcPr>
          <w:p w14:paraId="7EC1782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5BDC0C04" w14:textId="77777777" w:rsidTr="0042136E">
        <w:trPr>
          <w:trHeight w:val="3480"/>
        </w:trPr>
        <w:tc>
          <w:tcPr>
            <w:tcW w:w="2256" w:type="dxa"/>
            <w:gridSpan w:val="3"/>
            <w:tcBorders>
              <w:top w:val="nil"/>
              <w:left w:val="single" w:sz="4" w:space="0" w:color="auto"/>
              <w:bottom w:val="single" w:sz="4" w:space="0" w:color="000000"/>
              <w:right w:val="single" w:sz="4" w:space="0" w:color="000000"/>
            </w:tcBorders>
            <w:noWrap/>
            <w:hideMark/>
          </w:tcPr>
          <w:p w14:paraId="3F49BBB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Arbuthnott et al. (2017)</w:t>
            </w:r>
          </w:p>
        </w:tc>
        <w:tc>
          <w:tcPr>
            <w:tcW w:w="1767" w:type="dxa"/>
            <w:tcBorders>
              <w:top w:val="nil"/>
              <w:left w:val="nil"/>
              <w:bottom w:val="single" w:sz="4" w:space="0" w:color="000000"/>
              <w:right w:val="single" w:sz="4" w:space="0" w:color="000000"/>
            </w:tcBorders>
            <w:hideMark/>
          </w:tcPr>
          <w:p w14:paraId="0AB2B0C6"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The health effects of hotter summers and heat waves in the population of the United Kingdom: A review of the evidence</w:t>
            </w:r>
          </w:p>
        </w:tc>
        <w:tc>
          <w:tcPr>
            <w:tcW w:w="2551" w:type="dxa"/>
            <w:tcBorders>
              <w:top w:val="nil"/>
              <w:left w:val="nil"/>
              <w:bottom w:val="single" w:sz="4" w:space="0" w:color="000000"/>
              <w:right w:val="single" w:sz="4" w:space="0" w:color="000000"/>
            </w:tcBorders>
            <w:hideMark/>
          </w:tcPr>
          <w:p w14:paraId="0434613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bring together evidence from epidemiological studies and health impact assessments to provide an overview of what is known about effects of heat on population</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level health in the UK</w:t>
            </w:r>
          </w:p>
        </w:tc>
        <w:tc>
          <w:tcPr>
            <w:tcW w:w="981" w:type="dxa"/>
            <w:tcBorders>
              <w:top w:val="nil"/>
              <w:left w:val="nil"/>
              <w:bottom w:val="single" w:sz="4" w:space="0" w:color="000000"/>
              <w:right w:val="single" w:sz="4" w:space="0" w:color="000000"/>
            </w:tcBorders>
            <w:hideMark/>
          </w:tcPr>
          <w:p w14:paraId="68833BA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21 + 7</w:t>
            </w:r>
          </w:p>
        </w:tc>
        <w:tc>
          <w:tcPr>
            <w:tcW w:w="1464" w:type="dxa"/>
            <w:tcBorders>
              <w:top w:val="nil"/>
              <w:left w:val="nil"/>
              <w:bottom w:val="single" w:sz="4" w:space="0" w:color="000000"/>
              <w:right w:val="single" w:sz="4" w:space="0" w:color="000000"/>
            </w:tcBorders>
            <w:hideMark/>
          </w:tcPr>
          <w:p w14:paraId="0D951F8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2CE698E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United Kingdom</w:t>
            </w:r>
          </w:p>
        </w:tc>
        <w:tc>
          <w:tcPr>
            <w:tcW w:w="1658" w:type="dxa"/>
            <w:tcBorders>
              <w:top w:val="nil"/>
              <w:left w:val="nil"/>
              <w:bottom w:val="single" w:sz="4" w:space="0" w:color="000000"/>
              <w:right w:val="single" w:sz="4" w:space="0" w:color="auto"/>
            </w:tcBorders>
            <w:hideMark/>
          </w:tcPr>
          <w:p w14:paraId="2584346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507D773F" w14:textId="77777777" w:rsidTr="0042136E">
        <w:trPr>
          <w:trHeight w:val="2610"/>
        </w:trPr>
        <w:tc>
          <w:tcPr>
            <w:tcW w:w="2256" w:type="dxa"/>
            <w:gridSpan w:val="3"/>
            <w:tcBorders>
              <w:top w:val="nil"/>
              <w:left w:val="single" w:sz="4" w:space="0" w:color="auto"/>
              <w:bottom w:val="single" w:sz="4" w:space="0" w:color="000000"/>
              <w:right w:val="single" w:sz="4" w:space="0" w:color="000000"/>
            </w:tcBorders>
            <w:noWrap/>
            <w:hideMark/>
          </w:tcPr>
          <w:p w14:paraId="23C5EE2A"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Bittner (2014)</w:t>
            </w:r>
          </w:p>
        </w:tc>
        <w:tc>
          <w:tcPr>
            <w:tcW w:w="1767" w:type="dxa"/>
            <w:tcBorders>
              <w:top w:val="nil"/>
              <w:left w:val="nil"/>
              <w:bottom w:val="single" w:sz="4" w:space="0" w:color="000000"/>
              <w:right w:val="single" w:sz="4" w:space="0" w:color="000000"/>
            </w:tcBorders>
            <w:hideMark/>
          </w:tcPr>
          <w:p w14:paraId="7B4E8CA2" w14:textId="77777777" w:rsidR="005E1386" w:rsidRPr="003C62A7" w:rsidRDefault="005E1386" w:rsidP="0042136E">
            <w:pPr>
              <w:spacing w:before="0" w:after="0" w:line="240" w:lineRule="auto"/>
              <w:rPr>
                <w:rFonts w:ascii="Calibri" w:eastAsia="Times New Roman" w:hAnsi="Calibri" w:cs="Calibri"/>
                <w:color w:val="auto"/>
                <w:sz w:val="22"/>
                <w:szCs w:val="22"/>
                <w:lang w:eastAsia="en-GB"/>
              </w:rPr>
            </w:pPr>
            <w:r w:rsidRPr="003C62A7">
              <w:rPr>
                <w:rFonts w:ascii="Calibri" w:eastAsia="Times New Roman" w:hAnsi="Calibri" w:cs="Calibri"/>
                <w:color w:val="auto"/>
                <w:sz w:val="22"/>
                <w:szCs w:val="22"/>
                <w:lang w:eastAsia="en-GB"/>
              </w:rPr>
              <w:t>Effects of heat waves on mortality in Germany [Auswirkungen von Hitzewellen auf die Mortalität in Deutschland]</w:t>
            </w:r>
          </w:p>
        </w:tc>
        <w:tc>
          <w:tcPr>
            <w:tcW w:w="2551" w:type="dxa"/>
            <w:tcBorders>
              <w:top w:val="nil"/>
              <w:left w:val="nil"/>
              <w:bottom w:val="single" w:sz="4" w:space="0" w:color="000000"/>
              <w:right w:val="single" w:sz="4" w:space="0" w:color="000000"/>
            </w:tcBorders>
            <w:hideMark/>
          </w:tcPr>
          <w:p w14:paraId="0F7618B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summarize and critically evaluate the results available for Germany on the subject of heatwave-associated mortality</w:t>
            </w:r>
          </w:p>
        </w:tc>
        <w:tc>
          <w:tcPr>
            <w:tcW w:w="981" w:type="dxa"/>
            <w:tcBorders>
              <w:top w:val="nil"/>
              <w:left w:val="nil"/>
              <w:bottom w:val="single" w:sz="4" w:space="0" w:color="000000"/>
              <w:right w:val="single" w:sz="4" w:space="0" w:color="000000"/>
            </w:tcBorders>
            <w:hideMark/>
          </w:tcPr>
          <w:p w14:paraId="409EF3AE"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12</w:t>
            </w:r>
          </w:p>
        </w:tc>
        <w:tc>
          <w:tcPr>
            <w:tcW w:w="1464" w:type="dxa"/>
            <w:tcBorders>
              <w:top w:val="nil"/>
              <w:left w:val="nil"/>
              <w:bottom w:val="single" w:sz="4" w:space="0" w:color="000000"/>
              <w:right w:val="single" w:sz="4" w:space="0" w:color="000000"/>
            </w:tcBorders>
            <w:hideMark/>
          </w:tcPr>
          <w:p w14:paraId="2CF733D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228C08C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Germany</w:t>
            </w:r>
          </w:p>
        </w:tc>
        <w:tc>
          <w:tcPr>
            <w:tcW w:w="1658" w:type="dxa"/>
            <w:tcBorders>
              <w:top w:val="nil"/>
              <w:left w:val="nil"/>
              <w:bottom w:val="single" w:sz="4" w:space="0" w:color="000000"/>
              <w:right w:val="single" w:sz="4" w:space="0" w:color="auto"/>
            </w:tcBorders>
            <w:hideMark/>
          </w:tcPr>
          <w:p w14:paraId="7139C668"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78527946" w14:textId="77777777" w:rsidTr="0042136E">
        <w:trPr>
          <w:trHeight w:val="2610"/>
        </w:trPr>
        <w:tc>
          <w:tcPr>
            <w:tcW w:w="2256" w:type="dxa"/>
            <w:gridSpan w:val="3"/>
            <w:tcBorders>
              <w:top w:val="nil"/>
              <w:left w:val="single" w:sz="4" w:space="0" w:color="auto"/>
              <w:bottom w:val="single" w:sz="4" w:space="0" w:color="000000"/>
              <w:right w:val="single" w:sz="4" w:space="0" w:color="000000"/>
            </w:tcBorders>
            <w:noWrap/>
            <w:hideMark/>
          </w:tcPr>
          <w:p w14:paraId="7854824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Green et al. (2019)</w:t>
            </w:r>
          </w:p>
        </w:tc>
        <w:tc>
          <w:tcPr>
            <w:tcW w:w="1767" w:type="dxa"/>
            <w:tcBorders>
              <w:top w:val="nil"/>
              <w:left w:val="nil"/>
              <w:bottom w:val="single" w:sz="4" w:space="0" w:color="000000"/>
              <w:right w:val="single" w:sz="4" w:space="0" w:color="000000"/>
            </w:tcBorders>
            <w:hideMark/>
          </w:tcPr>
          <w:p w14:paraId="5D16C83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Impact of heat on mortality and morbidity in low and middle income countries: A review of the epidemiological evidence and considerations for future research</w:t>
            </w:r>
          </w:p>
        </w:tc>
        <w:tc>
          <w:tcPr>
            <w:tcW w:w="2551" w:type="dxa"/>
            <w:tcBorders>
              <w:top w:val="nil"/>
              <w:left w:val="nil"/>
              <w:bottom w:val="single" w:sz="4" w:space="0" w:color="000000"/>
              <w:right w:val="single" w:sz="4" w:space="0" w:color="000000"/>
            </w:tcBorders>
            <w:hideMark/>
          </w:tcPr>
          <w:p w14:paraId="4E0AD6F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review the existing evidence in the literature on the impact of heat on human health in low and middle income countries</w:t>
            </w:r>
          </w:p>
        </w:tc>
        <w:tc>
          <w:tcPr>
            <w:tcW w:w="981" w:type="dxa"/>
            <w:tcBorders>
              <w:top w:val="nil"/>
              <w:left w:val="nil"/>
              <w:bottom w:val="single" w:sz="4" w:space="0" w:color="000000"/>
              <w:right w:val="single" w:sz="4" w:space="0" w:color="000000"/>
            </w:tcBorders>
            <w:hideMark/>
          </w:tcPr>
          <w:p w14:paraId="10E4BEE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146, 7 from Europe</w:t>
            </w:r>
          </w:p>
        </w:tc>
        <w:tc>
          <w:tcPr>
            <w:tcW w:w="1464" w:type="dxa"/>
            <w:tcBorders>
              <w:top w:val="nil"/>
              <w:left w:val="nil"/>
              <w:bottom w:val="single" w:sz="4" w:space="0" w:color="000000"/>
              <w:right w:val="single" w:sz="4" w:space="0" w:color="000000"/>
            </w:tcBorders>
            <w:hideMark/>
          </w:tcPr>
          <w:p w14:paraId="327C9E94"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71DC548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 (low- and middle</w:t>
            </w:r>
            <w:r>
              <w:rPr>
                <w:rFonts w:ascii="Calibri" w:eastAsia="Times New Roman" w:hAnsi="Calibri" w:cs="Calibri"/>
                <w:color w:val="auto"/>
                <w:sz w:val="22"/>
                <w:szCs w:val="22"/>
                <w:lang w:val="en-GB" w:eastAsia="en-GB"/>
              </w:rPr>
              <w:t>-</w:t>
            </w:r>
            <w:r w:rsidRPr="003C62A7">
              <w:rPr>
                <w:rFonts w:ascii="Calibri" w:eastAsia="Times New Roman" w:hAnsi="Calibri" w:cs="Calibri"/>
                <w:color w:val="auto"/>
                <w:sz w:val="22"/>
                <w:szCs w:val="22"/>
                <w:lang w:val="en-GB" w:eastAsia="en-GB"/>
              </w:rPr>
              <w:t>income countries); included studies from Asia, Sub-Saharan Africa, the Middle East and North Africa, Latin America and Europe</w:t>
            </w:r>
          </w:p>
        </w:tc>
        <w:tc>
          <w:tcPr>
            <w:tcW w:w="1658" w:type="dxa"/>
            <w:tcBorders>
              <w:top w:val="nil"/>
              <w:left w:val="nil"/>
              <w:bottom w:val="single" w:sz="4" w:space="0" w:color="000000"/>
              <w:right w:val="single" w:sz="4" w:space="0" w:color="auto"/>
            </w:tcBorders>
            <w:hideMark/>
          </w:tcPr>
          <w:p w14:paraId="2CA2B04E"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6F762D54" w14:textId="77777777" w:rsidTr="0042136E">
        <w:trPr>
          <w:trHeight w:val="1160"/>
        </w:trPr>
        <w:tc>
          <w:tcPr>
            <w:tcW w:w="2256" w:type="dxa"/>
            <w:gridSpan w:val="3"/>
            <w:tcBorders>
              <w:top w:val="nil"/>
              <w:left w:val="single" w:sz="4" w:space="0" w:color="auto"/>
              <w:bottom w:val="single" w:sz="4" w:space="0" w:color="000000"/>
              <w:right w:val="single" w:sz="4" w:space="0" w:color="000000"/>
            </w:tcBorders>
            <w:noWrap/>
            <w:hideMark/>
          </w:tcPr>
          <w:p w14:paraId="0F036393"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Martiello et al. (2010)</w:t>
            </w:r>
          </w:p>
        </w:tc>
        <w:tc>
          <w:tcPr>
            <w:tcW w:w="1767" w:type="dxa"/>
            <w:tcBorders>
              <w:top w:val="nil"/>
              <w:left w:val="nil"/>
              <w:bottom w:val="single" w:sz="4" w:space="0" w:color="000000"/>
              <w:right w:val="single" w:sz="4" w:space="0" w:color="000000"/>
            </w:tcBorders>
            <w:hideMark/>
          </w:tcPr>
          <w:p w14:paraId="100FBCAC"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High temperatures and health outcomes: A review of the literature</w:t>
            </w:r>
          </w:p>
        </w:tc>
        <w:tc>
          <w:tcPr>
            <w:tcW w:w="2551" w:type="dxa"/>
            <w:tcBorders>
              <w:top w:val="nil"/>
              <w:left w:val="nil"/>
              <w:bottom w:val="single" w:sz="4" w:space="0" w:color="000000"/>
              <w:right w:val="single" w:sz="4" w:space="0" w:color="000000"/>
            </w:tcBorders>
            <w:hideMark/>
          </w:tcPr>
          <w:p w14:paraId="46C5C3C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review the epidemiological evidence of the health impact of high temperatures on the population, as well as the associated risk and protective factors</w:t>
            </w:r>
          </w:p>
        </w:tc>
        <w:tc>
          <w:tcPr>
            <w:tcW w:w="981" w:type="dxa"/>
            <w:tcBorders>
              <w:top w:val="nil"/>
              <w:left w:val="nil"/>
              <w:bottom w:val="single" w:sz="4" w:space="0" w:color="000000"/>
              <w:right w:val="single" w:sz="4" w:space="0" w:color="000000"/>
            </w:tcBorders>
            <w:hideMark/>
          </w:tcPr>
          <w:p w14:paraId="2BF4E3CB"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113</w:t>
            </w:r>
          </w:p>
        </w:tc>
        <w:tc>
          <w:tcPr>
            <w:tcW w:w="1464" w:type="dxa"/>
            <w:tcBorders>
              <w:top w:val="nil"/>
              <w:left w:val="nil"/>
              <w:bottom w:val="single" w:sz="4" w:space="0" w:color="000000"/>
              <w:right w:val="single" w:sz="4" w:space="0" w:color="000000"/>
            </w:tcBorders>
            <w:hideMark/>
          </w:tcPr>
          <w:p w14:paraId="6CD39A31"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000000"/>
              <w:right w:val="single" w:sz="4" w:space="0" w:color="000000"/>
            </w:tcBorders>
            <w:hideMark/>
          </w:tcPr>
          <w:p w14:paraId="0CCF3387"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W</w:t>
            </w:r>
            <w:r w:rsidRPr="003C62A7">
              <w:rPr>
                <w:rFonts w:ascii="Calibri" w:eastAsia="Times New Roman" w:hAnsi="Calibri" w:cs="Calibri"/>
                <w:color w:val="auto"/>
                <w:sz w:val="22"/>
                <w:szCs w:val="22"/>
                <w:lang w:val="en-GB" w:eastAsia="en-GB"/>
              </w:rPr>
              <w:t>orldwide</w:t>
            </w:r>
          </w:p>
        </w:tc>
        <w:tc>
          <w:tcPr>
            <w:tcW w:w="1658" w:type="dxa"/>
            <w:tcBorders>
              <w:top w:val="nil"/>
              <w:left w:val="nil"/>
              <w:bottom w:val="single" w:sz="4" w:space="0" w:color="000000"/>
              <w:right w:val="single" w:sz="4" w:space="0" w:color="auto"/>
            </w:tcBorders>
            <w:hideMark/>
          </w:tcPr>
          <w:p w14:paraId="03F880E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G</w:t>
            </w:r>
            <w:r w:rsidRPr="003C62A7">
              <w:rPr>
                <w:rFonts w:ascii="Calibri" w:eastAsia="Times New Roman" w:hAnsi="Calibri" w:cs="Calibri"/>
                <w:color w:val="auto"/>
                <w:sz w:val="22"/>
                <w:szCs w:val="22"/>
                <w:lang w:val="en-GB" w:eastAsia="en-GB"/>
              </w:rPr>
              <w:t>eneral population</w:t>
            </w:r>
          </w:p>
        </w:tc>
      </w:tr>
      <w:tr w:rsidR="005E1386" w:rsidRPr="003C62A7" w14:paraId="3743D709" w14:textId="77777777" w:rsidTr="0042136E">
        <w:trPr>
          <w:trHeight w:val="1160"/>
        </w:trPr>
        <w:tc>
          <w:tcPr>
            <w:tcW w:w="2256" w:type="dxa"/>
            <w:gridSpan w:val="3"/>
            <w:tcBorders>
              <w:top w:val="nil"/>
              <w:left w:val="single" w:sz="4" w:space="0" w:color="auto"/>
              <w:bottom w:val="single" w:sz="4" w:space="0" w:color="auto"/>
              <w:right w:val="single" w:sz="4" w:space="0" w:color="000000"/>
            </w:tcBorders>
            <w:noWrap/>
            <w:hideMark/>
          </w:tcPr>
          <w:p w14:paraId="23B5E2A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lastRenderedPageBreak/>
              <w:t>van Steen et al. (2019)</w:t>
            </w:r>
          </w:p>
        </w:tc>
        <w:tc>
          <w:tcPr>
            <w:tcW w:w="1767" w:type="dxa"/>
            <w:tcBorders>
              <w:top w:val="nil"/>
              <w:left w:val="nil"/>
              <w:bottom w:val="single" w:sz="4" w:space="0" w:color="auto"/>
              <w:right w:val="single" w:sz="4" w:space="0" w:color="000000"/>
            </w:tcBorders>
            <w:hideMark/>
          </w:tcPr>
          <w:p w14:paraId="13C60E19"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Sex differences in mortality after heat waves: Are elderly women at higher risk?</w:t>
            </w:r>
          </w:p>
        </w:tc>
        <w:tc>
          <w:tcPr>
            <w:tcW w:w="2551" w:type="dxa"/>
            <w:tcBorders>
              <w:top w:val="nil"/>
              <w:left w:val="nil"/>
              <w:bottom w:val="single" w:sz="4" w:space="0" w:color="auto"/>
              <w:right w:val="single" w:sz="4" w:space="0" w:color="000000"/>
            </w:tcBorders>
            <w:hideMark/>
          </w:tcPr>
          <w:p w14:paraId="3017833D"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To review the presence of sex-specific results in studies performed on mortality in elderly (&gt; 65 years old) after heat waves in Europe</w:t>
            </w:r>
          </w:p>
        </w:tc>
        <w:tc>
          <w:tcPr>
            <w:tcW w:w="981" w:type="dxa"/>
            <w:tcBorders>
              <w:top w:val="nil"/>
              <w:left w:val="nil"/>
              <w:bottom w:val="single" w:sz="4" w:space="0" w:color="auto"/>
              <w:right w:val="single" w:sz="4" w:space="0" w:color="000000"/>
            </w:tcBorders>
            <w:hideMark/>
          </w:tcPr>
          <w:p w14:paraId="111290CE" w14:textId="77777777" w:rsidR="005E1386" w:rsidRPr="003C62A7" w:rsidRDefault="005E1386" w:rsidP="0042136E">
            <w:pPr>
              <w:spacing w:before="0" w:after="0" w:line="240" w:lineRule="auto"/>
              <w:jc w:val="right"/>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13</w:t>
            </w:r>
          </w:p>
        </w:tc>
        <w:tc>
          <w:tcPr>
            <w:tcW w:w="1464" w:type="dxa"/>
            <w:tcBorders>
              <w:top w:val="nil"/>
              <w:left w:val="nil"/>
              <w:bottom w:val="single" w:sz="4" w:space="0" w:color="auto"/>
              <w:right w:val="single" w:sz="4" w:space="0" w:color="000000"/>
            </w:tcBorders>
            <w:hideMark/>
          </w:tcPr>
          <w:p w14:paraId="1049F9EB"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nr</w:t>
            </w:r>
          </w:p>
        </w:tc>
        <w:tc>
          <w:tcPr>
            <w:tcW w:w="1565" w:type="dxa"/>
            <w:tcBorders>
              <w:top w:val="nil"/>
              <w:left w:val="nil"/>
              <w:bottom w:val="single" w:sz="4" w:space="0" w:color="auto"/>
              <w:right w:val="single" w:sz="4" w:space="0" w:color="000000"/>
            </w:tcBorders>
            <w:hideMark/>
          </w:tcPr>
          <w:p w14:paraId="01056000"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sidRPr="003C62A7">
              <w:rPr>
                <w:rFonts w:ascii="Calibri" w:eastAsia="Times New Roman" w:hAnsi="Calibri" w:cs="Calibri"/>
                <w:color w:val="auto"/>
                <w:sz w:val="22"/>
                <w:szCs w:val="22"/>
                <w:lang w:val="en-GB" w:eastAsia="en-GB"/>
              </w:rPr>
              <w:t>European countries</w:t>
            </w:r>
          </w:p>
        </w:tc>
        <w:tc>
          <w:tcPr>
            <w:tcW w:w="1658" w:type="dxa"/>
            <w:tcBorders>
              <w:top w:val="nil"/>
              <w:left w:val="nil"/>
              <w:bottom w:val="single" w:sz="4" w:space="0" w:color="auto"/>
              <w:right w:val="single" w:sz="4" w:space="0" w:color="auto"/>
            </w:tcBorders>
            <w:hideMark/>
          </w:tcPr>
          <w:p w14:paraId="4640993F" w14:textId="77777777" w:rsidR="005E1386" w:rsidRPr="003C62A7" w:rsidRDefault="005E1386" w:rsidP="0042136E">
            <w:pPr>
              <w:spacing w:before="0" w:after="0" w:line="240" w:lineRule="auto"/>
              <w:rPr>
                <w:rFonts w:ascii="Calibri" w:eastAsia="Times New Roman" w:hAnsi="Calibri" w:cs="Calibri"/>
                <w:color w:val="auto"/>
                <w:sz w:val="22"/>
                <w:szCs w:val="22"/>
                <w:lang w:val="en-GB" w:eastAsia="en-GB"/>
              </w:rPr>
            </w:pPr>
            <w:r>
              <w:rPr>
                <w:rFonts w:ascii="Calibri" w:eastAsia="Times New Roman" w:hAnsi="Calibri" w:cs="Calibri"/>
                <w:color w:val="auto"/>
                <w:sz w:val="22"/>
                <w:szCs w:val="22"/>
                <w:lang w:val="en-GB" w:eastAsia="en-GB"/>
              </w:rPr>
              <w:t>P</w:t>
            </w:r>
            <w:r w:rsidRPr="003C62A7">
              <w:rPr>
                <w:rFonts w:ascii="Calibri" w:eastAsia="Times New Roman" w:hAnsi="Calibri" w:cs="Calibri"/>
                <w:color w:val="auto"/>
                <w:sz w:val="22"/>
                <w:szCs w:val="22"/>
                <w:lang w:val="en-GB" w:eastAsia="en-GB"/>
              </w:rPr>
              <w:t>opulation &gt;=65</w:t>
            </w:r>
          </w:p>
        </w:tc>
      </w:tr>
    </w:tbl>
    <w:bookmarkEnd w:id="0"/>
    <w:p w14:paraId="409D4EB5" w14:textId="77777777" w:rsidR="005E1386" w:rsidRPr="004F13DA" w:rsidRDefault="005E1386" w:rsidP="005E1386">
      <w:pPr>
        <w:rPr>
          <w:rFonts w:ascii="Calibri" w:hAnsi="Calibri" w:cs="Calibri"/>
          <w:bCs/>
          <w:color w:val="000000" w:themeColor="text1"/>
          <w:sz w:val="18"/>
          <w:szCs w:val="18"/>
          <w:lang w:val="en-US"/>
        </w:rPr>
      </w:pPr>
      <w:r w:rsidRPr="004F13DA">
        <w:rPr>
          <w:rFonts w:ascii="Calibri" w:hAnsi="Calibri" w:cs="Calibri"/>
          <w:bCs/>
          <w:color w:val="000000" w:themeColor="text1"/>
          <w:sz w:val="18"/>
          <w:szCs w:val="18"/>
          <w:vertAlign w:val="superscript"/>
          <w:lang w:val="en-US"/>
        </w:rPr>
        <w:t>ⴕ</w:t>
      </w:r>
      <w:r>
        <w:rPr>
          <w:rFonts w:ascii="Calibri" w:hAnsi="Calibri" w:cs="Calibri"/>
          <w:bCs/>
          <w:color w:val="000000" w:themeColor="text1"/>
          <w:sz w:val="18"/>
          <w:szCs w:val="18"/>
          <w:lang w:val="en-US"/>
        </w:rPr>
        <w:t xml:space="preserve"> retrieved through updated search 9/2025</w:t>
      </w:r>
    </w:p>
    <w:p w14:paraId="6DE158CE" w14:textId="77777777" w:rsidR="005E1386" w:rsidRDefault="005E1386" w:rsidP="005E1386">
      <w:pPr>
        <w:rPr>
          <w:b/>
          <w:color w:val="000000" w:themeColor="text1"/>
          <w:sz w:val="22"/>
          <w:szCs w:val="22"/>
          <w:lang w:val="en-US"/>
        </w:rPr>
      </w:pPr>
    </w:p>
    <w:p w14:paraId="7918DBFB" w14:textId="77777777" w:rsidR="005E1386" w:rsidRDefault="005E1386" w:rsidP="005E1386">
      <w:pPr>
        <w:pStyle w:val="berschrift21"/>
        <w:rPr>
          <w:lang w:val="en-US"/>
        </w:rPr>
      </w:pPr>
      <w:r>
        <w:rPr>
          <w:lang w:val="en-US"/>
        </w:rPr>
        <w:t>Appendix 5: Overview of characteristics of primary studies</w:t>
      </w:r>
    </w:p>
    <w:tbl>
      <w:tblPr>
        <w:tblW w:w="12242" w:type="dxa"/>
        <w:tblLook w:val="04A0" w:firstRow="1" w:lastRow="0" w:firstColumn="1" w:lastColumn="0" w:noHBand="0" w:noVBand="1"/>
      </w:tblPr>
      <w:tblGrid>
        <w:gridCol w:w="2097"/>
        <w:gridCol w:w="1019"/>
        <w:gridCol w:w="1523"/>
        <w:gridCol w:w="1523"/>
        <w:gridCol w:w="1364"/>
        <w:gridCol w:w="1776"/>
        <w:gridCol w:w="1295"/>
        <w:gridCol w:w="1645"/>
      </w:tblGrid>
      <w:tr w:rsidR="005E1386" w:rsidRPr="00673CDA" w14:paraId="1E5CC8A9" w14:textId="77777777" w:rsidTr="0042136E">
        <w:trPr>
          <w:trHeight w:val="290"/>
        </w:trPr>
        <w:tc>
          <w:tcPr>
            <w:tcW w:w="1929" w:type="dxa"/>
            <w:tcBorders>
              <w:top w:val="single" w:sz="4" w:space="0" w:color="auto"/>
              <w:left w:val="single" w:sz="4" w:space="0" w:color="auto"/>
              <w:bottom w:val="single" w:sz="4" w:space="0" w:color="auto"/>
              <w:right w:val="single" w:sz="4" w:space="0" w:color="auto"/>
            </w:tcBorders>
            <w:noWrap/>
            <w:hideMark/>
          </w:tcPr>
          <w:p w14:paraId="49BC23D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w:t>
            </w:r>
          </w:p>
        </w:tc>
        <w:tc>
          <w:tcPr>
            <w:tcW w:w="2352" w:type="dxa"/>
            <w:gridSpan w:val="2"/>
            <w:tcBorders>
              <w:top w:val="single" w:sz="4" w:space="0" w:color="auto"/>
              <w:left w:val="nil"/>
              <w:bottom w:val="single" w:sz="4" w:space="0" w:color="auto"/>
              <w:right w:val="nil"/>
            </w:tcBorders>
            <w:shd w:val="clear" w:color="D9E1F2" w:fill="D9E1F2"/>
            <w:noWrap/>
            <w:hideMark/>
          </w:tcPr>
          <w:p w14:paraId="51B7F274" w14:textId="77777777" w:rsidR="005E1386" w:rsidRPr="00673CDA"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673CDA">
              <w:rPr>
                <w:rFonts w:ascii="Calibri" w:eastAsia="Times New Roman" w:hAnsi="Calibri" w:cs="Calibri"/>
                <w:b/>
                <w:bCs/>
                <w:color w:val="auto"/>
                <w:sz w:val="22"/>
                <w:szCs w:val="22"/>
                <w:lang w:val="en-GB" w:eastAsia="en-GB"/>
              </w:rPr>
              <w:t>Study basics</w:t>
            </w:r>
          </w:p>
        </w:tc>
        <w:tc>
          <w:tcPr>
            <w:tcW w:w="4301" w:type="dxa"/>
            <w:gridSpan w:val="3"/>
            <w:tcBorders>
              <w:top w:val="single" w:sz="4" w:space="0" w:color="auto"/>
              <w:left w:val="single" w:sz="4" w:space="0" w:color="auto"/>
              <w:bottom w:val="single" w:sz="4" w:space="0" w:color="auto"/>
              <w:right w:val="single" w:sz="4" w:space="0" w:color="000000"/>
            </w:tcBorders>
            <w:shd w:val="clear" w:color="E2EFDA" w:fill="E2EFDA"/>
            <w:noWrap/>
            <w:hideMark/>
          </w:tcPr>
          <w:p w14:paraId="18DD35F1" w14:textId="77777777" w:rsidR="005E1386" w:rsidRPr="00673CDA"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673CDA">
              <w:rPr>
                <w:rFonts w:ascii="Calibri" w:eastAsia="Times New Roman" w:hAnsi="Calibri" w:cs="Calibri"/>
                <w:b/>
                <w:bCs/>
                <w:color w:val="auto"/>
                <w:sz w:val="22"/>
                <w:szCs w:val="22"/>
                <w:lang w:val="en-GB" w:eastAsia="en-GB"/>
              </w:rPr>
              <w:t>Study characteristics</w:t>
            </w:r>
          </w:p>
        </w:tc>
        <w:tc>
          <w:tcPr>
            <w:tcW w:w="3660" w:type="dxa"/>
            <w:gridSpan w:val="2"/>
            <w:tcBorders>
              <w:top w:val="single" w:sz="4" w:space="0" w:color="auto"/>
              <w:left w:val="nil"/>
              <w:bottom w:val="single" w:sz="4" w:space="0" w:color="auto"/>
              <w:right w:val="single" w:sz="4" w:space="0" w:color="000000"/>
            </w:tcBorders>
            <w:shd w:val="clear" w:color="FFF2CC" w:fill="FFF2CC"/>
            <w:noWrap/>
            <w:hideMark/>
          </w:tcPr>
          <w:p w14:paraId="796B244E" w14:textId="77777777" w:rsidR="005E1386" w:rsidRPr="00673CDA"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673CDA">
              <w:rPr>
                <w:rFonts w:ascii="Calibri" w:eastAsia="Times New Roman" w:hAnsi="Calibri" w:cs="Calibri"/>
                <w:b/>
                <w:bCs/>
                <w:color w:val="auto"/>
                <w:sz w:val="22"/>
                <w:szCs w:val="22"/>
                <w:lang w:val="en-GB" w:eastAsia="en-GB"/>
              </w:rPr>
              <w:t>Population and Setting</w:t>
            </w:r>
          </w:p>
        </w:tc>
      </w:tr>
      <w:tr w:rsidR="005E1386" w:rsidRPr="00673CDA" w14:paraId="11C94615" w14:textId="77777777" w:rsidTr="0042136E">
        <w:trPr>
          <w:trHeight w:val="880"/>
        </w:trPr>
        <w:tc>
          <w:tcPr>
            <w:tcW w:w="1929" w:type="dxa"/>
            <w:tcBorders>
              <w:top w:val="nil"/>
              <w:left w:val="single" w:sz="4" w:space="0" w:color="auto"/>
              <w:bottom w:val="nil"/>
              <w:right w:val="single" w:sz="4" w:space="0" w:color="auto"/>
            </w:tcBorders>
            <w:noWrap/>
            <w:hideMark/>
          </w:tcPr>
          <w:p w14:paraId="688ACCD7"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Study ID</w:t>
            </w:r>
          </w:p>
        </w:tc>
        <w:tc>
          <w:tcPr>
            <w:tcW w:w="947" w:type="dxa"/>
            <w:tcBorders>
              <w:top w:val="nil"/>
              <w:left w:val="nil"/>
              <w:bottom w:val="nil"/>
              <w:right w:val="single" w:sz="4" w:space="0" w:color="auto"/>
            </w:tcBorders>
            <w:shd w:val="clear" w:color="D9E1F2" w:fill="D9E1F2"/>
            <w:hideMark/>
          </w:tcPr>
          <w:p w14:paraId="2FE13EF4"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First author and year</w:t>
            </w:r>
          </w:p>
        </w:tc>
        <w:tc>
          <w:tcPr>
            <w:tcW w:w="1405" w:type="dxa"/>
            <w:tcBorders>
              <w:top w:val="nil"/>
              <w:left w:val="nil"/>
              <w:bottom w:val="nil"/>
              <w:right w:val="single" w:sz="4" w:space="0" w:color="auto"/>
            </w:tcBorders>
            <w:shd w:val="clear" w:color="D9E1F2" w:fill="D9E1F2"/>
            <w:hideMark/>
          </w:tcPr>
          <w:p w14:paraId="6F38F13A"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Title</w:t>
            </w:r>
          </w:p>
        </w:tc>
        <w:tc>
          <w:tcPr>
            <w:tcW w:w="1405" w:type="dxa"/>
            <w:tcBorders>
              <w:top w:val="nil"/>
              <w:left w:val="nil"/>
              <w:bottom w:val="nil"/>
              <w:right w:val="single" w:sz="4" w:space="0" w:color="auto"/>
            </w:tcBorders>
            <w:shd w:val="clear" w:color="E2EFDA" w:fill="E2EFDA"/>
            <w:hideMark/>
          </w:tcPr>
          <w:p w14:paraId="768B2F0F"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Study aim(s)</w:t>
            </w:r>
          </w:p>
        </w:tc>
        <w:tc>
          <w:tcPr>
            <w:tcW w:w="1260" w:type="dxa"/>
            <w:tcBorders>
              <w:top w:val="nil"/>
              <w:left w:val="nil"/>
              <w:bottom w:val="nil"/>
              <w:right w:val="single" w:sz="4" w:space="0" w:color="auto"/>
            </w:tcBorders>
            <w:shd w:val="clear" w:color="E2EFDA" w:fill="E2EFDA"/>
            <w:hideMark/>
          </w:tcPr>
          <w:p w14:paraId="54994F5B"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Time of data collection</w:t>
            </w:r>
          </w:p>
        </w:tc>
        <w:tc>
          <w:tcPr>
            <w:tcW w:w="1636" w:type="dxa"/>
            <w:tcBorders>
              <w:top w:val="nil"/>
              <w:left w:val="nil"/>
              <w:bottom w:val="nil"/>
              <w:right w:val="single" w:sz="4" w:space="0" w:color="auto"/>
            </w:tcBorders>
            <w:shd w:val="clear" w:color="E2EFDA" w:fill="E2EFDA"/>
            <w:hideMark/>
          </w:tcPr>
          <w:p w14:paraId="1886281C"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Data sources</w:t>
            </w:r>
          </w:p>
        </w:tc>
        <w:tc>
          <w:tcPr>
            <w:tcW w:w="1198" w:type="dxa"/>
            <w:tcBorders>
              <w:top w:val="nil"/>
              <w:left w:val="nil"/>
              <w:bottom w:val="nil"/>
              <w:right w:val="single" w:sz="4" w:space="0" w:color="auto"/>
            </w:tcBorders>
            <w:shd w:val="clear" w:color="FFF2CC" w:fill="FFF2CC"/>
            <w:hideMark/>
          </w:tcPr>
          <w:p w14:paraId="6DBD69AD"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Geographic focus (e.g. country/ countries)</w:t>
            </w:r>
          </w:p>
        </w:tc>
        <w:tc>
          <w:tcPr>
            <w:tcW w:w="2462" w:type="dxa"/>
            <w:tcBorders>
              <w:top w:val="nil"/>
              <w:left w:val="nil"/>
              <w:bottom w:val="nil"/>
              <w:right w:val="single" w:sz="4" w:space="0" w:color="auto"/>
            </w:tcBorders>
            <w:shd w:val="clear" w:color="FFF2CC" w:fill="FFF2CC"/>
            <w:hideMark/>
          </w:tcPr>
          <w:p w14:paraId="168BF1D5"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 xml:space="preserve">Population(s) of interest </w:t>
            </w:r>
          </w:p>
        </w:tc>
      </w:tr>
      <w:tr w:rsidR="005E1386" w:rsidRPr="00673CDA" w14:paraId="15D2708F" w14:textId="77777777" w:rsidTr="0042136E">
        <w:trPr>
          <w:trHeight w:val="300"/>
        </w:trPr>
        <w:tc>
          <w:tcPr>
            <w:tcW w:w="12242" w:type="dxa"/>
            <w:gridSpan w:val="8"/>
            <w:tcBorders>
              <w:top w:val="single" w:sz="4" w:space="0" w:color="auto"/>
              <w:left w:val="single" w:sz="4" w:space="0" w:color="auto"/>
              <w:bottom w:val="single" w:sz="4" w:space="0" w:color="auto"/>
              <w:right w:val="single" w:sz="4" w:space="0" w:color="000000"/>
            </w:tcBorders>
            <w:shd w:val="clear" w:color="000000" w:fill="E7E6E6"/>
            <w:noWrap/>
            <w:hideMark/>
          </w:tcPr>
          <w:p w14:paraId="719254F7" w14:textId="77777777" w:rsidR="005E1386" w:rsidRPr="00673CDA" w:rsidRDefault="005E1386" w:rsidP="0042136E">
            <w:pPr>
              <w:spacing w:before="0" w:after="0" w:line="240" w:lineRule="auto"/>
              <w:jc w:val="center"/>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Ecological design</w:t>
            </w:r>
          </w:p>
        </w:tc>
      </w:tr>
      <w:tr w:rsidR="005E1386" w:rsidRPr="00673CDA" w14:paraId="3FED9E0C" w14:textId="77777777" w:rsidTr="0042136E">
        <w:trPr>
          <w:trHeight w:val="2428"/>
        </w:trPr>
        <w:tc>
          <w:tcPr>
            <w:tcW w:w="1929" w:type="dxa"/>
            <w:tcBorders>
              <w:top w:val="nil"/>
              <w:left w:val="single" w:sz="4" w:space="0" w:color="000000"/>
              <w:bottom w:val="single" w:sz="4" w:space="0" w:color="000000"/>
              <w:right w:val="single" w:sz="4" w:space="0" w:color="000000"/>
            </w:tcBorders>
            <w:hideMark/>
          </w:tcPr>
          <w:p w14:paraId="4534D5E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Astone_2022</w:t>
            </w:r>
          </w:p>
        </w:tc>
        <w:tc>
          <w:tcPr>
            <w:tcW w:w="947" w:type="dxa"/>
            <w:tcBorders>
              <w:top w:val="nil"/>
              <w:left w:val="nil"/>
              <w:bottom w:val="single" w:sz="4" w:space="0" w:color="000000"/>
              <w:right w:val="single" w:sz="4" w:space="0" w:color="000000"/>
            </w:tcBorders>
            <w:hideMark/>
          </w:tcPr>
          <w:p w14:paraId="16FF8C8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Astone et al. (2022)</w:t>
            </w:r>
          </w:p>
        </w:tc>
        <w:tc>
          <w:tcPr>
            <w:tcW w:w="1405" w:type="dxa"/>
            <w:tcBorders>
              <w:top w:val="nil"/>
              <w:left w:val="nil"/>
              <w:bottom w:val="single" w:sz="4" w:space="0" w:color="000000"/>
              <w:right w:val="single" w:sz="4" w:space="0" w:color="000000"/>
            </w:tcBorders>
            <w:hideMark/>
          </w:tcPr>
          <w:p w14:paraId="64BE45E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Climate change and health: Consequences of high temperatures among vulnerable groups in Finland</w:t>
            </w:r>
          </w:p>
        </w:tc>
        <w:tc>
          <w:tcPr>
            <w:tcW w:w="1405" w:type="dxa"/>
            <w:tcBorders>
              <w:top w:val="nil"/>
              <w:left w:val="nil"/>
              <w:bottom w:val="single" w:sz="4" w:space="0" w:color="000000"/>
              <w:right w:val="single" w:sz="4" w:space="0" w:color="000000"/>
            </w:tcBorders>
            <w:hideMark/>
          </w:tcPr>
          <w:p w14:paraId="728C46E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examine the causal effects of high temperatures on health care use and mortality in Finland, by establishing the overall effect on the whole population and </w:t>
            </w:r>
            <w:r w:rsidRPr="00673CDA">
              <w:rPr>
                <w:rFonts w:ascii="Calibri" w:eastAsia="Times New Roman" w:hAnsi="Calibri" w:cs="Calibri"/>
                <w:color w:val="000000"/>
                <w:sz w:val="22"/>
                <w:szCs w:val="22"/>
                <w:lang w:val="en-GB" w:eastAsia="en-GB"/>
              </w:rPr>
              <w:lastRenderedPageBreak/>
              <w:t>identifying risk groups</w:t>
            </w:r>
          </w:p>
        </w:tc>
        <w:tc>
          <w:tcPr>
            <w:tcW w:w="1260" w:type="dxa"/>
            <w:tcBorders>
              <w:top w:val="nil"/>
              <w:left w:val="nil"/>
              <w:bottom w:val="single" w:sz="4" w:space="0" w:color="000000"/>
              <w:right w:val="single" w:sz="4" w:space="0" w:color="000000"/>
            </w:tcBorders>
            <w:hideMark/>
          </w:tcPr>
          <w:p w14:paraId="0A889DD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1998-2017; summer (may - september)</w:t>
            </w:r>
          </w:p>
        </w:tc>
        <w:tc>
          <w:tcPr>
            <w:tcW w:w="1636" w:type="dxa"/>
            <w:tcBorders>
              <w:top w:val="nil"/>
              <w:left w:val="nil"/>
              <w:bottom w:val="single" w:sz="4" w:space="0" w:color="000000"/>
              <w:right w:val="single" w:sz="4" w:space="0" w:color="000000"/>
            </w:tcBorders>
            <w:hideMark/>
          </w:tcPr>
          <w:p w14:paraId="361B916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w:t>
            </w: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ulation: Finnish Institute for Health and Welfare; Statistics Finland</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Meteorological: Finnish Meteorological Institute</w:t>
            </w:r>
          </w:p>
        </w:tc>
        <w:tc>
          <w:tcPr>
            <w:tcW w:w="1198" w:type="dxa"/>
            <w:tcBorders>
              <w:top w:val="nil"/>
              <w:left w:val="nil"/>
              <w:bottom w:val="single" w:sz="4" w:space="0" w:color="000000"/>
              <w:right w:val="single" w:sz="4" w:space="0" w:color="000000"/>
            </w:tcBorders>
            <w:hideMark/>
          </w:tcPr>
          <w:p w14:paraId="5AA4F50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Finland</w:t>
            </w:r>
          </w:p>
        </w:tc>
        <w:tc>
          <w:tcPr>
            <w:tcW w:w="2462" w:type="dxa"/>
            <w:tcBorders>
              <w:top w:val="nil"/>
              <w:left w:val="nil"/>
              <w:bottom w:val="single" w:sz="4" w:space="0" w:color="000000"/>
              <w:right w:val="single" w:sz="4" w:space="0" w:color="000000"/>
            </w:tcBorders>
            <w:hideMark/>
          </w:tcPr>
          <w:p w14:paraId="0558EFA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39FC76B5"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19D512C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Ballester_2023</w:t>
            </w:r>
          </w:p>
        </w:tc>
        <w:tc>
          <w:tcPr>
            <w:tcW w:w="947" w:type="dxa"/>
            <w:tcBorders>
              <w:top w:val="nil"/>
              <w:left w:val="nil"/>
              <w:bottom w:val="single" w:sz="4" w:space="0" w:color="000000"/>
              <w:right w:val="single" w:sz="4" w:space="0" w:color="000000"/>
            </w:tcBorders>
            <w:hideMark/>
          </w:tcPr>
          <w:p w14:paraId="1E3EC6D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Ballester et al. (2023)</w:t>
            </w:r>
          </w:p>
        </w:tc>
        <w:tc>
          <w:tcPr>
            <w:tcW w:w="1405" w:type="dxa"/>
            <w:tcBorders>
              <w:top w:val="nil"/>
              <w:left w:val="nil"/>
              <w:bottom w:val="single" w:sz="4" w:space="0" w:color="000000"/>
              <w:right w:val="single" w:sz="4" w:space="0" w:color="000000"/>
            </w:tcBorders>
            <w:hideMark/>
          </w:tcPr>
          <w:p w14:paraId="695E2E4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Heat-related mortality in Europe during the summer of 2022</w:t>
            </w:r>
          </w:p>
        </w:tc>
        <w:tc>
          <w:tcPr>
            <w:tcW w:w="1405" w:type="dxa"/>
            <w:tcBorders>
              <w:top w:val="nil"/>
              <w:left w:val="nil"/>
              <w:bottom w:val="single" w:sz="4" w:space="0" w:color="000000"/>
              <w:right w:val="single" w:sz="4" w:space="0" w:color="000000"/>
            </w:tcBorders>
            <w:hideMark/>
          </w:tcPr>
          <w:p w14:paraId="5D22E27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quantify heat-related sex- and age-specific mortality burden during the summer of 2022, the hottest season on record in Europe</w:t>
            </w:r>
          </w:p>
        </w:tc>
        <w:tc>
          <w:tcPr>
            <w:tcW w:w="1260" w:type="dxa"/>
            <w:tcBorders>
              <w:top w:val="nil"/>
              <w:left w:val="nil"/>
              <w:bottom w:val="single" w:sz="4" w:space="0" w:color="000000"/>
              <w:right w:val="single" w:sz="4" w:space="0" w:color="000000"/>
            </w:tcBorders>
            <w:hideMark/>
          </w:tcPr>
          <w:p w14:paraId="1E55D1C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between 30 May and 4 September 2022 (weeks 22–35). </w:t>
            </w:r>
          </w:p>
        </w:tc>
        <w:tc>
          <w:tcPr>
            <w:tcW w:w="1636" w:type="dxa"/>
            <w:tcBorders>
              <w:top w:val="nil"/>
              <w:left w:val="nil"/>
              <w:bottom w:val="single" w:sz="4" w:space="0" w:color="000000"/>
              <w:right w:val="single" w:sz="4" w:space="0" w:color="000000"/>
            </w:tcBorders>
            <w:hideMark/>
          </w:tcPr>
          <w:p w14:paraId="5D5EB3F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Eurostat 46. -&gt; Missing data: contacting the corresponding national agencies for statistics.</w:t>
            </w:r>
          </w:p>
        </w:tc>
        <w:tc>
          <w:tcPr>
            <w:tcW w:w="1198" w:type="dxa"/>
            <w:tcBorders>
              <w:top w:val="nil"/>
              <w:left w:val="nil"/>
              <w:bottom w:val="single" w:sz="4" w:space="0" w:color="000000"/>
              <w:right w:val="single" w:sz="4" w:space="0" w:color="000000"/>
            </w:tcBorders>
            <w:hideMark/>
          </w:tcPr>
          <w:p w14:paraId="152BB6D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Europe</w:t>
            </w:r>
          </w:p>
        </w:tc>
        <w:tc>
          <w:tcPr>
            <w:tcW w:w="2462" w:type="dxa"/>
            <w:tcBorders>
              <w:top w:val="nil"/>
              <w:left w:val="nil"/>
              <w:bottom w:val="single" w:sz="4" w:space="0" w:color="000000"/>
              <w:right w:val="single" w:sz="4" w:space="0" w:color="000000"/>
            </w:tcBorders>
            <w:hideMark/>
          </w:tcPr>
          <w:p w14:paraId="49115BD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14173A14"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2562DB6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Chitu_2023</w:t>
            </w:r>
          </w:p>
        </w:tc>
        <w:tc>
          <w:tcPr>
            <w:tcW w:w="947" w:type="dxa"/>
            <w:tcBorders>
              <w:top w:val="nil"/>
              <w:left w:val="nil"/>
              <w:bottom w:val="nil"/>
              <w:right w:val="nil"/>
            </w:tcBorders>
            <w:hideMark/>
          </w:tcPr>
          <w:p w14:paraId="5C884D4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Chitu et al. (2023)</w:t>
            </w:r>
          </w:p>
        </w:tc>
        <w:tc>
          <w:tcPr>
            <w:tcW w:w="1405" w:type="dxa"/>
            <w:tcBorders>
              <w:top w:val="nil"/>
              <w:left w:val="single" w:sz="4" w:space="0" w:color="000000"/>
              <w:bottom w:val="single" w:sz="4" w:space="0" w:color="000000"/>
              <w:right w:val="single" w:sz="4" w:space="0" w:color="000000"/>
            </w:tcBorders>
            <w:hideMark/>
          </w:tcPr>
          <w:p w14:paraId="740A23A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Large sex differences in vulnerability to circulatory-system disease under current and future climate in Bucharest and its rural surroundings</w:t>
            </w:r>
          </w:p>
        </w:tc>
        <w:tc>
          <w:tcPr>
            <w:tcW w:w="1405" w:type="dxa"/>
            <w:tcBorders>
              <w:top w:val="nil"/>
              <w:left w:val="nil"/>
              <w:bottom w:val="single" w:sz="4" w:space="0" w:color="000000"/>
              <w:right w:val="single" w:sz="4" w:space="0" w:color="000000"/>
            </w:tcBorders>
            <w:hideMark/>
          </w:tcPr>
          <w:p w14:paraId="44062BE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assess the observed and future impact of temperature on CSD-driven daily mortality on vulnerable groups including less-analyzed ones </w:t>
            </w:r>
            <w:r w:rsidRPr="00673CDA">
              <w:rPr>
                <w:rFonts w:ascii="Calibri" w:eastAsia="Times New Roman" w:hAnsi="Calibri" w:cs="Calibri"/>
                <w:color w:val="000000"/>
                <w:sz w:val="22"/>
                <w:szCs w:val="22"/>
                <w:lang w:val="en-GB" w:eastAsia="en-GB"/>
              </w:rPr>
              <w:lastRenderedPageBreak/>
              <w:t>such as women in the urban area of Bucharest (Romania) and nearby rural regions</w:t>
            </w:r>
          </w:p>
        </w:tc>
        <w:tc>
          <w:tcPr>
            <w:tcW w:w="1260" w:type="dxa"/>
            <w:tcBorders>
              <w:top w:val="nil"/>
              <w:left w:val="nil"/>
              <w:bottom w:val="nil"/>
              <w:right w:val="nil"/>
            </w:tcBorders>
            <w:hideMark/>
          </w:tcPr>
          <w:p w14:paraId="3BCF61B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1999-2019</w:t>
            </w:r>
          </w:p>
        </w:tc>
        <w:tc>
          <w:tcPr>
            <w:tcW w:w="1636" w:type="dxa"/>
            <w:tcBorders>
              <w:top w:val="nil"/>
              <w:left w:val="single" w:sz="4" w:space="0" w:color="000000"/>
              <w:bottom w:val="single" w:sz="4" w:space="0" w:color="000000"/>
              <w:right w:val="single" w:sz="4" w:space="0" w:color="000000"/>
            </w:tcBorders>
            <w:hideMark/>
          </w:tcPr>
          <w:p w14:paraId="1DE360D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Meteorological: weather station Bucuresti Filaret (urban); five stations about 50 km from Bucharest ((Oltenita, Videle, Alexandria, Urziceni and </w:t>
            </w:r>
            <w:r w:rsidRPr="00673CDA">
              <w:rPr>
                <w:rFonts w:ascii="Calibri" w:eastAsia="Times New Roman" w:hAnsi="Calibri" w:cs="Calibri"/>
                <w:color w:val="000000"/>
                <w:sz w:val="22"/>
                <w:szCs w:val="22"/>
                <w:lang w:val="en-GB" w:eastAsia="en-GB"/>
              </w:rPr>
              <w:lastRenderedPageBreak/>
              <w:t>Titu) -&gt; rural</w:t>
            </w:r>
            <w:r w:rsidRPr="00673CDA">
              <w:rPr>
                <w:rFonts w:ascii="Calibri" w:eastAsia="Times New Roman" w:hAnsi="Calibri" w:cs="Calibri"/>
                <w:color w:val="000000"/>
                <w:sz w:val="22"/>
                <w:szCs w:val="22"/>
                <w:lang w:val="en-GB" w:eastAsia="en-GB"/>
              </w:rPr>
              <w:br/>
              <w:t>Climate projections: EURO-CORDEX</w:t>
            </w:r>
            <w:r w:rsidRPr="00673CDA">
              <w:rPr>
                <w:rFonts w:ascii="Calibri" w:eastAsia="Times New Roman" w:hAnsi="Calibri" w:cs="Calibri"/>
                <w:color w:val="000000"/>
                <w:sz w:val="22"/>
                <w:szCs w:val="22"/>
                <w:lang w:val="en-GB" w:eastAsia="en-GB"/>
              </w:rPr>
              <w:br/>
              <w:t>Population: National Institute for Public Health (INSP) (mortality)</w:t>
            </w:r>
          </w:p>
        </w:tc>
        <w:tc>
          <w:tcPr>
            <w:tcW w:w="1198" w:type="dxa"/>
            <w:tcBorders>
              <w:top w:val="nil"/>
              <w:left w:val="nil"/>
              <w:bottom w:val="nil"/>
              <w:right w:val="nil"/>
            </w:tcBorders>
            <w:hideMark/>
          </w:tcPr>
          <w:p w14:paraId="370647D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Rumania (Bucharest and its rural surroundings up to 50 km away)</w:t>
            </w:r>
          </w:p>
        </w:tc>
        <w:tc>
          <w:tcPr>
            <w:tcW w:w="2462" w:type="dxa"/>
            <w:tcBorders>
              <w:top w:val="nil"/>
              <w:left w:val="single" w:sz="4" w:space="0" w:color="000000"/>
              <w:bottom w:val="single" w:sz="4" w:space="0" w:color="000000"/>
              <w:right w:val="single" w:sz="4" w:space="0" w:color="000000"/>
            </w:tcBorders>
            <w:hideMark/>
          </w:tcPr>
          <w:p w14:paraId="06FF882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 </w:t>
            </w:r>
          </w:p>
        </w:tc>
      </w:tr>
      <w:tr w:rsidR="005E1386" w:rsidRPr="00673CDA" w14:paraId="39E71334" w14:textId="77777777" w:rsidTr="0042136E">
        <w:trPr>
          <w:trHeight w:val="1135"/>
        </w:trPr>
        <w:tc>
          <w:tcPr>
            <w:tcW w:w="1929" w:type="dxa"/>
            <w:tcBorders>
              <w:top w:val="nil"/>
              <w:left w:val="single" w:sz="4" w:space="0" w:color="000000"/>
              <w:bottom w:val="single" w:sz="4" w:space="0" w:color="000000"/>
              <w:right w:val="single" w:sz="4" w:space="0" w:color="000000"/>
            </w:tcBorders>
            <w:hideMark/>
          </w:tcPr>
          <w:p w14:paraId="5A1BD90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Choi_2022</w:t>
            </w:r>
          </w:p>
        </w:tc>
        <w:tc>
          <w:tcPr>
            <w:tcW w:w="947" w:type="dxa"/>
            <w:tcBorders>
              <w:top w:val="single" w:sz="4" w:space="0" w:color="000000"/>
              <w:left w:val="nil"/>
              <w:bottom w:val="single" w:sz="4" w:space="0" w:color="000000"/>
              <w:right w:val="single" w:sz="4" w:space="0" w:color="000000"/>
            </w:tcBorders>
            <w:hideMark/>
          </w:tcPr>
          <w:p w14:paraId="79627BA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Choi et al. (2022)</w:t>
            </w:r>
          </w:p>
        </w:tc>
        <w:tc>
          <w:tcPr>
            <w:tcW w:w="1405" w:type="dxa"/>
            <w:tcBorders>
              <w:top w:val="nil"/>
              <w:left w:val="nil"/>
              <w:bottom w:val="single" w:sz="4" w:space="0" w:color="000000"/>
              <w:right w:val="single" w:sz="4" w:space="0" w:color="000000"/>
            </w:tcBorders>
            <w:hideMark/>
          </w:tcPr>
          <w:p w14:paraId="522E646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Effect modification of greenness on the association between heat and mortality: A multi-city multi-country study</w:t>
            </w:r>
          </w:p>
        </w:tc>
        <w:tc>
          <w:tcPr>
            <w:tcW w:w="1405" w:type="dxa"/>
            <w:tcBorders>
              <w:top w:val="nil"/>
              <w:left w:val="nil"/>
              <w:bottom w:val="single" w:sz="4" w:space="0" w:color="000000"/>
              <w:right w:val="single" w:sz="4" w:space="0" w:color="000000"/>
            </w:tcBorders>
            <w:hideMark/>
          </w:tcPr>
          <w:p w14:paraId="58CF6A4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examinate the heat-mortality relationship among different greenspace levels in a global setting</w:t>
            </w:r>
          </w:p>
        </w:tc>
        <w:tc>
          <w:tcPr>
            <w:tcW w:w="1260" w:type="dxa"/>
            <w:tcBorders>
              <w:top w:val="single" w:sz="4" w:space="0" w:color="000000"/>
              <w:left w:val="nil"/>
              <w:bottom w:val="single" w:sz="4" w:space="0" w:color="000000"/>
              <w:right w:val="single" w:sz="4" w:space="0" w:color="000000"/>
            </w:tcBorders>
            <w:hideMark/>
          </w:tcPr>
          <w:p w14:paraId="282C5CD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2000-2018</w:t>
            </w:r>
          </w:p>
        </w:tc>
        <w:tc>
          <w:tcPr>
            <w:tcW w:w="1636" w:type="dxa"/>
            <w:tcBorders>
              <w:top w:val="nil"/>
              <w:left w:val="nil"/>
              <w:bottom w:val="single" w:sz="4" w:space="0" w:color="000000"/>
              <w:right w:val="single" w:sz="4" w:space="0" w:color="000000"/>
            </w:tcBorders>
            <w:hideMark/>
          </w:tcPr>
          <w:p w14:paraId="48F1748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Multi-Country Multi City (MCC) Collaborative Research Network (MCC) study</w:t>
            </w:r>
            <w:r w:rsidRPr="00673CDA">
              <w:rPr>
                <w:rFonts w:ascii="Calibri" w:eastAsia="Times New Roman" w:hAnsi="Calibri" w:cs="Calibri"/>
                <w:color w:val="000000"/>
                <w:sz w:val="22"/>
                <w:szCs w:val="22"/>
                <w:lang w:val="en-GB" w:eastAsia="en-GB"/>
              </w:rPr>
              <w:br/>
              <w:t>Greeness: Enhanced Vegetation Index (EVI) and Normalized Difference Vegetation Index (NDVI) from the Moderate Resolution Imaging Spectroradiometer product MOD13Q1</w:t>
            </w:r>
          </w:p>
        </w:tc>
        <w:tc>
          <w:tcPr>
            <w:tcW w:w="1198" w:type="dxa"/>
            <w:tcBorders>
              <w:top w:val="single" w:sz="4" w:space="0" w:color="000000"/>
              <w:left w:val="nil"/>
              <w:bottom w:val="single" w:sz="4" w:space="0" w:color="000000"/>
              <w:right w:val="single" w:sz="4" w:space="0" w:color="000000"/>
            </w:tcBorders>
            <w:hideMark/>
          </w:tcPr>
          <w:p w14:paraId="721108A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W</w:t>
            </w:r>
            <w:r w:rsidRPr="00673CDA">
              <w:rPr>
                <w:rFonts w:ascii="Calibri" w:eastAsia="Times New Roman" w:hAnsi="Calibri" w:cs="Calibri"/>
                <w:color w:val="000000"/>
                <w:sz w:val="22"/>
                <w:szCs w:val="22"/>
                <w:lang w:val="en-GB" w:eastAsia="en-GB"/>
              </w:rPr>
              <w:t>orldwide; 452 cities from 24 countries</w:t>
            </w:r>
          </w:p>
        </w:tc>
        <w:tc>
          <w:tcPr>
            <w:tcW w:w="2462" w:type="dxa"/>
            <w:tcBorders>
              <w:top w:val="nil"/>
              <w:left w:val="nil"/>
              <w:bottom w:val="single" w:sz="4" w:space="0" w:color="000000"/>
              <w:right w:val="single" w:sz="4" w:space="0" w:color="000000"/>
            </w:tcBorders>
            <w:hideMark/>
          </w:tcPr>
          <w:p w14:paraId="1286012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5099536E"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70D88A2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Coma_2023</w:t>
            </w:r>
          </w:p>
        </w:tc>
        <w:tc>
          <w:tcPr>
            <w:tcW w:w="947" w:type="dxa"/>
            <w:tcBorders>
              <w:top w:val="nil"/>
              <w:left w:val="nil"/>
              <w:bottom w:val="single" w:sz="4" w:space="0" w:color="000000"/>
              <w:right w:val="single" w:sz="4" w:space="0" w:color="000000"/>
            </w:tcBorders>
            <w:hideMark/>
          </w:tcPr>
          <w:p w14:paraId="3E38F95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Coma et al. (2023)</w:t>
            </w:r>
          </w:p>
        </w:tc>
        <w:tc>
          <w:tcPr>
            <w:tcW w:w="1405" w:type="dxa"/>
            <w:tcBorders>
              <w:top w:val="nil"/>
              <w:left w:val="nil"/>
              <w:bottom w:val="single" w:sz="4" w:space="0" w:color="000000"/>
              <w:right w:val="single" w:sz="4" w:space="0" w:color="000000"/>
            </w:tcBorders>
            <w:hideMark/>
          </w:tcPr>
          <w:p w14:paraId="2AC1A21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Mortality in Catalonia during the summer of 2022 and its relation with high temperatures and COVID-19 cases</w:t>
            </w:r>
          </w:p>
        </w:tc>
        <w:tc>
          <w:tcPr>
            <w:tcW w:w="1405" w:type="dxa"/>
            <w:tcBorders>
              <w:top w:val="nil"/>
              <w:left w:val="nil"/>
              <w:bottom w:val="single" w:sz="4" w:space="0" w:color="000000"/>
              <w:right w:val="single" w:sz="4" w:space="0" w:color="000000"/>
            </w:tcBorders>
            <w:hideMark/>
          </w:tcPr>
          <w:p w14:paraId="617359D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analyse the possible association between the increased mortality in Catalonia during the summer months of 2021 and 2022 and either higher than average temperatures or the COVID-19 wave</w:t>
            </w:r>
          </w:p>
        </w:tc>
        <w:tc>
          <w:tcPr>
            <w:tcW w:w="1260" w:type="dxa"/>
            <w:tcBorders>
              <w:top w:val="nil"/>
              <w:left w:val="nil"/>
              <w:bottom w:val="single" w:sz="4" w:space="0" w:color="000000"/>
              <w:right w:val="single" w:sz="4" w:space="0" w:color="000000"/>
            </w:tcBorders>
            <w:hideMark/>
          </w:tcPr>
          <w:p w14:paraId="214B5E8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M</w:t>
            </w:r>
            <w:r w:rsidRPr="00673CDA">
              <w:rPr>
                <w:rFonts w:ascii="Calibri" w:eastAsia="Times New Roman" w:hAnsi="Calibri" w:cs="Calibri"/>
                <w:color w:val="000000"/>
                <w:sz w:val="22"/>
                <w:szCs w:val="22"/>
                <w:lang w:val="en-GB" w:eastAsia="en-GB"/>
              </w:rPr>
              <w:t xml:space="preserve">eteorological summer months of the years 2021 and 2022, from 1st June to 31st August. </w:t>
            </w:r>
          </w:p>
        </w:tc>
        <w:tc>
          <w:tcPr>
            <w:tcW w:w="1636" w:type="dxa"/>
            <w:tcBorders>
              <w:top w:val="nil"/>
              <w:left w:val="nil"/>
              <w:bottom w:val="single" w:sz="4" w:space="0" w:color="000000"/>
              <w:right w:val="single" w:sz="4" w:space="0" w:color="000000"/>
            </w:tcBorders>
            <w:hideMark/>
          </w:tcPr>
          <w:p w14:paraId="6375784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network of automatic weather stations; Catalan Open Data website</w:t>
            </w:r>
            <w:r w:rsidRPr="00673CDA">
              <w:rPr>
                <w:rFonts w:ascii="Calibri" w:eastAsia="Times New Roman" w:hAnsi="Calibri" w:cs="Calibri"/>
                <w:color w:val="000000"/>
                <w:sz w:val="22"/>
                <w:szCs w:val="22"/>
                <w:lang w:val="en-GB" w:eastAsia="en-GB"/>
              </w:rPr>
              <w:br/>
              <w:t>Population: official register of insured persons (mor</w:t>
            </w:r>
            <w:r>
              <w:rPr>
                <w:rFonts w:ascii="Calibri" w:eastAsia="Times New Roman" w:hAnsi="Calibri" w:cs="Calibri"/>
                <w:color w:val="000000"/>
                <w:sz w:val="22"/>
                <w:szCs w:val="22"/>
                <w:lang w:val="en-GB" w:eastAsia="en-GB"/>
              </w:rPr>
              <w:t>t</w:t>
            </w:r>
            <w:r w:rsidRPr="00673CDA">
              <w:rPr>
                <w:rFonts w:ascii="Calibri" w:eastAsia="Times New Roman" w:hAnsi="Calibri" w:cs="Calibri"/>
                <w:color w:val="000000"/>
                <w:sz w:val="22"/>
                <w:szCs w:val="22"/>
                <w:lang w:val="en-GB" w:eastAsia="en-GB"/>
              </w:rPr>
              <w:t>ality); official Catalan infections surveillance system (influenza-like illness, COVID-19 cases and deaths)</w:t>
            </w:r>
          </w:p>
        </w:tc>
        <w:tc>
          <w:tcPr>
            <w:tcW w:w="1198" w:type="dxa"/>
            <w:tcBorders>
              <w:top w:val="nil"/>
              <w:left w:val="nil"/>
              <w:bottom w:val="single" w:sz="4" w:space="0" w:color="000000"/>
              <w:right w:val="single" w:sz="4" w:space="0" w:color="000000"/>
            </w:tcBorders>
            <w:hideMark/>
          </w:tcPr>
          <w:p w14:paraId="2C94B1A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 (Catalonia)</w:t>
            </w:r>
          </w:p>
        </w:tc>
        <w:tc>
          <w:tcPr>
            <w:tcW w:w="2462" w:type="dxa"/>
            <w:tcBorders>
              <w:top w:val="nil"/>
              <w:left w:val="nil"/>
              <w:bottom w:val="single" w:sz="4" w:space="0" w:color="000000"/>
              <w:right w:val="single" w:sz="4" w:space="0" w:color="000000"/>
            </w:tcBorders>
            <w:hideMark/>
          </w:tcPr>
          <w:p w14:paraId="5F6F6C4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74051A35"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25227DE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Conte_2022</w:t>
            </w:r>
          </w:p>
        </w:tc>
        <w:tc>
          <w:tcPr>
            <w:tcW w:w="947" w:type="dxa"/>
            <w:tcBorders>
              <w:top w:val="nil"/>
              <w:left w:val="nil"/>
              <w:bottom w:val="single" w:sz="4" w:space="0" w:color="000000"/>
              <w:right w:val="single" w:sz="4" w:space="0" w:color="000000"/>
            </w:tcBorders>
            <w:hideMark/>
          </w:tcPr>
          <w:p w14:paraId="3745B43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Conte Keivabu (2022)</w:t>
            </w:r>
          </w:p>
        </w:tc>
        <w:tc>
          <w:tcPr>
            <w:tcW w:w="1405" w:type="dxa"/>
            <w:tcBorders>
              <w:top w:val="nil"/>
              <w:left w:val="nil"/>
              <w:bottom w:val="single" w:sz="4" w:space="0" w:color="000000"/>
              <w:right w:val="single" w:sz="4" w:space="0" w:color="000000"/>
            </w:tcBorders>
            <w:hideMark/>
          </w:tcPr>
          <w:p w14:paraId="081F173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Extreme temperature and mortality by educational attainment in Spain, 2012–2018</w:t>
            </w:r>
          </w:p>
        </w:tc>
        <w:tc>
          <w:tcPr>
            <w:tcW w:w="1405" w:type="dxa"/>
            <w:tcBorders>
              <w:top w:val="nil"/>
              <w:left w:val="nil"/>
              <w:bottom w:val="single" w:sz="4" w:space="0" w:color="000000"/>
              <w:right w:val="single" w:sz="4" w:space="0" w:color="000000"/>
            </w:tcBorders>
            <w:hideMark/>
          </w:tcPr>
          <w:p w14:paraId="2BC986A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provide new evidence on how socioeconomic status measured using the educational attainment of the deceased individual stratifies the </w:t>
            </w:r>
            <w:r w:rsidRPr="00673CDA">
              <w:rPr>
                <w:rFonts w:ascii="Calibri" w:eastAsia="Times New Roman" w:hAnsi="Calibri" w:cs="Calibri"/>
                <w:color w:val="000000"/>
                <w:sz w:val="22"/>
                <w:szCs w:val="22"/>
                <w:lang w:val="en-GB" w:eastAsia="en-GB"/>
              </w:rPr>
              <w:lastRenderedPageBreak/>
              <w:t>relationship between temperature and mortality for individuals aged above 65</w:t>
            </w:r>
          </w:p>
        </w:tc>
        <w:tc>
          <w:tcPr>
            <w:tcW w:w="1260" w:type="dxa"/>
            <w:tcBorders>
              <w:top w:val="nil"/>
              <w:left w:val="nil"/>
              <w:bottom w:val="single" w:sz="4" w:space="0" w:color="000000"/>
              <w:right w:val="single" w:sz="4" w:space="0" w:color="000000"/>
            </w:tcBorders>
            <w:hideMark/>
          </w:tcPr>
          <w:p w14:paraId="6D3F4B9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January 2012-December 2018</w:t>
            </w:r>
          </w:p>
        </w:tc>
        <w:tc>
          <w:tcPr>
            <w:tcW w:w="1636" w:type="dxa"/>
            <w:tcBorders>
              <w:top w:val="nil"/>
              <w:left w:val="nil"/>
              <w:bottom w:val="single" w:sz="4" w:space="0" w:color="000000"/>
              <w:right w:val="single" w:sz="4" w:space="0" w:color="000000"/>
            </w:tcBorders>
            <w:hideMark/>
          </w:tcPr>
          <w:p w14:paraId="3043F66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Spanish National Statistics (Instituto Nacional de Estadistica—INE) (mortality); Spanish Labor Force Survey (Encuesta de Poblacion Activa—EPA) </w:t>
            </w:r>
            <w:r w:rsidRPr="00673CDA">
              <w:rPr>
                <w:rFonts w:ascii="Calibri" w:eastAsia="Times New Roman" w:hAnsi="Calibri" w:cs="Calibri"/>
                <w:color w:val="000000"/>
                <w:sz w:val="22"/>
                <w:szCs w:val="22"/>
                <w:lang w:val="en-GB" w:eastAsia="en-GB"/>
              </w:rPr>
              <w:lastRenderedPageBreak/>
              <w:t>(sociodemographic characteristics, educational attainment and the causes of death)</w:t>
            </w:r>
            <w:r w:rsidRPr="00673CDA">
              <w:rPr>
                <w:rFonts w:ascii="Calibri" w:eastAsia="Times New Roman" w:hAnsi="Calibri" w:cs="Calibri"/>
                <w:color w:val="000000"/>
                <w:sz w:val="22"/>
                <w:szCs w:val="22"/>
                <w:lang w:val="en-GB" w:eastAsia="en-GB"/>
              </w:rPr>
              <w:br/>
              <w:t xml:space="preserve">Meteorological: E-OBS </w:t>
            </w:r>
            <w:r w:rsidRPr="00673CDA">
              <w:rPr>
                <w:rFonts w:ascii="Calibri" w:eastAsia="Times New Roman" w:hAnsi="Calibri" w:cs="Calibri"/>
                <w:color w:val="000000"/>
                <w:sz w:val="22"/>
                <w:szCs w:val="22"/>
                <w:lang w:val="en-GB" w:eastAsia="en-GB"/>
              </w:rPr>
              <w:br/>
              <w:t>Pollution: Copernicus Atmosphere Data Store (CAMS)</w:t>
            </w:r>
          </w:p>
        </w:tc>
        <w:tc>
          <w:tcPr>
            <w:tcW w:w="1198" w:type="dxa"/>
            <w:tcBorders>
              <w:top w:val="nil"/>
              <w:left w:val="nil"/>
              <w:bottom w:val="single" w:sz="4" w:space="0" w:color="000000"/>
              <w:right w:val="single" w:sz="4" w:space="0" w:color="000000"/>
            </w:tcBorders>
            <w:hideMark/>
          </w:tcPr>
          <w:p w14:paraId="3A500AA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Spain</w:t>
            </w:r>
          </w:p>
        </w:tc>
        <w:tc>
          <w:tcPr>
            <w:tcW w:w="2462" w:type="dxa"/>
            <w:tcBorders>
              <w:top w:val="nil"/>
              <w:left w:val="nil"/>
              <w:bottom w:val="single" w:sz="4" w:space="0" w:color="000000"/>
              <w:right w:val="single" w:sz="4" w:space="0" w:color="000000"/>
            </w:tcBorders>
            <w:hideMark/>
          </w:tcPr>
          <w:p w14:paraId="2BB5AEF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opulation aged above 65</w:t>
            </w:r>
          </w:p>
        </w:tc>
      </w:tr>
      <w:tr w:rsidR="005E1386" w:rsidRPr="00673CDA" w14:paraId="1366CEB5"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02CB481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 Schrijver_2023</w:t>
            </w:r>
          </w:p>
        </w:tc>
        <w:tc>
          <w:tcPr>
            <w:tcW w:w="947" w:type="dxa"/>
            <w:tcBorders>
              <w:top w:val="nil"/>
              <w:left w:val="nil"/>
              <w:bottom w:val="single" w:sz="4" w:space="0" w:color="000000"/>
              <w:right w:val="single" w:sz="4" w:space="0" w:color="000000"/>
            </w:tcBorders>
            <w:hideMark/>
          </w:tcPr>
          <w:p w14:paraId="4B9A208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 Schrijver et al. (2023)</w:t>
            </w:r>
          </w:p>
        </w:tc>
        <w:tc>
          <w:tcPr>
            <w:tcW w:w="1405" w:type="dxa"/>
            <w:tcBorders>
              <w:top w:val="nil"/>
              <w:left w:val="nil"/>
              <w:bottom w:val="single" w:sz="4" w:space="0" w:color="000000"/>
              <w:right w:val="single" w:sz="4" w:space="0" w:color="000000"/>
            </w:tcBorders>
            <w:hideMark/>
          </w:tcPr>
          <w:p w14:paraId="72DECA6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Exploring vulnerability to heat and cold across urban and rural populations in Switzerland</w:t>
            </w:r>
          </w:p>
        </w:tc>
        <w:tc>
          <w:tcPr>
            <w:tcW w:w="1405" w:type="dxa"/>
            <w:tcBorders>
              <w:top w:val="nil"/>
              <w:left w:val="nil"/>
              <w:bottom w:val="single" w:sz="4" w:space="0" w:color="000000"/>
              <w:right w:val="single" w:sz="4" w:space="0" w:color="000000"/>
            </w:tcBorders>
            <w:hideMark/>
          </w:tcPr>
          <w:p w14:paraId="680725A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assess how heat- and cold-mortality risks change across urban, peri-urban and rural areas in Switzerland and to identify and compare the factors associated with increased vulnerability within and </w:t>
            </w:r>
            <w:r w:rsidRPr="00673CDA">
              <w:rPr>
                <w:rFonts w:ascii="Calibri" w:eastAsia="Times New Roman" w:hAnsi="Calibri" w:cs="Calibri"/>
                <w:color w:val="000000"/>
                <w:sz w:val="22"/>
                <w:szCs w:val="22"/>
                <w:lang w:val="en-GB" w:eastAsia="en-GB"/>
              </w:rPr>
              <w:lastRenderedPageBreak/>
              <w:t>between different area typologies</w:t>
            </w:r>
          </w:p>
        </w:tc>
        <w:tc>
          <w:tcPr>
            <w:tcW w:w="1260" w:type="dxa"/>
            <w:tcBorders>
              <w:top w:val="nil"/>
              <w:left w:val="nil"/>
              <w:bottom w:val="single" w:sz="4" w:space="0" w:color="000000"/>
              <w:right w:val="single" w:sz="4" w:space="0" w:color="000000"/>
            </w:tcBorders>
            <w:hideMark/>
          </w:tcPr>
          <w:p w14:paraId="753C9B3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1.1.1990-31.12.2017</w:t>
            </w:r>
          </w:p>
        </w:tc>
        <w:tc>
          <w:tcPr>
            <w:tcW w:w="1636" w:type="dxa"/>
            <w:tcBorders>
              <w:top w:val="nil"/>
              <w:left w:val="nil"/>
              <w:bottom w:val="single" w:sz="4" w:space="0" w:color="000000"/>
              <w:right w:val="single" w:sz="4" w:space="0" w:color="000000"/>
            </w:tcBorders>
            <w:hideMark/>
          </w:tcPr>
          <w:p w14:paraId="311C3AA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Swiss Federal Bureau of Statics (BFS) (morality). </w:t>
            </w:r>
            <w:r w:rsidRPr="00673CDA">
              <w:rPr>
                <w:rFonts w:ascii="Calibri" w:eastAsia="Times New Roman" w:hAnsi="Calibri" w:cs="Calibri"/>
                <w:color w:val="000000"/>
                <w:sz w:val="22"/>
                <w:szCs w:val="22"/>
                <w:lang w:val="en-GB" w:eastAsia="en-GB"/>
              </w:rPr>
              <w:br/>
              <w:t>Meteorological: gridded climate dataset (MeteoSwiss-grid-product) developed by MeteoSwiss</w:t>
            </w:r>
          </w:p>
        </w:tc>
        <w:tc>
          <w:tcPr>
            <w:tcW w:w="1198" w:type="dxa"/>
            <w:tcBorders>
              <w:top w:val="nil"/>
              <w:left w:val="nil"/>
              <w:bottom w:val="single" w:sz="4" w:space="0" w:color="000000"/>
              <w:right w:val="single" w:sz="4" w:space="0" w:color="000000"/>
            </w:tcBorders>
            <w:hideMark/>
          </w:tcPr>
          <w:p w14:paraId="23028A8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Switzerland</w:t>
            </w:r>
          </w:p>
        </w:tc>
        <w:tc>
          <w:tcPr>
            <w:tcW w:w="2462" w:type="dxa"/>
            <w:tcBorders>
              <w:top w:val="nil"/>
              <w:left w:val="nil"/>
              <w:bottom w:val="single" w:sz="4" w:space="0" w:color="000000"/>
              <w:right w:val="single" w:sz="4" w:space="0" w:color="000000"/>
            </w:tcBorders>
            <w:hideMark/>
          </w:tcPr>
          <w:p w14:paraId="33886A6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00D381C7" w14:textId="77777777" w:rsidTr="0042136E">
        <w:trPr>
          <w:trHeight w:val="1560"/>
        </w:trPr>
        <w:tc>
          <w:tcPr>
            <w:tcW w:w="1929" w:type="dxa"/>
            <w:tcBorders>
              <w:top w:val="nil"/>
              <w:left w:val="single" w:sz="4" w:space="0" w:color="000000"/>
              <w:bottom w:val="single" w:sz="4" w:space="0" w:color="000000"/>
              <w:right w:val="single" w:sz="4" w:space="0" w:color="000000"/>
            </w:tcBorders>
            <w:hideMark/>
          </w:tcPr>
          <w:p w14:paraId="6A14AEB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 Visser_2023</w:t>
            </w:r>
          </w:p>
        </w:tc>
        <w:tc>
          <w:tcPr>
            <w:tcW w:w="947" w:type="dxa"/>
            <w:tcBorders>
              <w:top w:val="nil"/>
              <w:left w:val="nil"/>
              <w:bottom w:val="single" w:sz="4" w:space="0" w:color="000000"/>
              <w:right w:val="single" w:sz="4" w:space="0" w:color="000000"/>
            </w:tcBorders>
            <w:hideMark/>
          </w:tcPr>
          <w:p w14:paraId="367EE4A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 Visser et al. (2023)</w:t>
            </w:r>
          </w:p>
        </w:tc>
        <w:tc>
          <w:tcPr>
            <w:tcW w:w="1405" w:type="dxa"/>
            <w:tcBorders>
              <w:top w:val="nil"/>
              <w:left w:val="nil"/>
              <w:bottom w:val="single" w:sz="4" w:space="0" w:color="000000"/>
              <w:right w:val="single" w:sz="4" w:space="0" w:color="000000"/>
            </w:tcBorders>
            <w:hideMark/>
          </w:tcPr>
          <w:p w14:paraId="3D172D3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Geographic and socioeconomic differences in heat-related mortality among the Dutch population: A time series analysis</w:t>
            </w:r>
          </w:p>
        </w:tc>
        <w:tc>
          <w:tcPr>
            <w:tcW w:w="1405" w:type="dxa"/>
            <w:tcBorders>
              <w:top w:val="nil"/>
              <w:left w:val="nil"/>
              <w:bottom w:val="single" w:sz="4" w:space="0" w:color="000000"/>
              <w:right w:val="single" w:sz="4" w:space="0" w:color="000000"/>
            </w:tcBorders>
            <w:hideMark/>
          </w:tcPr>
          <w:p w14:paraId="3D2E808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examine modification in heat-related mortality in the Netherlands by sociodemographic and geographical factors</w:t>
            </w:r>
            <w:r>
              <w:rPr>
                <w:rFonts w:ascii="Calibri" w:eastAsia="Times New Roman" w:hAnsi="Calibri" w:cs="Calibri"/>
                <w:color w:val="000000"/>
                <w:sz w:val="22"/>
                <w:szCs w:val="22"/>
                <w:lang w:val="en-GB" w:eastAsia="en-GB"/>
              </w:rPr>
              <w:t>,</w:t>
            </w:r>
            <w:r w:rsidRPr="00673CDA">
              <w:rPr>
                <w:rFonts w:ascii="Calibri" w:eastAsia="Times New Roman" w:hAnsi="Calibri" w:cs="Calibri"/>
                <w:color w:val="000000"/>
                <w:sz w:val="22"/>
                <w:szCs w:val="22"/>
                <w:lang w:val="en-GB" w:eastAsia="en-GB"/>
              </w:rPr>
              <w:t xml:space="preserve"> including socioeconomic position and population density</w:t>
            </w:r>
            <w:r>
              <w:rPr>
                <w:rFonts w:ascii="Calibri" w:eastAsia="Times New Roman" w:hAnsi="Calibri" w:cs="Calibri"/>
                <w:color w:val="000000"/>
                <w:sz w:val="22"/>
                <w:szCs w:val="22"/>
                <w:lang w:val="en-GB" w:eastAsia="en-GB"/>
              </w:rPr>
              <w:t>,</w:t>
            </w:r>
            <w:r w:rsidRPr="00673CDA">
              <w:rPr>
                <w:rFonts w:ascii="Calibri" w:eastAsia="Times New Roman" w:hAnsi="Calibri" w:cs="Calibri"/>
                <w:color w:val="000000"/>
                <w:sz w:val="22"/>
                <w:szCs w:val="22"/>
                <w:lang w:val="en-GB" w:eastAsia="en-GB"/>
              </w:rPr>
              <w:t xml:space="preserve"> an</w:t>
            </w:r>
            <w:r>
              <w:rPr>
                <w:rFonts w:ascii="Calibri" w:eastAsia="Times New Roman" w:hAnsi="Calibri" w:cs="Calibri"/>
                <w:color w:val="000000"/>
                <w:sz w:val="22"/>
                <w:szCs w:val="22"/>
                <w:lang w:val="en-GB" w:eastAsia="en-GB"/>
              </w:rPr>
              <w:t>d</w:t>
            </w:r>
            <w:r w:rsidRPr="00673CDA">
              <w:rPr>
                <w:rFonts w:ascii="Calibri" w:eastAsia="Times New Roman" w:hAnsi="Calibri" w:cs="Calibri"/>
                <w:color w:val="000000"/>
                <w:sz w:val="22"/>
                <w:szCs w:val="22"/>
                <w:lang w:val="en-GB" w:eastAsia="en-GB"/>
              </w:rPr>
              <w:t xml:space="preserve"> to compare the current situation (2018/2019) with the year 2006</w:t>
            </w:r>
          </w:p>
        </w:tc>
        <w:tc>
          <w:tcPr>
            <w:tcW w:w="1260" w:type="dxa"/>
            <w:tcBorders>
              <w:top w:val="nil"/>
              <w:left w:val="nil"/>
              <w:bottom w:val="single" w:sz="4" w:space="0" w:color="000000"/>
              <w:right w:val="single" w:sz="4" w:space="0" w:color="000000"/>
            </w:tcBorders>
            <w:hideMark/>
          </w:tcPr>
          <w:p w14:paraId="3C069EC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2006, 2018, 2019</w:t>
            </w:r>
          </w:p>
        </w:tc>
        <w:tc>
          <w:tcPr>
            <w:tcW w:w="1636" w:type="dxa"/>
            <w:tcBorders>
              <w:top w:val="nil"/>
              <w:left w:val="nil"/>
              <w:bottom w:val="single" w:sz="4" w:space="0" w:color="000000"/>
              <w:right w:val="single" w:sz="4" w:space="0" w:color="000000"/>
            </w:tcBorders>
            <w:hideMark/>
          </w:tcPr>
          <w:p w14:paraId="650708C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Statistics Netherlands (CBS) (mortality)</w:t>
            </w:r>
            <w:r w:rsidRPr="00673CDA">
              <w:rPr>
                <w:rFonts w:ascii="Calibri" w:eastAsia="Times New Roman" w:hAnsi="Calibri" w:cs="Calibri"/>
                <w:color w:val="000000"/>
                <w:sz w:val="22"/>
                <w:szCs w:val="22"/>
                <w:lang w:val="en-GB" w:eastAsia="en-GB"/>
              </w:rPr>
              <w:br/>
              <w:t>Meteorological: database of The Royal Netherlands Meteorological Institute</w:t>
            </w:r>
          </w:p>
        </w:tc>
        <w:tc>
          <w:tcPr>
            <w:tcW w:w="1198" w:type="dxa"/>
            <w:tcBorders>
              <w:top w:val="nil"/>
              <w:left w:val="nil"/>
              <w:bottom w:val="single" w:sz="4" w:space="0" w:color="000000"/>
              <w:right w:val="single" w:sz="4" w:space="0" w:color="000000"/>
            </w:tcBorders>
            <w:hideMark/>
          </w:tcPr>
          <w:p w14:paraId="59E94A4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The Netherlands</w:t>
            </w:r>
          </w:p>
        </w:tc>
        <w:tc>
          <w:tcPr>
            <w:tcW w:w="2462" w:type="dxa"/>
            <w:tcBorders>
              <w:top w:val="nil"/>
              <w:left w:val="nil"/>
              <w:bottom w:val="single" w:sz="4" w:space="0" w:color="000000"/>
              <w:right w:val="single" w:sz="4" w:space="0" w:color="000000"/>
            </w:tcBorders>
            <w:hideMark/>
          </w:tcPr>
          <w:p w14:paraId="65D393A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F2708" w14:paraId="2EE66C2D"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4D264D3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Di Blasi_2023</w:t>
            </w:r>
          </w:p>
        </w:tc>
        <w:tc>
          <w:tcPr>
            <w:tcW w:w="947" w:type="dxa"/>
            <w:tcBorders>
              <w:top w:val="nil"/>
              <w:left w:val="nil"/>
              <w:bottom w:val="single" w:sz="4" w:space="0" w:color="000000"/>
              <w:right w:val="single" w:sz="4" w:space="0" w:color="000000"/>
            </w:tcBorders>
            <w:hideMark/>
          </w:tcPr>
          <w:p w14:paraId="516C167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Di Blasi et al. (2023)</w:t>
            </w:r>
          </w:p>
        </w:tc>
        <w:tc>
          <w:tcPr>
            <w:tcW w:w="1405" w:type="dxa"/>
            <w:tcBorders>
              <w:top w:val="nil"/>
              <w:left w:val="nil"/>
              <w:bottom w:val="single" w:sz="4" w:space="0" w:color="000000"/>
              <w:right w:val="single" w:sz="4" w:space="0" w:color="000000"/>
            </w:tcBorders>
            <w:hideMark/>
          </w:tcPr>
          <w:p w14:paraId="3AA7758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Effects of temperatures and heatwaves on occupational injuries in the agricultural sector in Italy</w:t>
            </w:r>
          </w:p>
        </w:tc>
        <w:tc>
          <w:tcPr>
            <w:tcW w:w="1405" w:type="dxa"/>
            <w:tcBorders>
              <w:top w:val="nil"/>
              <w:left w:val="nil"/>
              <w:bottom w:val="single" w:sz="4" w:space="0" w:color="000000"/>
              <w:right w:val="single" w:sz="4" w:space="0" w:color="000000"/>
            </w:tcBorders>
            <w:hideMark/>
          </w:tcPr>
          <w:p w14:paraId="4553A34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estimate the association between daily air temperatures and occupational injuries in the agricultural sector at the municipal level in Italy and to identify individual vulnerability factors among agricultural workers</w:t>
            </w:r>
          </w:p>
        </w:tc>
        <w:tc>
          <w:tcPr>
            <w:tcW w:w="1260" w:type="dxa"/>
            <w:tcBorders>
              <w:top w:val="nil"/>
              <w:left w:val="nil"/>
              <w:bottom w:val="single" w:sz="4" w:space="0" w:color="000000"/>
              <w:right w:val="single" w:sz="4" w:space="0" w:color="000000"/>
            </w:tcBorders>
            <w:hideMark/>
          </w:tcPr>
          <w:p w14:paraId="34AB338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2014-2018</w:t>
            </w:r>
          </w:p>
        </w:tc>
        <w:tc>
          <w:tcPr>
            <w:tcW w:w="1636" w:type="dxa"/>
            <w:tcBorders>
              <w:top w:val="nil"/>
              <w:left w:val="nil"/>
              <w:bottom w:val="single" w:sz="4" w:space="0" w:color="000000"/>
              <w:right w:val="single" w:sz="4" w:space="0" w:color="000000"/>
            </w:tcBorders>
            <w:hideMark/>
          </w:tcPr>
          <w:p w14:paraId="26E4BB5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Italian workers’ compensation authority (INAIL) archives (work-related injuries)</w:t>
            </w:r>
            <w:r w:rsidRPr="00673CDA">
              <w:rPr>
                <w:rFonts w:ascii="Calibri" w:eastAsia="Times New Roman" w:hAnsi="Calibri" w:cs="Calibri"/>
                <w:color w:val="000000"/>
                <w:sz w:val="22"/>
                <w:szCs w:val="22"/>
                <w:lang w:val="en-GB" w:eastAsia="en-GB"/>
              </w:rPr>
              <w:br/>
              <w:t>Meteorological: ERA-5 Land climate reanalysis data] from the Copernicus Climate data Store (CDS)</w:t>
            </w:r>
          </w:p>
        </w:tc>
        <w:tc>
          <w:tcPr>
            <w:tcW w:w="1198" w:type="dxa"/>
            <w:tcBorders>
              <w:top w:val="nil"/>
              <w:left w:val="nil"/>
              <w:bottom w:val="single" w:sz="4" w:space="0" w:color="000000"/>
              <w:right w:val="single" w:sz="4" w:space="0" w:color="000000"/>
            </w:tcBorders>
            <w:hideMark/>
          </w:tcPr>
          <w:p w14:paraId="2FF4487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Italy</w:t>
            </w:r>
          </w:p>
        </w:tc>
        <w:tc>
          <w:tcPr>
            <w:tcW w:w="2462" w:type="dxa"/>
            <w:tcBorders>
              <w:top w:val="nil"/>
              <w:left w:val="nil"/>
              <w:bottom w:val="single" w:sz="4" w:space="0" w:color="000000"/>
              <w:right w:val="single" w:sz="4" w:space="0" w:color="000000"/>
            </w:tcBorders>
            <w:hideMark/>
          </w:tcPr>
          <w:p w14:paraId="498C856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W</w:t>
            </w:r>
            <w:r w:rsidRPr="00673CDA">
              <w:rPr>
                <w:rFonts w:ascii="Calibri" w:eastAsia="Times New Roman" w:hAnsi="Calibri" w:cs="Calibri"/>
                <w:color w:val="000000"/>
                <w:sz w:val="22"/>
                <w:szCs w:val="22"/>
                <w:lang w:val="en-GB" w:eastAsia="en-GB"/>
              </w:rPr>
              <w:t>orkers in the agricultural sector</w:t>
            </w:r>
          </w:p>
        </w:tc>
      </w:tr>
      <w:tr w:rsidR="005E1386" w:rsidRPr="006F2708" w14:paraId="5F9C9E86"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58D0D72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Gariazzo_2023</w:t>
            </w:r>
          </w:p>
        </w:tc>
        <w:tc>
          <w:tcPr>
            <w:tcW w:w="947" w:type="dxa"/>
            <w:tcBorders>
              <w:top w:val="nil"/>
              <w:left w:val="nil"/>
              <w:bottom w:val="single" w:sz="4" w:space="0" w:color="000000"/>
              <w:right w:val="single" w:sz="4" w:space="0" w:color="000000"/>
            </w:tcBorders>
            <w:hideMark/>
          </w:tcPr>
          <w:p w14:paraId="5EDC01E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Gariazzo et al. (2023)</w:t>
            </w:r>
          </w:p>
        </w:tc>
        <w:tc>
          <w:tcPr>
            <w:tcW w:w="1405" w:type="dxa"/>
            <w:tcBorders>
              <w:top w:val="nil"/>
              <w:left w:val="nil"/>
              <w:bottom w:val="single" w:sz="4" w:space="0" w:color="000000"/>
              <w:right w:val="single" w:sz="4" w:space="0" w:color="000000"/>
            </w:tcBorders>
            <w:hideMark/>
          </w:tcPr>
          <w:p w14:paraId="3943223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Association between extreme temperature exposure and occupational injuries among construction workers in Italy: An </w:t>
            </w:r>
            <w:r w:rsidRPr="00673CDA">
              <w:rPr>
                <w:rFonts w:ascii="Calibri" w:eastAsia="Times New Roman" w:hAnsi="Calibri" w:cs="Calibri"/>
                <w:color w:val="000000"/>
                <w:sz w:val="22"/>
                <w:szCs w:val="22"/>
                <w:lang w:val="en-GB" w:eastAsia="en-GB"/>
              </w:rPr>
              <w:lastRenderedPageBreak/>
              <w:t>analysis of risk factors</w:t>
            </w:r>
          </w:p>
        </w:tc>
        <w:tc>
          <w:tcPr>
            <w:tcW w:w="1405" w:type="dxa"/>
            <w:tcBorders>
              <w:top w:val="nil"/>
              <w:left w:val="nil"/>
              <w:bottom w:val="single" w:sz="4" w:space="0" w:color="000000"/>
              <w:right w:val="single" w:sz="4" w:space="0" w:color="000000"/>
            </w:tcBorders>
            <w:hideMark/>
          </w:tcPr>
          <w:p w14:paraId="5F8368A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investigate the association between extreme temperatures and occupation injuries among construction workers, to </w:t>
            </w:r>
            <w:r w:rsidRPr="00673CDA">
              <w:rPr>
                <w:rFonts w:ascii="Calibri" w:eastAsia="Times New Roman" w:hAnsi="Calibri" w:cs="Calibri"/>
                <w:color w:val="000000"/>
                <w:sz w:val="22"/>
                <w:szCs w:val="22"/>
                <w:lang w:val="en-GB" w:eastAsia="en-GB"/>
              </w:rPr>
              <w:lastRenderedPageBreak/>
              <w:t>get an insight in the main accidents-related parameters</w:t>
            </w:r>
          </w:p>
        </w:tc>
        <w:tc>
          <w:tcPr>
            <w:tcW w:w="1260" w:type="dxa"/>
            <w:tcBorders>
              <w:top w:val="nil"/>
              <w:left w:val="nil"/>
              <w:bottom w:val="single" w:sz="4" w:space="0" w:color="000000"/>
              <w:right w:val="single" w:sz="4" w:space="0" w:color="000000"/>
            </w:tcBorders>
            <w:hideMark/>
          </w:tcPr>
          <w:p w14:paraId="4F5280A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2014-2019</w:t>
            </w:r>
          </w:p>
        </w:tc>
        <w:tc>
          <w:tcPr>
            <w:tcW w:w="1636" w:type="dxa"/>
            <w:tcBorders>
              <w:top w:val="nil"/>
              <w:left w:val="nil"/>
              <w:bottom w:val="single" w:sz="4" w:space="0" w:color="000000"/>
              <w:right w:val="single" w:sz="4" w:space="0" w:color="000000"/>
            </w:tcBorders>
            <w:hideMark/>
          </w:tcPr>
          <w:p w14:paraId="2B1E19B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Italian National Institute for Insurance against Accidents at Work (INAIL) (Occupational Injuries); National Institute of Statistics (ISTAT)</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lastRenderedPageBreak/>
              <w:t>Meteorological: RA5-land Copernicus dataset</w:t>
            </w:r>
          </w:p>
        </w:tc>
        <w:tc>
          <w:tcPr>
            <w:tcW w:w="1198" w:type="dxa"/>
            <w:tcBorders>
              <w:top w:val="nil"/>
              <w:left w:val="nil"/>
              <w:bottom w:val="single" w:sz="4" w:space="0" w:color="000000"/>
              <w:right w:val="single" w:sz="4" w:space="0" w:color="000000"/>
            </w:tcBorders>
            <w:hideMark/>
          </w:tcPr>
          <w:p w14:paraId="3CCCC71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Italy</w:t>
            </w:r>
          </w:p>
        </w:tc>
        <w:tc>
          <w:tcPr>
            <w:tcW w:w="2462" w:type="dxa"/>
            <w:tcBorders>
              <w:top w:val="nil"/>
              <w:left w:val="nil"/>
              <w:bottom w:val="single" w:sz="4" w:space="0" w:color="000000"/>
              <w:right w:val="single" w:sz="4" w:space="0" w:color="000000"/>
            </w:tcBorders>
            <w:hideMark/>
          </w:tcPr>
          <w:p w14:paraId="16FF6A4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W</w:t>
            </w:r>
            <w:r w:rsidRPr="00673CDA">
              <w:rPr>
                <w:rFonts w:ascii="Calibri" w:eastAsia="Times New Roman" w:hAnsi="Calibri" w:cs="Calibri"/>
                <w:color w:val="000000"/>
                <w:sz w:val="22"/>
                <w:szCs w:val="22"/>
                <w:lang w:val="en-GB" w:eastAsia="en-GB"/>
              </w:rPr>
              <w:t>orkers in the construction sector</w:t>
            </w:r>
          </w:p>
        </w:tc>
      </w:tr>
      <w:tr w:rsidR="005E1386" w:rsidRPr="00673CDA" w14:paraId="5AEB0603"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167A632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Jahan_2022</w:t>
            </w:r>
          </w:p>
        </w:tc>
        <w:tc>
          <w:tcPr>
            <w:tcW w:w="947" w:type="dxa"/>
            <w:tcBorders>
              <w:top w:val="nil"/>
              <w:left w:val="nil"/>
              <w:bottom w:val="single" w:sz="4" w:space="0" w:color="000000"/>
              <w:right w:val="single" w:sz="4" w:space="0" w:color="000000"/>
            </w:tcBorders>
            <w:hideMark/>
          </w:tcPr>
          <w:p w14:paraId="7039CAC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Jahan et al. (2022)</w:t>
            </w:r>
          </w:p>
        </w:tc>
        <w:tc>
          <w:tcPr>
            <w:tcW w:w="1405" w:type="dxa"/>
            <w:tcBorders>
              <w:top w:val="nil"/>
              <w:left w:val="nil"/>
              <w:bottom w:val="single" w:sz="4" w:space="0" w:color="000000"/>
              <w:right w:val="single" w:sz="4" w:space="0" w:color="000000"/>
            </w:tcBorders>
            <w:hideMark/>
          </w:tcPr>
          <w:p w14:paraId="7424C2F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The adverse effect of ambient temperature on respiratory deaths in a high population density area: The case of Malta</w:t>
            </w:r>
          </w:p>
        </w:tc>
        <w:tc>
          <w:tcPr>
            <w:tcW w:w="1405" w:type="dxa"/>
            <w:tcBorders>
              <w:top w:val="nil"/>
              <w:left w:val="nil"/>
              <w:bottom w:val="single" w:sz="4" w:space="0" w:color="000000"/>
              <w:right w:val="single" w:sz="4" w:space="0" w:color="000000"/>
            </w:tcBorders>
            <w:hideMark/>
          </w:tcPr>
          <w:p w14:paraId="4158E1B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examine the impact of ambient temperature on respiratory deaths in the Maltese population from 1992 to 2017</w:t>
            </w:r>
          </w:p>
        </w:tc>
        <w:tc>
          <w:tcPr>
            <w:tcW w:w="1260" w:type="dxa"/>
            <w:tcBorders>
              <w:top w:val="nil"/>
              <w:left w:val="nil"/>
              <w:bottom w:val="single" w:sz="4" w:space="0" w:color="000000"/>
              <w:right w:val="single" w:sz="4" w:space="0" w:color="000000"/>
            </w:tcBorders>
            <w:hideMark/>
          </w:tcPr>
          <w:p w14:paraId="09D8DF5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January 1992 to December 2017.</w:t>
            </w:r>
          </w:p>
        </w:tc>
        <w:tc>
          <w:tcPr>
            <w:tcW w:w="1636" w:type="dxa"/>
            <w:tcBorders>
              <w:top w:val="nil"/>
              <w:left w:val="nil"/>
              <w:bottom w:val="single" w:sz="4" w:space="0" w:color="000000"/>
              <w:right w:val="single" w:sz="4" w:space="0" w:color="000000"/>
            </w:tcBorders>
            <w:hideMark/>
          </w:tcPr>
          <w:p w14:paraId="5FFBB6C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Malta’s mortality register (mortality)</w:t>
            </w:r>
            <w:r w:rsidRPr="00673CDA">
              <w:rPr>
                <w:rFonts w:ascii="Calibri" w:eastAsia="Times New Roman" w:hAnsi="Calibri" w:cs="Calibri"/>
                <w:color w:val="000000"/>
                <w:sz w:val="22"/>
                <w:szCs w:val="22"/>
                <w:lang w:val="en-GB" w:eastAsia="en-GB"/>
              </w:rPr>
              <w:br/>
              <w:t>Meteorological: Malta’s sole Climatological Station situated at Luqa from the global surface archives of WeatherGraphics.com</w:t>
            </w:r>
          </w:p>
        </w:tc>
        <w:tc>
          <w:tcPr>
            <w:tcW w:w="1198" w:type="dxa"/>
            <w:tcBorders>
              <w:top w:val="nil"/>
              <w:left w:val="nil"/>
              <w:bottom w:val="single" w:sz="4" w:space="0" w:color="000000"/>
              <w:right w:val="single" w:sz="4" w:space="0" w:color="000000"/>
            </w:tcBorders>
            <w:hideMark/>
          </w:tcPr>
          <w:p w14:paraId="569F213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Malta</w:t>
            </w:r>
          </w:p>
        </w:tc>
        <w:tc>
          <w:tcPr>
            <w:tcW w:w="2462" w:type="dxa"/>
            <w:tcBorders>
              <w:top w:val="nil"/>
              <w:left w:val="nil"/>
              <w:bottom w:val="single" w:sz="4" w:space="0" w:color="000000"/>
              <w:right w:val="single" w:sz="4" w:space="0" w:color="000000"/>
            </w:tcBorders>
            <w:hideMark/>
          </w:tcPr>
          <w:p w14:paraId="31CB2F8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F2708" w14:paraId="5B60CE82"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0552953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Kotecki_2023</w:t>
            </w:r>
          </w:p>
        </w:tc>
        <w:tc>
          <w:tcPr>
            <w:tcW w:w="947" w:type="dxa"/>
            <w:tcBorders>
              <w:top w:val="nil"/>
              <w:left w:val="nil"/>
              <w:bottom w:val="single" w:sz="4" w:space="0" w:color="000000"/>
              <w:right w:val="single" w:sz="4" w:space="0" w:color="000000"/>
            </w:tcBorders>
            <w:hideMark/>
          </w:tcPr>
          <w:p w14:paraId="4C33C0B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Kotecki et al. (2023)</w:t>
            </w:r>
          </w:p>
        </w:tc>
        <w:tc>
          <w:tcPr>
            <w:tcW w:w="1405" w:type="dxa"/>
            <w:tcBorders>
              <w:top w:val="nil"/>
              <w:left w:val="nil"/>
              <w:bottom w:val="single" w:sz="4" w:space="0" w:color="000000"/>
              <w:right w:val="single" w:sz="4" w:space="0" w:color="000000"/>
            </w:tcBorders>
            <w:hideMark/>
          </w:tcPr>
          <w:p w14:paraId="7875F75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The Impact of Meteorological Parameters and Seasonal Changes on Reporting Patients with Selected Cardiovascular Diseases to Hospital Emergency </w:t>
            </w:r>
            <w:r w:rsidRPr="00673CDA">
              <w:rPr>
                <w:rFonts w:ascii="Calibri" w:eastAsia="Times New Roman" w:hAnsi="Calibri" w:cs="Calibri"/>
                <w:color w:val="000000"/>
                <w:sz w:val="22"/>
                <w:szCs w:val="22"/>
                <w:lang w:val="en-GB" w:eastAsia="en-GB"/>
              </w:rPr>
              <w:lastRenderedPageBreak/>
              <w:t>Departments: A Pilot Study</w:t>
            </w:r>
          </w:p>
        </w:tc>
        <w:tc>
          <w:tcPr>
            <w:tcW w:w="1405" w:type="dxa"/>
            <w:tcBorders>
              <w:top w:val="nil"/>
              <w:left w:val="nil"/>
              <w:bottom w:val="single" w:sz="4" w:space="0" w:color="000000"/>
              <w:right w:val="single" w:sz="4" w:space="0" w:color="000000"/>
            </w:tcBorders>
            <w:hideMark/>
          </w:tcPr>
          <w:p w14:paraId="609F896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determine the meteorological parameters, their interactions, and the seasonal changes of the most significant factors in predicting the </w:t>
            </w:r>
            <w:r w:rsidRPr="00673CDA">
              <w:rPr>
                <w:rFonts w:ascii="Calibri" w:eastAsia="Times New Roman" w:hAnsi="Calibri" w:cs="Calibri"/>
                <w:color w:val="000000"/>
                <w:sz w:val="22"/>
                <w:szCs w:val="22"/>
                <w:lang w:val="en-GB" w:eastAsia="en-GB"/>
              </w:rPr>
              <w:lastRenderedPageBreak/>
              <w:t>number of patients with selected cardiovascular diseases that reported to the EDs in Poznan (Poland) in 2019</w:t>
            </w:r>
          </w:p>
        </w:tc>
        <w:tc>
          <w:tcPr>
            <w:tcW w:w="1260" w:type="dxa"/>
            <w:tcBorders>
              <w:top w:val="nil"/>
              <w:left w:val="nil"/>
              <w:bottom w:val="single" w:sz="4" w:space="0" w:color="000000"/>
              <w:right w:val="single" w:sz="4" w:space="0" w:color="000000"/>
            </w:tcBorders>
            <w:hideMark/>
          </w:tcPr>
          <w:p w14:paraId="6367B79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2019</w:t>
            </w:r>
          </w:p>
        </w:tc>
        <w:tc>
          <w:tcPr>
            <w:tcW w:w="1636" w:type="dxa"/>
            <w:tcBorders>
              <w:top w:val="nil"/>
              <w:left w:val="nil"/>
              <w:bottom w:val="single" w:sz="4" w:space="0" w:color="000000"/>
              <w:right w:val="single" w:sz="4" w:space="0" w:color="000000"/>
            </w:tcBorders>
            <w:hideMark/>
          </w:tcPr>
          <w:p w14:paraId="1CFB276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National Health Fund (NFZ) database</w:t>
            </w:r>
            <w:r w:rsidRPr="00673CDA">
              <w:rPr>
                <w:rFonts w:ascii="Calibri" w:eastAsia="Times New Roman" w:hAnsi="Calibri" w:cs="Calibri"/>
                <w:color w:val="000000"/>
                <w:sz w:val="22"/>
                <w:szCs w:val="22"/>
                <w:lang w:val="en-GB" w:eastAsia="en-GB"/>
              </w:rPr>
              <w:br/>
              <w:t>Meteorological: Poznan–Ławica meteorological station</w:t>
            </w:r>
          </w:p>
        </w:tc>
        <w:tc>
          <w:tcPr>
            <w:tcW w:w="1198" w:type="dxa"/>
            <w:tcBorders>
              <w:top w:val="nil"/>
              <w:left w:val="nil"/>
              <w:bottom w:val="single" w:sz="4" w:space="0" w:color="000000"/>
              <w:right w:val="single" w:sz="4" w:space="0" w:color="000000"/>
            </w:tcBorders>
            <w:hideMark/>
          </w:tcPr>
          <w:p w14:paraId="6A2249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Poland (Poznan)</w:t>
            </w:r>
          </w:p>
        </w:tc>
        <w:tc>
          <w:tcPr>
            <w:tcW w:w="2462" w:type="dxa"/>
            <w:tcBorders>
              <w:top w:val="nil"/>
              <w:left w:val="nil"/>
              <w:bottom w:val="single" w:sz="4" w:space="0" w:color="000000"/>
              <w:right w:val="single" w:sz="4" w:space="0" w:color="000000"/>
            </w:tcBorders>
            <w:hideMark/>
          </w:tcPr>
          <w:p w14:paraId="406E1D2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atients with selected cardiovascular diseases</w:t>
            </w:r>
          </w:p>
        </w:tc>
      </w:tr>
      <w:tr w:rsidR="005E1386" w:rsidRPr="006F2708" w14:paraId="65D9CE8D"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2BDF48A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Márovics_2023</w:t>
            </w:r>
          </w:p>
        </w:tc>
        <w:tc>
          <w:tcPr>
            <w:tcW w:w="947" w:type="dxa"/>
            <w:tcBorders>
              <w:top w:val="nil"/>
              <w:left w:val="nil"/>
              <w:bottom w:val="single" w:sz="4" w:space="0" w:color="000000"/>
              <w:right w:val="single" w:sz="4" w:space="0" w:color="000000"/>
            </w:tcBorders>
            <w:hideMark/>
          </w:tcPr>
          <w:p w14:paraId="2FF369C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Márovics et al. (2023)</w:t>
            </w:r>
          </w:p>
        </w:tc>
        <w:tc>
          <w:tcPr>
            <w:tcW w:w="1405" w:type="dxa"/>
            <w:tcBorders>
              <w:top w:val="nil"/>
              <w:left w:val="nil"/>
              <w:bottom w:val="single" w:sz="4" w:space="0" w:color="000000"/>
              <w:right w:val="single" w:sz="4" w:space="0" w:color="000000"/>
            </w:tcBorders>
            <w:hideMark/>
          </w:tcPr>
          <w:p w14:paraId="282D4D0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How vulnerable are patients with COPD to weather extremities? - A pilot study from Hungary</w:t>
            </w:r>
          </w:p>
        </w:tc>
        <w:tc>
          <w:tcPr>
            <w:tcW w:w="1405" w:type="dxa"/>
            <w:tcBorders>
              <w:top w:val="nil"/>
              <w:left w:val="nil"/>
              <w:bottom w:val="single" w:sz="4" w:space="0" w:color="000000"/>
              <w:right w:val="single" w:sz="4" w:space="0" w:color="000000"/>
            </w:tcBorders>
            <w:hideMark/>
          </w:tcPr>
          <w:p w14:paraId="6CF11B0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determine how the extremes of certain meteorological parameters affected the number of visits made by patients with COPD to the local emergency department (ED)</w:t>
            </w:r>
          </w:p>
        </w:tc>
        <w:tc>
          <w:tcPr>
            <w:tcW w:w="1260" w:type="dxa"/>
            <w:tcBorders>
              <w:top w:val="nil"/>
              <w:left w:val="nil"/>
              <w:bottom w:val="single" w:sz="4" w:space="0" w:color="000000"/>
              <w:right w:val="single" w:sz="4" w:space="0" w:color="000000"/>
            </w:tcBorders>
            <w:hideMark/>
          </w:tcPr>
          <w:p w14:paraId="78A69D5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2017</w:t>
            </w:r>
          </w:p>
        </w:tc>
        <w:tc>
          <w:tcPr>
            <w:tcW w:w="1636" w:type="dxa"/>
            <w:tcBorders>
              <w:top w:val="nil"/>
              <w:left w:val="nil"/>
              <w:bottom w:val="single" w:sz="4" w:space="0" w:color="000000"/>
              <w:right w:val="single" w:sz="4" w:space="0" w:color="000000"/>
            </w:tcBorders>
            <w:hideMark/>
          </w:tcPr>
          <w:p w14:paraId="2AEE8BF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monitoring station from the National Oceanic and Atmospheric Administration website; meteorological station operated by the Department of Physical and Environmental Geography, Institute of Geography and Earth Sciences, University of Pécs Faculty of Sciences.</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 xml:space="preserve">Population: </w:t>
            </w:r>
            <w:r w:rsidRPr="00673CDA">
              <w:rPr>
                <w:rFonts w:ascii="Calibri" w:eastAsia="Times New Roman" w:hAnsi="Calibri" w:cs="Calibri"/>
                <w:color w:val="000000"/>
                <w:sz w:val="22"/>
                <w:szCs w:val="22"/>
                <w:lang w:val="en-GB" w:eastAsia="en-GB"/>
              </w:rPr>
              <w:lastRenderedPageBreak/>
              <w:t>University of Pécs Clinical Center’s e-MedSolution database</w:t>
            </w:r>
          </w:p>
        </w:tc>
        <w:tc>
          <w:tcPr>
            <w:tcW w:w="1198" w:type="dxa"/>
            <w:tcBorders>
              <w:top w:val="nil"/>
              <w:left w:val="nil"/>
              <w:bottom w:val="single" w:sz="4" w:space="0" w:color="000000"/>
              <w:right w:val="single" w:sz="4" w:space="0" w:color="000000"/>
            </w:tcBorders>
            <w:hideMark/>
          </w:tcPr>
          <w:p w14:paraId="1C7B49B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Hungary (Pécs)</w:t>
            </w:r>
          </w:p>
        </w:tc>
        <w:tc>
          <w:tcPr>
            <w:tcW w:w="2462" w:type="dxa"/>
            <w:tcBorders>
              <w:top w:val="nil"/>
              <w:left w:val="nil"/>
              <w:bottom w:val="single" w:sz="4" w:space="0" w:color="000000"/>
              <w:right w:val="single" w:sz="4" w:space="0" w:color="000000"/>
            </w:tcBorders>
            <w:hideMark/>
          </w:tcPr>
          <w:p w14:paraId="40C8791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atients with COPD aged 18 or older</w:t>
            </w:r>
          </w:p>
        </w:tc>
      </w:tr>
      <w:tr w:rsidR="005E1386" w:rsidRPr="00673CDA" w14:paraId="48E2D946"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6FD5F2B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Masselot_2023</w:t>
            </w:r>
          </w:p>
        </w:tc>
        <w:tc>
          <w:tcPr>
            <w:tcW w:w="947" w:type="dxa"/>
            <w:tcBorders>
              <w:top w:val="nil"/>
              <w:left w:val="nil"/>
              <w:bottom w:val="single" w:sz="4" w:space="0" w:color="000000"/>
              <w:right w:val="single" w:sz="4" w:space="0" w:color="000000"/>
            </w:tcBorders>
            <w:hideMark/>
          </w:tcPr>
          <w:p w14:paraId="7DCCCA6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Masselot et al. (2023)</w:t>
            </w:r>
          </w:p>
        </w:tc>
        <w:tc>
          <w:tcPr>
            <w:tcW w:w="1405" w:type="dxa"/>
            <w:tcBorders>
              <w:top w:val="nil"/>
              <w:left w:val="nil"/>
              <w:bottom w:val="single" w:sz="4" w:space="0" w:color="000000"/>
              <w:right w:val="single" w:sz="4" w:space="0" w:color="000000"/>
            </w:tcBorders>
            <w:hideMark/>
          </w:tcPr>
          <w:p w14:paraId="347E3B6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Excess mortality attributed to heat and cold: a health impact assessment study in 854 cities in Europe</w:t>
            </w:r>
          </w:p>
        </w:tc>
        <w:tc>
          <w:tcPr>
            <w:tcW w:w="1405" w:type="dxa"/>
            <w:tcBorders>
              <w:top w:val="nil"/>
              <w:left w:val="nil"/>
              <w:bottom w:val="single" w:sz="4" w:space="0" w:color="000000"/>
              <w:right w:val="single" w:sz="4" w:space="0" w:color="000000"/>
            </w:tcBorders>
            <w:hideMark/>
          </w:tcPr>
          <w:p w14:paraId="69BA5BE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provide a comprehensive and consistent assessment of the current mortality burden associated with non-optimal temperature across most European cities, characterising differences in risks due to local distributions of vulnerability factors and demographic distributions</w:t>
            </w:r>
          </w:p>
        </w:tc>
        <w:tc>
          <w:tcPr>
            <w:tcW w:w="1260" w:type="dxa"/>
            <w:tcBorders>
              <w:top w:val="nil"/>
              <w:left w:val="nil"/>
              <w:bottom w:val="single" w:sz="4" w:space="0" w:color="000000"/>
              <w:right w:val="single" w:sz="4" w:space="0" w:color="000000"/>
            </w:tcBorders>
            <w:hideMark/>
          </w:tcPr>
          <w:p w14:paraId="2D64733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2000-2020</w:t>
            </w:r>
          </w:p>
        </w:tc>
        <w:tc>
          <w:tcPr>
            <w:tcW w:w="1636" w:type="dxa"/>
            <w:tcBorders>
              <w:top w:val="nil"/>
              <w:left w:val="nil"/>
              <w:bottom w:val="single" w:sz="4" w:space="0" w:color="000000"/>
              <w:right w:val="single" w:sz="4" w:space="0" w:color="000000"/>
            </w:tcBorders>
            <w:hideMark/>
          </w:tcPr>
          <w:p w14:paraId="01A453E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Multi-country Multi-city (MCC) Collaborative Research Network; Eurostat</w:t>
            </w:r>
            <w:r w:rsidRPr="00673CDA">
              <w:rPr>
                <w:rFonts w:ascii="Calibri" w:eastAsia="Times New Roman" w:hAnsi="Calibri" w:cs="Calibri"/>
                <w:color w:val="000000"/>
                <w:sz w:val="22"/>
                <w:szCs w:val="22"/>
                <w:lang w:val="en-GB" w:eastAsia="en-GB"/>
              </w:rPr>
              <w:br/>
              <w:t>Meteorological: (ERA5)-Land</w:t>
            </w:r>
            <w:r w:rsidRPr="00673CDA">
              <w:rPr>
                <w:rFonts w:ascii="Calibri" w:eastAsia="Times New Roman" w:hAnsi="Calibri" w:cs="Calibri"/>
                <w:color w:val="000000"/>
                <w:sz w:val="22"/>
                <w:szCs w:val="22"/>
                <w:lang w:val="en-GB" w:eastAsia="en-GB"/>
              </w:rPr>
              <w:br/>
              <w:t>city-specific variables to differentiate patterns of vulnerability across urban populations within Europe from multiple sources</w:t>
            </w:r>
          </w:p>
        </w:tc>
        <w:tc>
          <w:tcPr>
            <w:tcW w:w="1198" w:type="dxa"/>
            <w:tcBorders>
              <w:top w:val="nil"/>
              <w:left w:val="nil"/>
              <w:bottom w:val="single" w:sz="4" w:space="0" w:color="000000"/>
              <w:right w:val="single" w:sz="4" w:space="0" w:color="000000"/>
            </w:tcBorders>
            <w:hideMark/>
          </w:tcPr>
          <w:p w14:paraId="18339FB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854 cities from 27 countries in the EU and Norway, Switzerland, and the UK</w:t>
            </w:r>
          </w:p>
        </w:tc>
        <w:tc>
          <w:tcPr>
            <w:tcW w:w="2462" w:type="dxa"/>
            <w:tcBorders>
              <w:top w:val="nil"/>
              <w:left w:val="nil"/>
              <w:bottom w:val="single" w:sz="4" w:space="0" w:color="000000"/>
              <w:right w:val="single" w:sz="4" w:space="0" w:color="000000"/>
            </w:tcBorders>
            <w:hideMark/>
          </w:tcPr>
          <w:p w14:paraId="0F83A87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29166DF9"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41B6342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Navas-Martín_2022</w:t>
            </w:r>
          </w:p>
        </w:tc>
        <w:tc>
          <w:tcPr>
            <w:tcW w:w="947" w:type="dxa"/>
            <w:tcBorders>
              <w:top w:val="nil"/>
              <w:left w:val="nil"/>
              <w:bottom w:val="single" w:sz="4" w:space="0" w:color="000000"/>
              <w:right w:val="single" w:sz="4" w:space="0" w:color="000000"/>
            </w:tcBorders>
            <w:hideMark/>
          </w:tcPr>
          <w:p w14:paraId="05FC672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Navas-Martín et al. (2022)</w:t>
            </w:r>
          </w:p>
        </w:tc>
        <w:tc>
          <w:tcPr>
            <w:tcW w:w="1405" w:type="dxa"/>
            <w:tcBorders>
              <w:top w:val="nil"/>
              <w:left w:val="nil"/>
              <w:bottom w:val="single" w:sz="4" w:space="0" w:color="000000"/>
              <w:right w:val="single" w:sz="4" w:space="0" w:color="000000"/>
            </w:tcBorders>
            <w:hideMark/>
          </w:tcPr>
          <w:p w14:paraId="3F0D537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Gender differences in adaptation to heat in Spain (1983–2018)</w:t>
            </w:r>
          </w:p>
        </w:tc>
        <w:tc>
          <w:tcPr>
            <w:tcW w:w="1405" w:type="dxa"/>
            <w:tcBorders>
              <w:top w:val="nil"/>
              <w:left w:val="nil"/>
              <w:bottom w:val="single" w:sz="4" w:space="0" w:color="000000"/>
              <w:right w:val="single" w:sz="4" w:space="0" w:color="000000"/>
            </w:tcBorders>
            <w:hideMark/>
          </w:tcPr>
          <w:p w14:paraId="7D47434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analyze the values of minimum mortality temperature in men and women and its temporal evolution during the 1983–2018 period in Spain’s provinces</w:t>
            </w:r>
          </w:p>
        </w:tc>
        <w:tc>
          <w:tcPr>
            <w:tcW w:w="1260" w:type="dxa"/>
            <w:tcBorders>
              <w:top w:val="nil"/>
              <w:left w:val="nil"/>
              <w:bottom w:val="single" w:sz="4" w:space="0" w:color="000000"/>
              <w:right w:val="single" w:sz="4" w:space="0" w:color="000000"/>
            </w:tcBorders>
            <w:hideMark/>
          </w:tcPr>
          <w:p w14:paraId="31ED1F9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1983-2018</w:t>
            </w:r>
          </w:p>
        </w:tc>
        <w:tc>
          <w:tcPr>
            <w:tcW w:w="1636" w:type="dxa"/>
            <w:tcBorders>
              <w:top w:val="nil"/>
              <w:left w:val="nil"/>
              <w:bottom w:val="single" w:sz="4" w:space="0" w:color="000000"/>
              <w:right w:val="single" w:sz="4" w:space="0" w:color="000000"/>
            </w:tcBorders>
            <w:hideMark/>
          </w:tcPr>
          <w:p w14:paraId="70E09B4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National Statistics Institute (INE)</w:t>
            </w:r>
            <w:r w:rsidRPr="00673CDA">
              <w:rPr>
                <w:rFonts w:ascii="Calibri" w:eastAsia="Times New Roman" w:hAnsi="Calibri" w:cs="Calibri"/>
                <w:color w:val="000000"/>
                <w:sz w:val="22"/>
                <w:szCs w:val="22"/>
                <w:lang w:val="en-GB" w:eastAsia="en-GB"/>
              </w:rPr>
              <w:br/>
              <w:t>Meteorological: State Meteorological Agency (AEMET)</w:t>
            </w:r>
          </w:p>
        </w:tc>
        <w:tc>
          <w:tcPr>
            <w:tcW w:w="1198" w:type="dxa"/>
            <w:tcBorders>
              <w:top w:val="nil"/>
              <w:left w:val="nil"/>
              <w:bottom w:val="single" w:sz="4" w:space="0" w:color="000000"/>
              <w:right w:val="single" w:sz="4" w:space="0" w:color="000000"/>
            </w:tcBorders>
            <w:hideMark/>
          </w:tcPr>
          <w:p w14:paraId="73B19C9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w:t>
            </w:r>
          </w:p>
        </w:tc>
        <w:tc>
          <w:tcPr>
            <w:tcW w:w="2462" w:type="dxa"/>
            <w:tcBorders>
              <w:top w:val="nil"/>
              <w:left w:val="nil"/>
              <w:bottom w:val="single" w:sz="4" w:space="0" w:color="000000"/>
              <w:right w:val="single" w:sz="4" w:space="0" w:color="000000"/>
            </w:tcBorders>
            <w:hideMark/>
          </w:tcPr>
          <w:p w14:paraId="7FD1A79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260DD4AF"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5C85AC8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Navas-Martín_Elderly_2023</w:t>
            </w:r>
          </w:p>
        </w:tc>
        <w:tc>
          <w:tcPr>
            <w:tcW w:w="947" w:type="dxa"/>
            <w:tcBorders>
              <w:top w:val="nil"/>
              <w:left w:val="nil"/>
              <w:bottom w:val="single" w:sz="4" w:space="0" w:color="000000"/>
              <w:right w:val="single" w:sz="4" w:space="0" w:color="000000"/>
            </w:tcBorders>
            <w:hideMark/>
          </w:tcPr>
          <w:p w14:paraId="0F38339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Navas-Martín_1 et al. (2023)</w:t>
            </w:r>
          </w:p>
        </w:tc>
        <w:tc>
          <w:tcPr>
            <w:tcW w:w="1405" w:type="dxa"/>
            <w:tcBorders>
              <w:top w:val="nil"/>
              <w:left w:val="nil"/>
              <w:bottom w:val="single" w:sz="4" w:space="0" w:color="000000"/>
              <w:right w:val="single" w:sz="4" w:space="0" w:color="000000"/>
            </w:tcBorders>
            <w:hideMark/>
          </w:tcPr>
          <w:p w14:paraId="7A2040C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Heat adaptation among the elderly in Spain (1983–2018)</w:t>
            </w:r>
          </w:p>
        </w:tc>
        <w:tc>
          <w:tcPr>
            <w:tcW w:w="1405" w:type="dxa"/>
            <w:tcBorders>
              <w:top w:val="nil"/>
              <w:left w:val="nil"/>
              <w:bottom w:val="single" w:sz="4" w:space="0" w:color="000000"/>
              <w:right w:val="single" w:sz="4" w:space="0" w:color="000000"/>
            </w:tcBorders>
            <w:hideMark/>
          </w:tcPr>
          <w:p w14:paraId="42622E7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ascertain elderly persons</w:t>
            </w:r>
            <w:r>
              <w:rPr>
                <w:rFonts w:ascii="Calibri" w:eastAsia="Times New Roman" w:hAnsi="Calibri" w:cs="Calibri"/>
                <w:color w:val="000000"/>
                <w:sz w:val="22"/>
                <w:szCs w:val="22"/>
                <w:lang w:val="en-GB" w:eastAsia="en-GB"/>
              </w:rPr>
              <w:t>’</w:t>
            </w:r>
            <w:r w:rsidRPr="00673CDA">
              <w:rPr>
                <w:rFonts w:ascii="Calibri" w:eastAsia="Times New Roman" w:hAnsi="Calibri" w:cs="Calibri"/>
                <w:color w:val="000000"/>
                <w:sz w:val="22"/>
                <w:szCs w:val="22"/>
                <w:lang w:val="en-GB" w:eastAsia="en-GB"/>
              </w:rPr>
              <w:t xml:space="preserve"> adaptation to heat across the period 1983–2018, through analysis of the minimum mortality temperature and the differences with respect to the total population</w:t>
            </w:r>
          </w:p>
        </w:tc>
        <w:tc>
          <w:tcPr>
            <w:tcW w:w="1260" w:type="dxa"/>
            <w:tcBorders>
              <w:top w:val="nil"/>
              <w:left w:val="nil"/>
              <w:bottom w:val="single" w:sz="4" w:space="0" w:color="000000"/>
              <w:right w:val="single" w:sz="4" w:space="0" w:color="000000"/>
            </w:tcBorders>
            <w:hideMark/>
          </w:tcPr>
          <w:p w14:paraId="4B9C939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1983-2018</w:t>
            </w:r>
          </w:p>
        </w:tc>
        <w:tc>
          <w:tcPr>
            <w:tcW w:w="1636" w:type="dxa"/>
            <w:tcBorders>
              <w:top w:val="nil"/>
              <w:left w:val="nil"/>
              <w:bottom w:val="single" w:sz="4" w:space="0" w:color="000000"/>
              <w:right w:val="single" w:sz="4" w:space="0" w:color="000000"/>
            </w:tcBorders>
            <w:hideMark/>
          </w:tcPr>
          <w:p w14:paraId="50D61EC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National Statistics Institute (INE) </w:t>
            </w:r>
            <w:r w:rsidRPr="00673CDA">
              <w:rPr>
                <w:rFonts w:ascii="Calibri" w:eastAsia="Times New Roman" w:hAnsi="Calibri" w:cs="Calibri"/>
                <w:color w:val="000000"/>
                <w:sz w:val="22"/>
                <w:szCs w:val="22"/>
                <w:lang w:val="en-GB" w:eastAsia="en-GB"/>
              </w:rPr>
              <w:br/>
              <w:t>Meteorological: State Meteorological Agency (AEMET)</w:t>
            </w:r>
          </w:p>
        </w:tc>
        <w:tc>
          <w:tcPr>
            <w:tcW w:w="1198" w:type="dxa"/>
            <w:tcBorders>
              <w:top w:val="nil"/>
              <w:left w:val="nil"/>
              <w:bottom w:val="single" w:sz="4" w:space="0" w:color="000000"/>
              <w:right w:val="single" w:sz="4" w:space="0" w:color="000000"/>
            </w:tcBorders>
            <w:hideMark/>
          </w:tcPr>
          <w:p w14:paraId="4168ABB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w:t>
            </w:r>
          </w:p>
        </w:tc>
        <w:tc>
          <w:tcPr>
            <w:tcW w:w="2462" w:type="dxa"/>
            <w:tcBorders>
              <w:top w:val="nil"/>
              <w:left w:val="nil"/>
              <w:bottom w:val="single" w:sz="4" w:space="0" w:color="000000"/>
              <w:right w:val="single" w:sz="4" w:space="0" w:color="000000"/>
            </w:tcBorders>
            <w:hideMark/>
          </w:tcPr>
          <w:p w14:paraId="67904E0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opulation aged ≥ 65 years</w:t>
            </w:r>
          </w:p>
        </w:tc>
      </w:tr>
      <w:tr w:rsidR="005E1386" w:rsidRPr="00673CDA" w14:paraId="65FA22A5"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7BA5004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Navas-Martín_Territory_2023</w:t>
            </w:r>
          </w:p>
        </w:tc>
        <w:tc>
          <w:tcPr>
            <w:tcW w:w="947" w:type="dxa"/>
            <w:tcBorders>
              <w:top w:val="nil"/>
              <w:left w:val="nil"/>
              <w:bottom w:val="single" w:sz="4" w:space="0" w:color="000000"/>
              <w:right w:val="single" w:sz="4" w:space="0" w:color="000000"/>
            </w:tcBorders>
            <w:hideMark/>
          </w:tcPr>
          <w:p w14:paraId="0407D72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Navas-Martín_2 et al. (2023)</w:t>
            </w:r>
          </w:p>
        </w:tc>
        <w:tc>
          <w:tcPr>
            <w:tcW w:w="1405" w:type="dxa"/>
            <w:tcBorders>
              <w:top w:val="nil"/>
              <w:left w:val="nil"/>
              <w:bottom w:val="single" w:sz="4" w:space="0" w:color="000000"/>
              <w:right w:val="single" w:sz="4" w:space="0" w:color="000000"/>
            </w:tcBorders>
            <w:hideMark/>
          </w:tcPr>
          <w:p w14:paraId="3BD560F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Territory differences in adaptation to heat among persons aged 65 years and over in Spain (1983–2018)</w:t>
            </w:r>
          </w:p>
        </w:tc>
        <w:tc>
          <w:tcPr>
            <w:tcW w:w="1405" w:type="dxa"/>
            <w:tcBorders>
              <w:top w:val="nil"/>
              <w:left w:val="nil"/>
              <w:bottom w:val="single" w:sz="4" w:space="0" w:color="000000"/>
              <w:right w:val="single" w:sz="4" w:space="0" w:color="000000"/>
            </w:tcBorders>
            <w:hideMark/>
          </w:tcPr>
          <w:p w14:paraId="03F591E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use the time trend in the minimum mortality temperature to ascertain differences in the Spanish elderly population’s adaptation to heat by type of territory</w:t>
            </w:r>
          </w:p>
        </w:tc>
        <w:tc>
          <w:tcPr>
            <w:tcW w:w="1260" w:type="dxa"/>
            <w:tcBorders>
              <w:top w:val="nil"/>
              <w:left w:val="nil"/>
              <w:bottom w:val="single" w:sz="4" w:space="0" w:color="000000"/>
              <w:right w:val="single" w:sz="4" w:space="0" w:color="000000"/>
            </w:tcBorders>
            <w:hideMark/>
          </w:tcPr>
          <w:p w14:paraId="7EEA871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1983-2018</w:t>
            </w:r>
          </w:p>
        </w:tc>
        <w:tc>
          <w:tcPr>
            <w:tcW w:w="1636" w:type="dxa"/>
            <w:tcBorders>
              <w:top w:val="nil"/>
              <w:left w:val="nil"/>
              <w:bottom w:val="single" w:sz="4" w:space="0" w:color="000000"/>
              <w:right w:val="single" w:sz="4" w:space="0" w:color="000000"/>
            </w:tcBorders>
            <w:hideMark/>
          </w:tcPr>
          <w:p w14:paraId="064E084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National Statistics Institute (INE) </w:t>
            </w:r>
            <w:r w:rsidRPr="00673CDA">
              <w:rPr>
                <w:rFonts w:ascii="Calibri" w:eastAsia="Times New Roman" w:hAnsi="Calibri" w:cs="Calibri"/>
                <w:color w:val="000000"/>
                <w:sz w:val="22"/>
                <w:szCs w:val="22"/>
                <w:lang w:val="en-GB" w:eastAsia="en-GB"/>
              </w:rPr>
              <w:br/>
              <w:t>Meteorological: State Meteorological Agency (AEMET)</w:t>
            </w:r>
          </w:p>
        </w:tc>
        <w:tc>
          <w:tcPr>
            <w:tcW w:w="1198" w:type="dxa"/>
            <w:tcBorders>
              <w:top w:val="nil"/>
              <w:left w:val="nil"/>
              <w:bottom w:val="single" w:sz="4" w:space="0" w:color="000000"/>
              <w:right w:val="single" w:sz="4" w:space="0" w:color="000000"/>
            </w:tcBorders>
            <w:hideMark/>
          </w:tcPr>
          <w:p w14:paraId="7A9F596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w:t>
            </w:r>
          </w:p>
        </w:tc>
        <w:tc>
          <w:tcPr>
            <w:tcW w:w="2462" w:type="dxa"/>
            <w:tcBorders>
              <w:top w:val="nil"/>
              <w:left w:val="nil"/>
              <w:bottom w:val="single" w:sz="4" w:space="0" w:color="000000"/>
              <w:right w:val="single" w:sz="4" w:space="0" w:color="000000"/>
            </w:tcBorders>
            <w:hideMark/>
          </w:tcPr>
          <w:p w14:paraId="4E35188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opulation aged ≥ 65 years</w:t>
            </w:r>
          </w:p>
        </w:tc>
      </w:tr>
      <w:tr w:rsidR="005E1386" w:rsidRPr="00673CDA" w14:paraId="745AAE43" w14:textId="77777777" w:rsidTr="0042136E">
        <w:trPr>
          <w:trHeight w:val="568"/>
        </w:trPr>
        <w:tc>
          <w:tcPr>
            <w:tcW w:w="1929" w:type="dxa"/>
            <w:tcBorders>
              <w:top w:val="nil"/>
              <w:left w:val="single" w:sz="4" w:space="0" w:color="000000"/>
              <w:bottom w:val="single" w:sz="4" w:space="0" w:color="000000"/>
              <w:right w:val="single" w:sz="4" w:space="0" w:color="000000"/>
            </w:tcBorders>
            <w:hideMark/>
          </w:tcPr>
          <w:p w14:paraId="480FF19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Psistaki_2022</w:t>
            </w:r>
          </w:p>
        </w:tc>
        <w:tc>
          <w:tcPr>
            <w:tcW w:w="947" w:type="dxa"/>
            <w:tcBorders>
              <w:top w:val="nil"/>
              <w:left w:val="nil"/>
              <w:bottom w:val="single" w:sz="4" w:space="0" w:color="000000"/>
              <w:right w:val="single" w:sz="4" w:space="0" w:color="000000"/>
            </w:tcBorders>
            <w:hideMark/>
          </w:tcPr>
          <w:p w14:paraId="26B47CB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Psistaki et al. (2022)</w:t>
            </w:r>
          </w:p>
        </w:tc>
        <w:tc>
          <w:tcPr>
            <w:tcW w:w="1405" w:type="dxa"/>
            <w:tcBorders>
              <w:top w:val="nil"/>
              <w:left w:val="nil"/>
              <w:bottom w:val="single" w:sz="4" w:space="0" w:color="000000"/>
              <w:right w:val="single" w:sz="4" w:space="0" w:color="000000"/>
            </w:tcBorders>
            <w:hideMark/>
          </w:tcPr>
          <w:p w14:paraId="7521FF5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The impact of ambient temperature on cardiorespiratory mortality in northern Greece</w:t>
            </w:r>
          </w:p>
        </w:tc>
        <w:tc>
          <w:tcPr>
            <w:tcW w:w="1405" w:type="dxa"/>
            <w:tcBorders>
              <w:top w:val="nil"/>
              <w:left w:val="nil"/>
              <w:bottom w:val="single" w:sz="4" w:space="0" w:color="000000"/>
              <w:right w:val="single" w:sz="4" w:space="0" w:color="000000"/>
            </w:tcBorders>
            <w:hideMark/>
          </w:tcPr>
          <w:p w14:paraId="344D1AD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explore the impact of both high and low ambient temperatures on mortality from cardiorespiratory diseases in a sub-region of the Mediterranean basin, the region of Eastern Macedonia, and Thrace (EMT) in the northeastern </w:t>
            </w:r>
            <w:r w:rsidRPr="00673CDA">
              <w:rPr>
                <w:rFonts w:ascii="Calibri" w:eastAsia="Times New Roman" w:hAnsi="Calibri" w:cs="Calibri"/>
                <w:color w:val="000000"/>
                <w:sz w:val="22"/>
                <w:szCs w:val="22"/>
                <w:lang w:val="en-GB" w:eastAsia="en-GB"/>
              </w:rPr>
              <w:lastRenderedPageBreak/>
              <w:t>part of Greece.</w:t>
            </w:r>
          </w:p>
        </w:tc>
        <w:tc>
          <w:tcPr>
            <w:tcW w:w="1260" w:type="dxa"/>
            <w:tcBorders>
              <w:top w:val="nil"/>
              <w:left w:val="nil"/>
              <w:bottom w:val="single" w:sz="4" w:space="0" w:color="000000"/>
              <w:right w:val="single" w:sz="4" w:space="0" w:color="000000"/>
            </w:tcBorders>
            <w:hideMark/>
          </w:tcPr>
          <w:p w14:paraId="0D0BCEE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1999-2018</w:t>
            </w:r>
          </w:p>
        </w:tc>
        <w:tc>
          <w:tcPr>
            <w:tcW w:w="1636" w:type="dxa"/>
            <w:tcBorders>
              <w:top w:val="nil"/>
              <w:left w:val="nil"/>
              <w:bottom w:val="single" w:sz="4" w:space="0" w:color="000000"/>
              <w:right w:val="single" w:sz="4" w:space="0" w:color="000000"/>
            </w:tcBorders>
            <w:hideMark/>
          </w:tcPr>
          <w:p w14:paraId="190C2B4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three meteorological stations</w:t>
            </w:r>
            <w:r w:rsidRPr="00673CDA">
              <w:rPr>
                <w:rFonts w:ascii="Calibri" w:eastAsia="Times New Roman" w:hAnsi="Calibri" w:cs="Calibri"/>
                <w:color w:val="000000"/>
                <w:sz w:val="22"/>
                <w:szCs w:val="22"/>
                <w:lang w:val="en-GB" w:eastAsia="en-GB"/>
              </w:rPr>
              <w:br/>
              <w:t>Population: Hellenic Stati</w:t>
            </w:r>
            <w:r>
              <w:rPr>
                <w:rFonts w:ascii="Calibri" w:eastAsia="Times New Roman" w:hAnsi="Calibri" w:cs="Calibri"/>
                <w:color w:val="000000"/>
                <w:sz w:val="22"/>
                <w:szCs w:val="22"/>
                <w:lang w:val="en-GB" w:eastAsia="en-GB"/>
              </w:rPr>
              <w:t>s</w:t>
            </w:r>
            <w:r w:rsidRPr="00673CDA">
              <w:rPr>
                <w:rFonts w:ascii="Calibri" w:eastAsia="Times New Roman" w:hAnsi="Calibri" w:cs="Calibri"/>
                <w:color w:val="000000"/>
                <w:sz w:val="22"/>
                <w:szCs w:val="22"/>
                <w:lang w:val="en-GB" w:eastAsia="en-GB"/>
              </w:rPr>
              <w:t>tical Authority</w:t>
            </w:r>
          </w:p>
        </w:tc>
        <w:tc>
          <w:tcPr>
            <w:tcW w:w="1198" w:type="dxa"/>
            <w:tcBorders>
              <w:top w:val="nil"/>
              <w:left w:val="nil"/>
              <w:bottom w:val="single" w:sz="4" w:space="0" w:color="000000"/>
              <w:right w:val="single" w:sz="4" w:space="0" w:color="000000"/>
            </w:tcBorders>
            <w:hideMark/>
          </w:tcPr>
          <w:p w14:paraId="02E4728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Greece ( Eastern Macedonia, and Thrace, sub-region of the Mediterranean basin)</w:t>
            </w:r>
          </w:p>
        </w:tc>
        <w:tc>
          <w:tcPr>
            <w:tcW w:w="2462" w:type="dxa"/>
            <w:tcBorders>
              <w:top w:val="nil"/>
              <w:left w:val="nil"/>
              <w:bottom w:val="single" w:sz="4" w:space="0" w:color="000000"/>
              <w:right w:val="single" w:sz="4" w:space="0" w:color="000000"/>
            </w:tcBorders>
            <w:hideMark/>
          </w:tcPr>
          <w:p w14:paraId="110B2A1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0AA3D930"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55DC457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Revich_2022</w:t>
            </w:r>
          </w:p>
        </w:tc>
        <w:tc>
          <w:tcPr>
            <w:tcW w:w="947" w:type="dxa"/>
            <w:tcBorders>
              <w:top w:val="nil"/>
              <w:left w:val="nil"/>
              <w:bottom w:val="single" w:sz="4" w:space="0" w:color="000000"/>
              <w:right w:val="single" w:sz="4" w:space="0" w:color="000000"/>
            </w:tcBorders>
            <w:hideMark/>
          </w:tcPr>
          <w:p w14:paraId="7E629DB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Revich et al. (2022)</w:t>
            </w:r>
          </w:p>
        </w:tc>
        <w:tc>
          <w:tcPr>
            <w:tcW w:w="1405" w:type="dxa"/>
            <w:tcBorders>
              <w:top w:val="nil"/>
              <w:left w:val="nil"/>
              <w:bottom w:val="single" w:sz="4" w:space="0" w:color="000000"/>
              <w:right w:val="single" w:sz="4" w:space="0" w:color="000000"/>
            </w:tcBorders>
            <w:hideMark/>
          </w:tcPr>
          <w:p w14:paraId="284905A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The infuence of heat and cold waves on mortality in Russian subarctic cities with varying climates</w:t>
            </w:r>
          </w:p>
        </w:tc>
        <w:tc>
          <w:tcPr>
            <w:tcW w:w="1405" w:type="dxa"/>
            <w:tcBorders>
              <w:top w:val="nil"/>
              <w:left w:val="nil"/>
              <w:bottom w:val="single" w:sz="4" w:space="0" w:color="000000"/>
              <w:right w:val="single" w:sz="4" w:space="0" w:color="000000"/>
            </w:tcBorders>
            <w:hideMark/>
          </w:tcPr>
          <w:p w14:paraId="146B2D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assess the excess mortality during heat waves and cold spells identifed during the period 1999–2019 in the Russian subarctic populations and to establish the differences in the exposure to the extreme temperature events that might be related to climate typ</w:t>
            </w:r>
          </w:p>
        </w:tc>
        <w:tc>
          <w:tcPr>
            <w:tcW w:w="1260" w:type="dxa"/>
            <w:tcBorders>
              <w:top w:val="nil"/>
              <w:left w:val="nil"/>
              <w:bottom w:val="single" w:sz="4" w:space="0" w:color="000000"/>
              <w:right w:val="single" w:sz="4" w:space="0" w:color="000000"/>
            </w:tcBorders>
            <w:hideMark/>
          </w:tcPr>
          <w:p w14:paraId="6EC0C3B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1999-2019</w:t>
            </w:r>
          </w:p>
        </w:tc>
        <w:tc>
          <w:tcPr>
            <w:tcW w:w="1636" w:type="dxa"/>
            <w:tcBorders>
              <w:top w:val="nil"/>
              <w:left w:val="nil"/>
              <w:bottom w:val="single" w:sz="4" w:space="0" w:color="000000"/>
              <w:right w:val="single" w:sz="4" w:space="0" w:color="000000"/>
            </w:tcBorders>
            <w:hideMark/>
          </w:tcPr>
          <w:p w14:paraId="7421E0E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Ferderal Statistical (mortality)</w:t>
            </w:r>
            <w:r w:rsidRPr="00673CDA">
              <w:rPr>
                <w:rFonts w:ascii="Calibri" w:eastAsia="Times New Roman" w:hAnsi="Calibri" w:cs="Calibri"/>
                <w:color w:val="000000"/>
                <w:sz w:val="22"/>
                <w:szCs w:val="22"/>
                <w:lang w:val="en-GB" w:eastAsia="en-GB"/>
              </w:rPr>
              <w:br/>
              <w:t>Meteorological: Russian Institute of Hydrometeorology Information</w:t>
            </w:r>
          </w:p>
        </w:tc>
        <w:tc>
          <w:tcPr>
            <w:tcW w:w="1198" w:type="dxa"/>
            <w:tcBorders>
              <w:top w:val="nil"/>
              <w:left w:val="nil"/>
              <w:bottom w:val="single" w:sz="4" w:space="0" w:color="000000"/>
              <w:right w:val="single" w:sz="4" w:space="0" w:color="000000"/>
            </w:tcBorders>
            <w:hideMark/>
          </w:tcPr>
          <w:p w14:paraId="52BD12F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Russia (Murmansk, Archangelsk, Yakutsk, Magadan)</w:t>
            </w:r>
          </w:p>
        </w:tc>
        <w:tc>
          <w:tcPr>
            <w:tcW w:w="2462" w:type="dxa"/>
            <w:tcBorders>
              <w:top w:val="nil"/>
              <w:left w:val="nil"/>
              <w:bottom w:val="single" w:sz="4" w:space="0" w:color="000000"/>
              <w:right w:val="single" w:sz="4" w:space="0" w:color="000000"/>
            </w:tcBorders>
            <w:hideMark/>
          </w:tcPr>
          <w:p w14:paraId="3A8E92D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11094E75"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4ACFB7D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Venturelli_2023</w:t>
            </w:r>
          </w:p>
        </w:tc>
        <w:tc>
          <w:tcPr>
            <w:tcW w:w="947" w:type="dxa"/>
            <w:tcBorders>
              <w:top w:val="nil"/>
              <w:left w:val="nil"/>
              <w:bottom w:val="single" w:sz="4" w:space="0" w:color="000000"/>
              <w:right w:val="single" w:sz="4" w:space="0" w:color="000000"/>
            </w:tcBorders>
            <w:hideMark/>
          </w:tcPr>
          <w:p w14:paraId="1DCB9B4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Venturelli et al. (2023)</w:t>
            </w:r>
          </w:p>
        </w:tc>
        <w:tc>
          <w:tcPr>
            <w:tcW w:w="1405" w:type="dxa"/>
            <w:tcBorders>
              <w:top w:val="nil"/>
              <w:left w:val="nil"/>
              <w:bottom w:val="single" w:sz="4" w:space="0" w:color="000000"/>
              <w:right w:val="single" w:sz="4" w:space="0" w:color="000000"/>
            </w:tcBorders>
            <w:hideMark/>
          </w:tcPr>
          <w:p w14:paraId="2711B2A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High temperature, COVID-19, and mortality excess in the 2022 summer: </w:t>
            </w:r>
            <w:r w:rsidRPr="00673CDA">
              <w:rPr>
                <w:rFonts w:ascii="Calibri" w:eastAsia="Times New Roman" w:hAnsi="Calibri" w:cs="Calibri"/>
                <w:color w:val="000000"/>
                <w:sz w:val="22"/>
                <w:szCs w:val="22"/>
                <w:lang w:val="en-GB" w:eastAsia="en-GB"/>
              </w:rPr>
              <w:lastRenderedPageBreak/>
              <w:t>A cohort study on data from Italian surveillances</w:t>
            </w:r>
          </w:p>
        </w:tc>
        <w:tc>
          <w:tcPr>
            <w:tcW w:w="1405" w:type="dxa"/>
            <w:tcBorders>
              <w:top w:val="nil"/>
              <w:left w:val="nil"/>
              <w:bottom w:val="single" w:sz="4" w:space="0" w:color="000000"/>
              <w:right w:val="single" w:sz="4" w:space="0" w:color="000000"/>
            </w:tcBorders>
            <w:hideMark/>
          </w:tcPr>
          <w:p w14:paraId="6CFFE77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assess whether the effect of high temperature on mortality differed in </w:t>
            </w:r>
            <w:r w:rsidRPr="00673CDA">
              <w:rPr>
                <w:rFonts w:ascii="Calibri" w:eastAsia="Times New Roman" w:hAnsi="Calibri" w:cs="Calibri"/>
                <w:color w:val="000000"/>
                <w:sz w:val="22"/>
                <w:szCs w:val="22"/>
                <w:lang w:val="en-GB" w:eastAsia="en-GB"/>
              </w:rPr>
              <w:lastRenderedPageBreak/>
              <w:t>COVID-19 survivors and naive</w:t>
            </w:r>
          </w:p>
        </w:tc>
        <w:tc>
          <w:tcPr>
            <w:tcW w:w="1260" w:type="dxa"/>
            <w:tcBorders>
              <w:top w:val="nil"/>
              <w:left w:val="nil"/>
              <w:bottom w:val="single" w:sz="4" w:space="0" w:color="000000"/>
              <w:right w:val="single" w:sz="4" w:space="0" w:color="000000"/>
            </w:tcBorders>
            <w:hideMark/>
          </w:tcPr>
          <w:p w14:paraId="3060AE6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2020-2022</w:t>
            </w:r>
          </w:p>
        </w:tc>
        <w:tc>
          <w:tcPr>
            <w:tcW w:w="1636" w:type="dxa"/>
            <w:tcBorders>
              <w:top w:val="nil"/>
              <w:left w:val="nil"/>
              <w:bottom w:val="single" w:sz="4" w:space="0" w:color="000000"/>
              <w:right w:val="single" w:sz="4" w:space="0" w:color="000000"/>
            </w:tcBorders>
            <w:hideMark/>
          </w:tcPr>
          <w:p w14:paraId="080F995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summer mortality surveillance</w:t>
            </w:r>
          </w:p>
        </w:tc>
        <w:tc>
          <w:tcPr>
            <w:tcW w:w="1198" w:type="dxa"/>
            <w:tcBorders>
              <w:top w:val="nil"/>
              <w:left w:val="nil"/>
              <w:bottom w:val="nil"/>
              <w:right w:val="single" w:sz="4" w:space="0" w:color="000000"/>
            </w:tcBorders>
            <w:hideMark/>
          </w:tcPr>
          <w:p w14:paraId="597A2BA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Italy (Reggio Emilia province)</w:t>
            </w:r>
          </w:p>
        </w:tc>
        <w:tc>
          <w:tcPr>
            <w:tcW w:w="2462" w:type="dxa"/>
            <w:tcBorders>
              <w:top w:val="nil"/>
              <w:left w:val="nil"/>
              <w:bottom w:val="single" w:sz="4" w:space="0" w:color="000000"/>
              <w:right w:val="single" w:sz="4" w:space="0" w:color="000000"/>
            </w:tcBorders>
            <w:hideMark/>
          </w:tcPr>
          <w:p w14:paraId="3EE923A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12458F69" w14:textId="77777777" w:rsidTr="0042136E">
        <w:trPr>
          <w:trHeight w:val="1810"/>
        </w:trPr>
        <w:tc>
          <w:tcPr>
            <w:tcW w:w="1929" w:type="dxa"/>
            <w:tcBorders>
              <w:top w:val="nil"/>
              <w:left w:val="single" w:sz="4" w:space="0" w:color="000000"/>
              <w:bottom w:val="single" w:sz="4" w:space="0" w:color="000000"/>
              <w:right w:val="single" w:sz="4" w:space="0" w:color="000000"/>
            </w:tcBorders>
            <w:hideMark/>
          </w:tcPr>
          <w:p w14:paraId="2D1385F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Vésier_2023</w:t>
            </w:r>
          </w:p>
        </w:tc>
        <w:tc>
          <w:tcPr>
            <w:tcW w:w="947" w:type="dxa"/>
            <w:tcBorders>
              <w:top w:val="nil"/>
              <w:left w:val="nil"/>
              <w:bottom w:val="single" w:sz="4" w:space="0" w:color="000000"/>
              <w:right w:val="single" w:sz="4" w:space="0" w:color="000000"/>
            </w:tcBorders>
            <w:hideMark/>
          </w:tcPr>
          <w:p w14:paraId="6108308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Vésier et al. (2023)</w:t>
            </w:r>
          </w:p>
        </w:tc>
        <w:tc>
          <w:tcPr>
            <w:tcW w:w="1405" w:type="dxa"/>
            <w:tcBorders>
              <w:top w:val="nil"/>
              <w:left w:val="nil"/>
              <w:bottom w:val="single" w:sz="4" w:space="0" w:color="000000"/>
              <w:right w:val="single" w:sz="4" w:space="0" w:color="000000"/>
            </w:tcBorders>
            <w:hideMark/>
          </w:tcPr>
          <w:p w14:paraId="123B4B7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Gender inequalities in heat-related mortality in the Czech Republic</w:t>
            </w:r>
          </w:p>
        </w:tc>
        <w:tc>
          <w:tcPr>
            <w:tcW w:w="1405" w:type="dxa"/>
            <w:tcBorders>
              <w:top w:val="nil"/>
              <w:left w:val="nil"/>
              <w:bottom w:val="single" w:sz="4" w:space="0" w:color="000000"/>
              <w:right w:val="single" w:sz="4" w:space="0" w:color="000000"/>
            </w:tcBorders>
            <w:hideMark/>
          </w:tcPr>
          <w:p w14:paraId="07CA0D1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quantify heat-related mortality and identify potential sex and gender inequalities in heat vulnerability in the Czech Republic taking into account other factors such as age and marital status</w:t>
            </w:r>
            <w:r>
              <w:rPr>
                <w:rFonts w:ascii="Calibri" w:eastAsia="Times New Roman" w:hAnsi="Calibri" w:cs="Calibri"/>
                <w:color w:val="000000"/>
                <w:sz w:val="22"/>
                <w:szCs w:val="22"/>
                <w:lang w:val="en-GB" w:eastAsia="en-GB"/>
              </w:rPr>
              <w:t>/social network</w:t>
            </w:r>
          </w:p>
        </w:tc>
        <w:tc>
          <w:tcPr>
            <w:tcW w:w="1260" w:type="dxa"/>
            <w:tcBorders>
              <w:top w:val="nil"/>
              <w:left w:val="nil"/>
              <w:bottom w:val="single" w:sz="4" w:space="0" w:color="000000"/>
              <w:right w:val="single" w:sz="4" w:space="0" w:color="000000"/>
            </w:tcBorders>
            <w:hideMark/>
          </w:tcPr>
          <w:p w14:paraId="6D63DE9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1995-2019; summer</w:t>
            </w:r>
          </w:p>
        </w:tc>
        <w:tc>
          <w:tcPr>
            <w:tcW w:w="1636" w:type="dxa"/>
            <w:tcBorders>
              <w:top w:val="nil"/>
              <w:left w:val="nil"/>
              <w:bottom w:val="single" w:sz="4" w:space="0" w:color="000000"/>
              <w:right w:val="single" w:sz="4" w:space="0" w:color="000000"/>
            </w:tcBorders>
            <w:hideMark/>
          </w:tcPr>
          <w:p w14:paraId="2B5E9D5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Institute of Health Information and Statistics of the Czech Republic (UZIS) and the Czech Statistical Office (CZSO) (mortality; SES)</w:t>
            </w:r>
            <w:r w:rsidRPr="00673CDA">
              <w:rPr>
                <w:rFonts w:ascii="Calibri" w:eastAsia="Times New Roman" w:hAnsi="Calibri" w:cs="Calibri"/>
                <w:color w:val="000000"/>
                <w:sz w:val="22"/>
                <w:szCs w:val="22"/>
                <w:lang w:val="en-GB" w:eastAsia="en-GB"/>
              </w:rPr>
              <w:br/>
              <w:t>Meteorological: Czech Hydrometeorological Institute (CHMI)</w:t>
            </w:r>
          </w:p>
        </w:tc>
        <w:tc>
          <w:tcPr>
            <w:tcW w:w="1198" w:type="dxa"/>
            <w:tcBorders>
              <w:top w:val="single" w:sz="4" w:space="0" w:color="auto"/>
              <w:left w:val="nil"/>
              <w:bottom w:val="nil"/>
              <w:right w:val="nil"/>
            </w:tcBorders>
            <w:hideMark/>
          </w:tcPr>
          <w:p w14:paraId="67C72131" w14:textId="77777777" w:rsidR="005E1386" w:rsidRPr="00673CDA" w:rsidRDefault="005E1386" w:rsidP="0042136E">
            <w:pPr>
              <w:spacing w:before="0" w:after="0" w:line="240" w:lineRule="auto"/>
              <w:rPr>
                <w:rFonts w:ascii="Calibri" w:eastAsia="Times New Roman" w:hAnsi="Calibri" w:cs="Calibri"/>
                <w:color w:val="auto"/>
                <w:sz w:val="22"/>
                <w:szCs w:val="22"/>
                <w:lang w:val="en-GB" w:eastAsia="en-GB"/>
              </w:rPr>
            </w:pPr>
            <w:r w:rsidRPr="00673CDA">
              <w:rPr>
                <w:rFonts w:ascii="Calibri" w:eastAsia="Times New Roman" w:hAnsi="Calibri" w:cs="Calibri"/>
                <w:color w:val="auto"/>
                <w:sz w:val="22"/>
                <w:szCs w:val="22"/>
                <w:lang w:val="en-GB" w:eastAsia="en-GB"/>
              </w:rPr>
              <w:t>Czech Republik</w:t>
            </w:r>
          </w:p>
        </w:tc>
        <w:tc>
          <w:tcPr>
            <w:tcW w:w="2462" w:type="dxa"/>
            <w:tcBorders>
              <w:top w:val="nil"/>
              <w:left w:val="single" w:sz="4" w:space="0" w:color="000000"/>
              <w:bottom w:val="single" w:sz="4" w:space="0" w:color="000000"/>
              <w:right w:val="single" w:sz="4" w:space="0" w:color="000000"/>
            </w:tcBorders>
            <w:hideMark/>
          </w:tcPr>
          <w:p w14:paraId="5D51480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146D798B" w14:textId="77777777" w:rsidTr="0042136E">
        <w:trPr>
          <w:trHeight w:val="453"/>
        </w:trPr>
        <w:tc>
          <w:tcPr>
            <w:tcW w:w="12242" w:type="dxa"/>
            <w:gridSpan w:val="8"/>
            <w:tcBorders>
              <w:top w:val="single" w:sz="4" w:space="0" w:color="000000"/>
              <w:left w:val="single" w:sz="4" w:space="0" w:color="000000"/>
              <w:bottom w:val="single" w:sz="4" w:space="0" w:color="000000"/>
              <w:right w:val="single" w:sz="4" w:space="0" w:color="000000"/>
            </w:tcBorders>
            <w:shd w:val="clear" w:color="000000" w:fill="E7E6E6"/>
            <w:hideMark/>
          </w:tcPr>
          <w:p w14:paraId="119B7894" w14:textId="77777777" w:rsidR="005E1386" w:rsidRPr="00673CDA" w:rsidRDefault="005E1386" w:rsidP="0042136E">
            <w:pPr>
              <w:spacing w:before="0" w:after="0" w:line="240" w:lineRule="auto"/>
              <w:jc w:val="center"/>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Cohort design</w:t>
            </w:r>
          </w:p>
        </w:tc>
      </w:tr>
      <w:tr w:rsidR="005E1386" w:rsidRPr="006F2708" w14:paraId="1771D39D"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46DC90A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Bundo_2023</w:t>
            </w:r>
          </w:p>
        </w:tc>
        <w:tc>
          <w:tcPr>
            <w:tcW w:w="947" w:type="dxa"/>
            <w:tcBorders>
              <w:top w:val="nil"/>
              <w:left w:val="nil"/>
              <w:bottom w:val="single" w:sz="4" w:space="0" w:color="000000"/>
              <w:right w:val="single" w:sz="4" w:space="0" w:color="000000"/>
            </w:tcBorders>
            <w:hideMark/>
          </w:tcPr>
          <w:p w14:paraId="16A72C1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Bundo et al. (2023)</w:t>
            </w:r>
          </w:p>
        </w:tc>
        <w:tc>
          <w:tcPr>
            <w:tcW w:w="1405" w:type="dxa"/>
            <w:tcBorders>
              <w:top w:val="nil"/>
              <w:left w:val="nil"/>
              <w:bottom w:val="single" w:sz="4" w:space="0" w:color="000000"/>
              <w:right w:val="single" w:sz="4" w:space="0" w:color="000000"/>
            </w:tcBorders>
            <w:hideMark/>
          </w:tcPr>
          <w:p w14:paraId="26544AA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How ambient temperature affects mood: an ecological momentary assessment </w:t>
            </w:r>
            <w:r w:rsidRPr="00673CDA">
              <w:rPr>
                <w:rFonts w:ascii="Calibri" w:eastAsia="Times New Roman" w:hAnsi="Calibri" w:cs="Calibri"/>
                <w:color w:val="000000"/>
                <w:sz w:val="22"/>
                <w:szCs w:val="22"/>
                <w:lang w:val="en-GB" w:eastAsia="en-GB"/>
              </w:rPr>
              <w:lastRenderedPageBreak/>
              <w:t>study in Switzerland</w:t>
            </w:r>
          </w:p>
        </w:tc>
        <w:tc>
          <w:tcPr>
            <w:tcW w:w="1405" w:type="dxa"/>
            <w:tcBorders>
              <w:top w:val="nil"/>
              <w:left w:val="nil"/>
              <w:bottom w:val="single" w:sz="4" w:space="0" w:color="000000"/>
              <w:right w:val="single" w:sz="4" w:space="0" w:color="000000"/>
            </w:tcBorders>
            <w:hideMark/>
          </w:tcPr>
          <w:p w14:paraId="0ABF99C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investigate the associations between maximum ambient </w:t>
            </w:r>
            <w:r w:rsidRPr="00673CDA">
              <w:rPr>
                <w:rFonts w:ascii="Calibri" w:eastAsia="Times New Roman" w:hAnsi="Calibri" w:cs="Calibri"/>
                <w:color w:val="000000"/>
                <w:sz w:val="22"/>
                <w:szCs w:val="22"/>
                <w:lang w:val="en-GB" w:eastAsia="en-GB"/>
              </w:rPr>
              <w:lastRenderedPageBreak/>
              <w:t>temperatures and daily bad mood, and identify variables affecting the strength of these associations</w:t>
            </w:r>
          </w:p>
        </w:tc>
        <w:tc>
          <w:tcPr>
            <w:tcW w:w="1260" w:type="dxa"/>
            <w:tcBorders>
              <w:top w:val="nil"/>
              <w:left w:val="nil"/>
              <w:bottom w:val="single" w:sz="4" w:space="0" w:color="000000"/>
              <w:right w:val="single" w:sz="4" w:space="0" w:color="000000"/>
            </w:tcBorders>
            <w:hideMark/>
          </w:tcPr>
          <w:p w14:paraId="737BC70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lastRenderedPageBreak/>
              <w:t>B</w:t>
            </w:r>
            <w:r w:rsidRPr="00673CDA">
              <w:rPr>
                <w:rFonts w:ascii="Calibri" w:eastAsia="Times New Roman" w:hAnsi="Calibri" w:cs="Calibri"/>
                <w:color w:val="000000"/>
                <w:sz w:val="22"/>
                <w:szCs w:val="22"/>
                <w:lang w:val="en-GB" w:eastAsia="en-GB"/>
              </w:rPr>
              <w:t>etween 2003 and 2006</w:t>
            </w:r>
          </w:p>
        </w:tc>
        <w:tc>
          <w:tcPr>
            <w:tcW w:w="1636" w:type="dxa"/>
            <w:tcBorders>
              <w:top w:val="nil"/>
              <w:left w:val="nil"/>
              <w:bottom w:val="single" w:sz="4" w:space="0" w:color="000000"/>
              <w:right w:val="single" w:sz="4" w:space="0" w:color="000000"/>
            </w:tcBorders>
            <w:hideMark/>
          </w:tcPr>
          <w:p w14:paraId="6E8F3FE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urban weather station NABLAU located in the city of Laussane</w:t>
            </w:r>
            <w:r w:rsidRPr="00673CDA">
              <w:rPr>
                <w:rFonts w:ascii="Calibri" w:eastAsia="Times New Roman" w:hAnsi="Calibri" w:cs="Calibri"/>
                <w:color w:val="000000"/>
                <w:sz w:val="22"/>
                <w:szCs w:val="22"/>
                <w:lang w:val="en-GB" w:eastAsia="en-GB"/>
              </w:rPr>
              <w:br/>
              <w:t xml:space="preserve">Pollution: Nabel </w:t>
            </w:r>
            <w:r w:rsidRPr="00673CDA">
              <w:rPr>
                <w:rFonts w:ascii="Calibri" w:eastAsia="Times New Roman" w:hAnsi="Calibri" w:cs="Calibri"/>
                <w:color w:val="000000"/>
                <w:sz w:val="22"/>
                <w:szCs w:val="22"/>
                <w:lang w:val="en-GB" w:eastAsia="en-GB"/>
              </w:rPr>
              <w:lastRenderedPageBreak/>
              <w:t>station in the city of Laussane run by the Department of Industrial, Urban and Rural Environment in Vaud (DGE-DIREV)</w:t>
            </w:r>
            <w:r w:rsidRPr="00673CDA">
              <w:rPr>
                <w:rFonts w:ascii="Calibri" w:eastAsia="Times New Roman" w:hAnsi="Calibri" w:cs="Calibri"/>
                <w:color w:val="000000"/>
                <w:sz w:val="22"/>
                <w:szCs w:val="22"/>
                <w:lang w:val="en-GB" w:eastAsia="en-GB"/>
              </w:rPr>
              <w:br/>
              <w:t>Psychiatric disorders: semi-structured Diagnostic Interview for Genetic Studies (DIGS)</w:t>
            </w:r>
            <w:r w:rsidRPr="00673CDA">
              <w:rPr>
                <w:rFonts w:ascii="Calibri" w:eastAsia="Times New Roman" w:hAnsi="Calibri" w:cs="Calibri"/>
                <w:color w:val="000000"/>
                <w:sz w:val="22"/>
                <w:szCs w:val="22"/>
                <w:lang w:val="en-GB" w:eastAsia="en-GB"/>
              </w:rPr>
              <w:br/>
              <w:t>Personality trait neuroticism: Eysenck Personality Questionnaire (EPQ)</w:t>
            </w:r>
            <w:r w:rsidRPr="00673CDA">
              <w:rPr>
                <w:rFonts w:ascii="Calibri" w:eastAsia="Times New Roman" w:hAnsi="Calibri" w:cs="Calibri"/>
                <w:color w:val="000000"/>
                <w:sz w:val="22"/>
                <w:szCs w:val="22"/>
                <w:lang w:val="en-GB" w:eastAsia="en-GB"/>
              </w:rPr>
              <w:br/>
              <w:t>Mood level and sleep quality: Likert scale ranging from one to seven</w:t>
            </w:r>
          </w:p>
        </w:tc>
        <w:tc>
          <w:tcPr>
            <w:tcW w:w="1198" w:type="dxa"/>
            <w:tcBorders>
              <w:top w:val="nil"/>
              <w:left w:val="nil"/>
              <w:bottom w:val="single" w:sz="4" w:space="0" w:color="000000"/>
              <w:right w:val="single" w:sz="4" w:space="0" w:color="000000"/>
            </w:tcBorders>
            <w:hideMark/>
          </w:tcPr>
          <w:p w14:paraId="0893F54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Switzerland (Lausanne)</w:t>
            </w:r>
          </w:p>
        </w:tc>
        <w:tc>
          <w:tcPr>
            <w:tcW w:w="2462" w:type="dxa"/>
            <w:tcBorders>
              <w:top w:val="nil"/>
              <w:left w:val="nil"/>
              <w:bottom w:val="single" w:sz="4" w:space="0" w:color="000000"/>
              <w:right w:val="single" w:sz="4" w:space="0" w:color="000000"/>
            </w:tcBorders>
            <w:hideMark/>
          </w:tcPr>
          <w:p w14:paraId="2F34CB8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 xml:space="preserve">eneral population of Lausanne (follow up of the original sample of 6,734 </w:t>
            </w:r>
            <w:r w:rsidRPr="00673CDA">
              <w:rPr>
                <w:rFonts w:ascii="Calibri" w:eastAsia="Times New Roman" w:hAnsi="Calibri" w:cs="Calibri"/>
                <w:color w:val="000000"/>
                <w:sz w:val="22"/>
                <w:szCs w:val="22"/>
                <w:lang w:val="en-GB" w:eastAsia="en-GB"/>
              </w:rPr>
              <w:lastRenderedPageBreak/>
              <w:t>individuals aged 35 to 75-year-old randomly selected between 2003 and 2006 from the population of the city of Lausanne)</w:t>
            </w:r>
          </w:p>
        </w:tc>
      </w:tr>
      <w:tr w:rsidR="005E1386" w:rsidRPr="006F2708" w14:paraId="05970C9B"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04CFFD6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Encinas_2023</w:t>
            </w:r>
          </w:p>
        </w:tc>
        <w:tc>
          <w:tcPr>
            <w:tcW w:w="947" w:type="dxa"/>
            <w:tcBorders>
              <w:top w:val="nil"/>
              <w:left w:val="nil"/>
              <w:bottom w:val="single" w:sz="4" w:space="0" w:color="000000"/>
              <w:right w:val="single" w:sz="4" w:space="0" w:color="000000"/>
            </w:tcBorders>
            <w:hideMark/>
          </w:tcPr>
          <w:p w14:paraId="3A38802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Encinas et al. (2023)</w:t>
            </w:r>
          </w:p>
        </w:tc>
        <w:tc>
          <w:tcPr>
            <w:tcW w:w="1405" w:type="dxa"/>
            <w:tcBorders>
              <w:top w:val="nil"/>
              <w:left w:val="nil"/>
              <w:bottom w:val="single" w:sz="4" w:space="0" w:color="000000"/>
              <w:right w:val="single" w:sz="4" w:space="0" w:color="000000"/>
            </w:tcBorders>
            <w:hideMark/>
          </w:tcPr>
          <w:p w14:paraId="2499330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Ambient temperature modulates body weight changes in </w:t>
            </w:r>
            <w:r w:rsidRPr="00673CDA">
              <w:rPr>
                <w:rFonts w:ascii="Calibri" w:eastAsia="Times New Roman" w:hAnsi="Calibri" w:cs="Calibri"/>
                <w:color w:val="000000"/>
                <w:sz w:val="22"/>
                <w:szCs w:val="22"/>
                <w:lang w:val="en-GB" w:eastAsia="en-GB"/>
              </w:rPr>
              <w:lastRenderedPageBreak/>
              <w:t>patients with advanced oncological diseases and anorexia cachexia syndrome</w:t>
            </w:r>
          </w:p>
        </w:tc>
        <w:tc>
          <w:tcPr>
            <w:tcW w:w="1405" w:type="dxa"/>
            <w:tcBorders>
              <w:top w:val="nil"/>
              <w:left w:val="nil"/>
              <w:bottom w:val="single" w:sz="4" w:space="0" w:color="000000"/>
              <w:right w:val="single" w:sz="4" w:space="0" w:color="000000"/>
            </w:tcBorders>
            <w:hideMark/>
          </w:tcPr>
          <w:p w14:paraId="244886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assess the seasonal influence of environmental temperature </w:t>
            </w:r>
            <w:r w:rsidRPr="00673CDA">
              <w:rPr>
                <w:rFonts w:ascii="Calibri" w:eastAsia="Times New Roman" w:hAnsi="Calibri" w:cs="Calibri"/>
                <w:color w:val="000000"/>
                <w:sz w:val="22"/>
                <w:szCs w:val="22"/>
                <w:lang w:val="en-GB" w:eastAsia="en-GB"/>
              </w:rPr>
              <w:lastRenderedPageBreak/>
              <w:t>on the evolution of bodyweight in patients with advanced cancer and anorexia-cachexia syndrome, a wasting syndrome causing dramatic weight loss</w:t>
            </w:r>
          </w:p>
        </w:tc>
        <w:tc>
          <w:tcPr>
            <w:tcW w:w="1260" w:type="dxa"/>
            <w:tcBorders>
              <w:top w:val="nil"/>
              <w:left w:val="nil"/>
              <w:bottom w:val="single" w:sz="4" w:space="0" w:color="000000"/>
              <w:right w:val="single" w:sz="4" w:space="0" w:color="000000"/>
            </w:tcBorders>
            <w:hideMark/>
          </w:tcPr>
          <w:p w14:paraId="0D6014E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2017 to 2020</w:t>
            </w:r>
          </w:p>
        </w:tc>
        <w:tc>
          <w:tcPr>
            <w:tcW w:w="1636" w:type="dxa"/>
            <w:tcBorders>
              <w:top w:val="nil"/>
              <w:left w:val="nil"/>
              <w:bottom w:val="single" w:sz="4" w:space="0" w:color="000000"/>
              <w:right w:val="single" w:sz="4" w:space="0" w:color="000000"/>
            </w:tcBorders>
            <w:hideMark/>
          </w:tcPr>
          <w:p w14:paraId="3A0F287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medical records from four hospitals in Extremadura</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lastRenderedPageBreak/>
              <w:t>Meteorological: Spanish State Meteorological Agency (AEMET)</w:t>
            </w:r>
          </w:p>
        </w:tc>
        <w:tc>
          <w:tcPr>
            <w:tcW w:w="1198" w:type="dxa"/>
            <w:tcBorders>
              <w:top w:val="nil"/>
              <w:left w:val="nil"/>
              <w:bottom w:val="single" w:sz="4" w:space="0" w:color="000000"/>
              <w:right w:val="single" w:sz="4" w:space="0" w:color="000000"/>
            </w:tcBorders>
            <w:hideMark/>
          </w:tcPr>
          <w:p w14:paraId="7290B77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Spain (Extremadura)</w:t>
            </w:r>
          </w:p>
        </w:tc>
        <w:tc>
          <w:tcPr>
            <w:tcW w:w="2462" w:type="dxa"/>
            <w:tcBorders>
              <w:top w:val="nil"/>
              <w:left w:val="nil"/>
              <w:bottom w:val="single" w:sz="4" w:space="0" w:color="000000"/>
              <w:right w:val="single" w:sz="4" w:space="0" w:color="000000"/>
            </w:tcBorders>
            <w:hideMark/>
          </w:tcPr>
          <w:p w14:paraId="34DC618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 xml:space="preserve">atients with a diagnosis of oncological disease in stages 3 or 4 </w:t>
            </w:r>
            <w:r w:rsidRPr="00673CDA">
              <w:rPr>
                <w:rFonts w:ascii="Calibri" w:eastAsia="Times New Roman" w:hAnsi="Calibri" w:cs="Calibri"/>
                <w:color w:val="000000"/>
                <w:sz w:val="22"/>
                <w:szCs w:val="22"/>
                <w:lang w:val="en-GB" w:eastAsia="en-GB"/>
              </w:rPr>
              <w:lastRenderedPageBreak/>
              <w:t>and anorexia- achexia syndrome with weight loss of more than 5% in the last 3 months</w:t>
            </w:r>
          </w:p>
        </w:tc>
      </w:tr>
      <w:tr w:rsidR="005E1386" w:rsidRPr="00673CDA" w14:paraId="78F2F0C0"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0ECB5A7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Guilbert_2023</w:t>
            </w:r>
          </w:p>
        </w:tc>
        <w:tc>
          <w:tcPr>
            <w:tcW w:w="947" w:type="dxa"/>
            <w:tcBorders>
              <w:top w:val="nil"/>
              <w:left w:val="nil"/>
              <w:bottom w:val="single" w:sz="4" w:space="0" w:color="000000"/>
              <w:right w:val="single" w:sz="4" w:space="0" w:color="000000"/>
            </w:tcBorders>
            <w:hideMark/>
          </w:tcPr>
          <w:p w14:paraId="2A5B78D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Guilbert et al. (2023)</w:t>
            </w:r>
          </w:p>
        </w:tc>
        <w:tc>
          <w:tcPr>
            <w:tcW w:w="1405" w:type="dxa"/>
            <w:tcBorders>
              <w:top w:val="nil"/>
              <w:left w:val="nil"/>
              <w:bottom w:val="single" w:sz="4" w:space="0" w:color="000000"/>
              <w:right w:val="single" w:sz="4" w:space="0" w:color="000000"/>
            </w:tcBorders>
            <w:hideMark/>
          </w:tcPr>
          <w:p w14:paraId="12381E5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Association of prenatal and postnatal exposures to warm or cold air temperatures with lung function in young infants</w:t>
            </w:r>
          </w:p>
        </w:tc>
        <w:tc>
          <w:tcPr>
            <w:tcW w:w="1405" w:type="dxa"/>
            <w:tcBorders>
              <w:top w:val="nil"/>
              <w:left w:val="nil"/>
              <w:bottom w:val="single" w:sz="4" w:space="0" w:color="000000"/>
              <w:right w:val="single" w:sz="4" w:space="0" w:color="000000"/>
            </w:tcBorders>
            <w:hideMark/>
          </w:tcPr>
          <w:p w14:paraId="0DEF91B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investigate the association of prenatal and postnatal heat or cold exposure with newborn lung function and identify windows of susceptibility</w:t>
            </w:r>
          </w:p>
        </w:tc>
        <w:tc>
          <w:tcPr>
            <w:tcW w:w="1260" w:type="dxa"/>
            <w:tcBorders>
              <w:top w:val="nil"/>
              <w:left w:val="nil"/>
              <w:bottom w:val="single" w:sz="4" w:space="0" w:color="000000"/>
              <w:right w:val="single" w:sz="4" w:space="0" w:color="000000"/>
            </w:tcBorders>
            <w:hideMark/>
          </w:tcPr>
          <w:p w14:paraId="3AB7061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July 2014 - July 2017</w:t>
            </w:r>
          </w:p>
        </w:tc>
        <w:tc>
          <w:tcPr>
            <w:tcW w:w="1636" w:type="dxa"/>
            <w:tcBorders>
              <w:top w:val="nil"/>
              <w:left w:val="nil"/>
              <w:bottom w:val="single" w:sz="4" w:space="0" w:color="000000"/>
              <w:right w:val="single" w:sz="4" w:space="0" w:color="000000"/>
            </w:tcBorders>
            <w:hideMark/>
          </w:tcPr>
          <w:p w14:paraId="1A71283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prospective mother-child cohort SEPAGES</w:t>
            </w:r>
          </w:p>
        </w:tc>
        <w:tc>
          <w:tcPr>
            <w:tcW w:w="1198" w:type="dxa"/>
            <w:tcBorders>
              <w:top w:val="nil"/>
              <w:left w:val="nil"/>
              <w:bottom w:val="single" w:sz="4" w:space="0" w:color="000000"/>
              <w:right w:val="single" w:sz="4" w:space="0" w:color="000000"/>
            </w:tcBorders>
            <w:hideMark/>
          </w:tcPr>
          <w:p w14:paraId="0220EF5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France (French Grenoble metropolitan area)</w:t>
            </w:r>
          </w:p>
        </w:tc>
        <w:tc>
          <w:tcPr>
            <w:tcW w:w="2462" w:type="dxa"/>
            <w:tcBorders>
              <w:top w:val="nil"/>
              <w:left w:val="nil"/>
              <w:bottom w:val="single" w:sz="4" w:space="0" w:color="000000"/>
              <w:right w:val="single" w:sz="4" w:space="0" w:color="000000"/>
            </w:tcBorders>
            <w:hideMark/>
          </w:tcPr>
          <w:p w14:paraId="4489E3B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M</w:t>
            </w:r>
            <w:r w:rsidRPr="00673CDA">
              <w:rPr>
                <w:rFonts w:ascii="Calibri" w:eastAsia="Times New Roman" w:hAnsi="Calibri" w:cs="Calibri"/>
                <w:color w:val="000000"/>
                <w:sz w:val="22"/>
                <w:szCs w:val="22"/>
                <w:lang w:val="en-GB" w:eastAsia="en-GB"/>
              </w:rPr>
              <w:t>other-child cohort</w:t>
            </w:r>
          </w:p>
        </w:tc>
      </w:tr>
      <w:tr w:rsidR="005E1386" w:rsidRPr="00673CDA" w14:paraId="15C83C43"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1B0AE8D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Hajat_2023</w:t>
            </w:r>
          </w:p>
        </w:tc>
        <w:tc>
          <w:tcPr>
            <w:tcW w:w="947" w:type="dxa"/>
            <w:tcBorders>
              <w:top w:val="nil"/>
              <w:left w:val="nil"/>
              <w:bottom w:val="single" w:sz="4" w:space="0" w:color="000000"/>
              <w:right w:val="single" w:sz="4" w:space="0" w:color="000000"/>
            </w:tcBorders>
            <w:hideMark/>
          </w:tcPr>
          <w:p w14:paraId="0C9359F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Hajat et al. (2023)</w:t>
            </w:r>
          </w:p>
        </w:tc>
        <w:tc>
          <w:tcPr>
            <w:tcW w:w="1405" w:type="dxa"/>
            <w:tcBorders>
              <w:top w:val="nil"/>
              <w:left w:val="nil"/>
              <w:bottom w:val="single" w:sz="4" w:space="0" w:color="000000"/>
              <w:right w:val="single" w:sz="4" w:space="0" w:color="000000"/>
            </w:tcBorders>
            <w:hideMark/>
          </w:tcPr>
          <w:p w14:paraId="0BEE6A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Ambient temperature and emergency hospital admissions in </w:t>
            </w:r>
            <w:r w:rsidRPr="00673CDA">
              <w:rPr>
                <w:rFonts w:ascii="Calibri" w:eastAsia="Times New Roman" w:hAnsi="Calibri" w:cs="Calibri"/>
                <w:color w:val="000000"/>
                <w:sz w:val="22"/>
                <w:szCs w:val="22"/>
                <w:lang w:val="en-GB" w:eastAsia="en-GB"/>
              </w:rPr>
              <w:lastRenderedPageBreak/>
              <w:t>people experiencing homelessness: London, United Kingdom, 2011–2019</w:t>
            </w:r>
          </w:p>
        </w:tc>
        <w:tc>
          <w:tcPr>
            <w:tcW w:w="1405" w:type="dxa"/>
            <w:tcBorders>
              <w:top w:val="nil"/>
              <w:left w:val="nil"/>
              <w:bottom w:val="single" w:sz="4" w:space="0" w:color="000000"/>
              <w:right w:val="single" w:sz="4" w:space="0" w:color="000000"/>
            </w:tcBorders>
            <w:hideMark/>
          </w:tcPr>
          <w:p w14:paraId="547BD5E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To assess the impacts of ambient temperature on hospitalizatio</w:t>
            </w:r>
            <w:r w:rsidRPr="00673CDA">
              <w:rPr>
                <w:rFonts w:ascii="Calibri" w:eastAsia="Times New Roman" w:hAnsi="Calibri" w:cs="Calibri"/>
                <w:color w:val="000000"/>
                <w:sz w:val="22"/>
                <w:szCs w:val="22"/>
                <w:lang w:val="en-GB" w:eastAsia="en-GB"/>
              </w:rPr>
              <w:lastRenderedPageBreak/>
              <w:t>ns of people experiencing homelessness in Greater London</w:t>
            </w:r>
          </w:p>
        </w:tc>
        <w:tc>
          <w:tcPr>
            <w:tcW w:w="1260" w:type="dxa"/>
            <w:tcBorders>
              <w:top w:val="nil"/>
              <w:left w:val="nil"/>
              <w:bottom w:val="single" w:sz="4" w:space="0" w:color="000000"/>
              <w:right w:val="single" w:sz="4" w:space="0" w:color="000000"/>
            </w:tcBorders>
            <w:hideMark/>
          </w:tcPr>
          <w:p w14:paraId="2DC90D5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2011-2019</w:t>
            </w:r>
          </w:p>
        </w:tc>
        <w:tc>
          <w:tcPr>
            <w:tcW w:w="1636" w:type="dxa"/>
            <w:tcBorders>
              <w:top w:val="nil"/>
              <w:left w:val="nil"/>
              <w:bottom w:val="single" w:sz="4" w:space="0" w:color="000000"/>
              <w:right w:val="single" w:sz="4" w:space="0" w:color="000000"/>
            </w:tcBorders>
            <w:hideMark/>
          </w:tcPr>
          <w:p w14:paraId="15111B4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Hospital Episode Statistics database by NHS Digital (Emergency </w:t>
            </w:r>
            <w:r w:rsidRPr="00673CDA">
              <w:rPr>
                <w:rFonts w:ascii="Calibri" w:eastAsia="Times New Roman" w:hAnsi="Calibri" w:cs="Calibri"/>
                <w:color w:val="000000"/>
                <w:sz w:val="22"/>
                <w:szCs w:val="22"/>
                <w:lang w:val="en-GB" w:eastAsia="en-GB"/>
              </w:rPr>
              <w:lastRenderedPageBreak/>
              <w:t>hospital inpatient admission)</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Meteorological: HadUK-Grid dataset from the Met Office</w:t>
            </w:r>
          </w:p>
        </w:tc>
        <w:tc>
          <w:tcPr>
            <w:tcW w:w="1198" w:type="dxa"/>
            <w:tcBorders>
              <w:top w:val="nil"/>
              <w:left w:val="nil"/>
              <w:bottom w:val="single" w:sz="4" w:space="0" w:color="000000"/>
              <w:right w:val="single" w:sz="4" w:space="0" w:color="000000"/>
            </w:tcBorders>
            <w:hideMark/>
          </w:tcPr>
          <w:p w14:paraId="4C4FF20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United Kingdom (London)</w:t>
            </w:r>
          </w:p>
        </w:tc>
        <w:tc>
          <w:tcPr>
            <w:tcW w:w="2462" w:type="dxa"/>
            <w:tcBorders>
              <w:top w:val="nil"/>
              <w:left w:val="nil"/>
              <w:bottom w:val="single" w:sz="4" w:space="0" w:color="000000"/>
              <w:right w:val="single" w:sz="4" w:space="0" w:color="000000"/>
            </w:tcBorders>
            <w:hideMark/>
          </w:tcPr>
          <w:p w14:paraId="320570E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H</w:t>
            </w:r>
            <w:r w:rsidRPr="00673CDA">
              <w:rPr>
                <w:rFonts w:ascii="Calibri" w:eastAsia="Times New Roman" w:hAnsi="Calibri" w:cs="Calibri"/>
                <w:color w:val="000000"/>
                <w:sz w:val="22"/>
                <w:szCs w:val="22"/>
                <w:lang w:val="en-GB" w:eastAsia="en-GB"/>
              </w:rPr>
              <w:t>omeless population</w:t>
            </w:r>
          </w:p>
        </w:tc>
      </w:tr>
      <w:tr w:rsidR="005E1386" w:rsidRPr="00673CDA" w14:paraId="59767257"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3DBC859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Hough_2023</w:t>
            </w:r>
          </w:p>
        </w:tc>
        <w:tc>
          <w:tcPr>
            <w:tcW w:w="947" w:type="dxa"/>
            <w:tcBorders>
              <w:top w:val="nil"/>
              <w:left w:val="nil"/>
              <w:bottom w:val="single" w:sz="4" w:space="0" w:color="000000"/>
              <w:right w:val="single" w:sz="4" w:space="0" w:color="000000"/>
            </w:tcBorders>
            <w:hideMark/>
          </w:tcPr>
          <w:p w14:paraId="045EEFD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Hough et al. (2023)</w:t>
            </w:r>
          </w:p>
        </w:tc>
        <w:tc>
          <w:tcPr>
            <w:tcW w:w="1405" w:type="dxa"/>
            <w:tcBorders>
              <w:top w:val="nil"/>
              <w:left w:val="nil"/>
              <w:bottom w:val="single" w:sz="4" w:space="0" w:color="000000"/>
              <w:right w:val="single" w:sz="4" w:space="0" w:color="000000"/>
            </w:tcBorders>
            <w:hideMark/>
          </w:tcPr>
          <w:p w14:paraId="4923E51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Early delivery following chronic and acute ambient temperature exposure: A comprehensive survival approach</w:t>
            </w:r>
          </w:p>
        </w:tc>
        <w:tc>
          <w:tcPr>
            <w:tcW w:w="1405" w:type="dxa"/>
            <w:tcBorders>
              <w:top w:val="nil"/>
              <w:left w:val="nil"/>
              <w:bottom w:val="single" w:sz="4" w:space="0" w:color="000000"/>
              <w:right w:val="single" w:sz="4" w:space="0" w:color="000000"/>
            </w:tcBorders>
            <w:hideMark/>
          </w:tcPr>
          <w:p w14:paraId="0118A95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estimate daily temperature exposure throughout pregnancy for three French prospective mother–child cohorts and to evaluate the association between temperature and preterm birth</w:t>
            </w:r>
          </w:p>
        </w:tc>
        <w:tc>
          <w:tcPr>
            <w:tcW w:w="1260" w:type="dxa"/>
            <w:tcBorders>
              <w:top w:val="nil"/>
              <w:left w:val="nil"/>
              <w:bottom w:val="single" w:sz="4" w:space="0" w:color="000000"/>
              <w:right w:val="single" w:sz="4" w:space="0" w:color="000000"/>
            </w:tcBorders>
            <w:hideMark/>
          </w:tcPr>
          <w:p w14:paraId="2A24CCA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Three prospective cohort studies:EDED 2003-2006</w:t>
            </w:r>
            <w:r w:rsidRPr="00673CDA">
              <w:rPr>
                <w:rFonts w:ascii="Calibri" w:eastAsia="Times New Roman" w:hAnsi="Calibri" w:cs="Calibri"/>
                <w:color w:val="000000"/>
                <w:sz w:val="22"/>
                <w:szCs w:val="22"/>
                <w:lang w:val="en-GB" w:eastAsia="en-GB"/>
              </w:rPr>
              <w:br/>
              <w:t>PELADIE 2002-2006</w:t>
            </w:r>
            <w:r w:rsidRPr="00673CDA">
              <w:rPr>
                <w:rFonts w:ascii="Calibri" w:eastAsia="Times New Roman" w:hAnsi="Calibri" w:cs="Calibri"/>
                <w:color w:val="000000"/>
                <w:sz w:val="22"/>
                <w:szCs w:val="22"/>
                <w:lang w:val="en-GB" w:eastAsia="en-GB"/>
              </w:rPr>
              <w:br/>
              <w:t>SEPAGES 2014-2017</w:t>
            </w:r>
          </w:p>
        </w:tc>
        <w:tc>
          <w:tcPr>
            <w:tcW w:w="1636" w:type="dxa"/>
            <w:tcBorders>
              <w:top w:val="nil"/>
              <w:left w:val="nil"/>
              <w:bottom w:val="single" w:sz="4" w:space="0" w:color="000000"/>
              <w:right w:val="single" w:sz="4" w:space="0" w:color="000000"/>
            </w:tcBorders>
            <w:hideMark/>
          </w:tcPr>
          <w:p w14:paraId="60CC64BB" w14:textId="77777777" w:rsidR="005E1386" w:rsidRPr="00507C05" w:rsidRDefault="005E1386" w:rsidP="0042136E">
            <w:pPr>
              <w:spacing w:before="0" w:after="0" w:line="240" w:lineRule="auto"/>
              <w:rPr>
                <w:rFonts w:ascii="Calibri" w:eastAsia="Times New Roman" w:hAnsi="Calibri" w:cs="Calibri"/>
                <w:color w:val="000000"/>
                <w:sz w:val="22"/>
                <w:szCs w:val="22"/>
                <w:lang w:val="fr-FR" w:eastAsia="en-GB"/>
              </w:rPr>
            </w:pPr>
            <w:r w:rsidRPr="00507C05">
              <w:rPr>
                <w:rFonts w:ascii="Calibri" w:eastAsia="Times New Roman" w:hAnsi="Calibri" w:cs="Calibri"/>
                <w:color w:val="000000"/>
                <w:sz w:val="22"/>
                <w:szCs w:val="22"/>
                <w:lang w:val="fr-FR" w:eastAsia="en-GB"/>
              </w:rPr>
              <w:t xml:space="preserve">Population: 3 French prospective mother-child cohorts: EDEN (E´ tude des De´terminants pre´ et post natals du de´veloppement et de la sante´ de l’Enfant), 33 PELAGIE (Perturbateurs Endocriniens: e´tude Longitudinale sur les Anomalies de la Grossesse, l’Infertilite´, et l’Enfance)34 and SEPAGES (Suivi de l’Exposition a` la Pollution </w:t>
            </w:r>
            <w:r w:rsidRPr="00507C05">
              <w:rPr>
                <w:rFonts w:ascii="Calibri" w:eastAsia="Times New Roman" w:hAnsi="Calibri" w:cs="Calibri"/>
                <w:color w:val="000000"/>
                <w:sz w:val="22"/>
                <w:szCs w:val="22"/>
                <w:lang w:val="fr-FR" w:eastAsia="en-GB"/>
              </w:rPr>
              <w:lastRenderedPageBreak/>
              <w:t>Atmosphe´rique durant la Grossesse et Effets sur la Sante´)</w:t>
            </w:r>
            <w:r w:rsidRPr="00507C05">
              <w:rPr>
                <w:rFonts w:ascii="Calibri" w:eastAsia="Times New Roman" w:hAnsi="Calibri" w:cs="Calibri"/>
                <w:color w:val="000000"/>
                <w:sz w:val="22"/>
                <w:szCs w:val="22"/>
                <w:lang w:val="fr-FR" w:eastAsia="en-GB"/>
              </w:rPr>
              <w:br/>
              <w:t>Meteorological:  multi-resolution hybrid spatiotemporal model</w:t>
            </w:r>
          </w:p>
        </w:tc>
        <w:tc>
          <w:tcPr>
            <w:tcW w:w="1198" w:type="dxa"/>
            <w:tcBorders>
              <w:top w:val="nil"/>
              <w:left w:val="nil"/>
              <w:bottom w:val="single" w:sz="4" w:space="0" w:color="000000"/>
              <w:right w:val="single" w:sz="4" w:space="0" w:color="000000"/>
            </w:tcBorders>
            <w:hideMark/>
          </w:tcPr>
          <w:p w14:paraId="1C41508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France (metropolitan areas of Poitiers and Nancy; Brittany region; metropolitan area of Grenoble)</w:t>
            </w:r>
          </w:p>
        </w:tc>
        <w:tc>
          <w:tcPr>
            <w:tcW w:w="2462" w:type="dxa"/>
            <w:tcBorders>
              <w:top w:val="nil"/>
              <w:left w:val="nil"/>
              <w:bottom w:val="single" w:sz="4" w:space="0" w:color="000000"/>
              <w:right w:val="single" w:sz="4" w:space="0" w:color="000000"/>
            </w:tcBorders>
            <w:hideMark/>
          </w:tcPr>
          <w:p w14:paraId="10BA630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M</w:t>
            </w:r>
            <w:r w:rsidRPr="00673CDA">
              <w:rPr>
                <w:rFonts w:ascii="Calibri" w:eastAsia="Times New Roman" w:hAnsi="Calibri" w:cs="Calibri"/>
                <w:color w:val="000000"/>
                <w:sz w:val="22"/>
                <w:szCs w:val="22"/>
                <w:lang w:val="en-GB" w:eastAsia="en-GB"/>
              </w:rPr>
              <w:t>other-child cohort</w:t>
            </w:r>
          </w:p>
        </w:tc>
      </w:tr>
      <w:tr w:rsidR="005E1386" w:rsidRPr="00673CDA" w14:paraId="2DB37EA5" w14:textId="77777777" w:rsidTr="0042136E">
        <w:trPr>
          <w:trHeight w:val="841"/>
        </w:trPr>
        <w:tc>
          <w:tcPr>
            <w:tcW w:w="1929" w:type="dxa"/>
            <w:tcBorders>
              <w:top w:val="nil"/>
              <w:left w:val="single" w:sz="4" w:space="0" w:color="000000"/>
              <w:bottom w:val="single" w:sz="4" w:space="0" w:color="000000"/>
              <w:right w:val="single" w:sz="4" w:space="0" w:color="000000"/>
            </w:tcBorders>
            <w:hideMark/>
          </w:tcPr>
          <w:p w14:paraId="300D492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Ordanovich_2023</w:t>
            </w:r>
          </w:p>
        </w:tc>
        <w:tc>
          <w:tcPr>
            <w:tcW w:w="947" w:type="dxa"/>
            <w:tcBorders>
              <w:top w:val="nil"/>
              <w:left w:val="nil"/>
              <w:bottom w:val="single" w:sz="4" w:space="0" w:color="000000"/>
              <w:right w:val="single" w:sz="4" w:space="0" w:color="000000"/>
            </w:tcBorders>
            <w:hideMark/>
          </w:tcPr>
          <w:p w14:paraId="08BD077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Ordanovich et al. (2023)</w:t>
            </w:r>
          </w:p>
        </w:tc>
        <w:tc>
          <w:tcPr>
            <w:tcW w:w="1405" w:type="dxa"/>
            <w:tcBorders>
              <w:top w:val="nil"/>
              <w:left w:val="nil"/>
              <w:bottom w:val="single" w:sz="4" w:space="0" w:color="000000"/>
              <w:right w:val="single" w:sz="4" w:space="0" w:color="000000"/>
            </w:tcBorders>
            <w:hideMark/>
          </w:tcPr>
          <w:p w14:paraId="56D3F19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Temporal variation of the temperature-mortality association in Spain: A nationwide analysis</w:t>
            </w:r>
          </w:p>
        </w:tc>
        <w:tc>
          <w:tcPr>
            <w:tcW w:w="1405" w:type="dxa"/>
            <w:tcBorders>
              <w:top w:val="nil"/>
              <w:left w:val="nil"/>
              <w:bottom w:val="single" w:sz="4" w:space="0" w:color="000000"/>
              <w:right w:val="single" w:sz="4" w:space="0" w:color="000000"/>
            </w:tcBorders>
            <w:hideMark/>
          </w:tcPr>
          <w:p w14:paraId="1BE8F34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explore the long-term adaptation to non-optimal temperatures in Spain at the national level by estimating the temporal variations of the minimum mortality temerature and the mortality burden from heat and cold</w:t>
            </w:r>
          </w:p>
        </w:tc>
        <w:tc>
          <w:tcPr>
            <w:tcW w:w="1260" w:type="dxa"/>
            <w:tcBorders>
              <w:top w:val="nil"/>
              <w:left w:val="nil"/>
              <w:bottom w:val="single" w:sz="4" w:space="0" w:color="000000"/>
              <w:right w:val="single" w:sz="4" w:space="0" w:color="000000"/>
            </w:tcBorders>
            <w:hideMark/>
          </w:tcPr>
          <w:p w14:paraId="52C972B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1979-2018</w:t>
            </w:r>
          </w:p>
        </w:tc>
        <w:tc>
          <w:tcPr>
            <w:tcW w:w="1636" w:type="dxa"/>
            <w:tcBorders>
              <w:top w:val="nil"/>
              <w:left w:val="nil"/>
              <w:bottom w:val="single" w:sz="4" w:space="0" w:color="000000"/>
              <w:right w:val="single" w:sz="4" w:space="0" w:color="000000"/>
            </w:tcBorders>
            <w:hideMark/>
          </w:tcPr>
          <w:p w14:paraId="154379E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Spain National Institute of Statistics (INE) (vital statistics)</w:t>
            </w:r>
            <w:r w:rsidRPr="00673CDA">
              <w:rPr>
                <w:rFonts w:ascii="Calibri" w:eastAsia="Times New Roman" w:hAnsi="Calibri" w:cs="Calibri"/>
                <w:color w:val="000000"/>
                <w:sz w:val="22"/>
                <w:szCs w:val="22"/>
                <w:lang w:val="en-GB" w:eastAsia="en-GB"/>
              </w:rPr>
              <w:br/>
              <w:t>Meteorological: European Centre for Medium-Range Weather Forecasts (ECMWF)</w:t>
            </w:r>
          </w:p>
        </w:tc>
        <w:tc>
          <w:tcPr>
            <w:tcW w:w="1198" w:type="dxa"/>
            <w:tcBorders>
              <w:top w:val="nil"/>
              <w:left w:val="nil"/>
              <w:bottom w:val="single" w:sz="4" w:space="0" w:color="000000"/>
              <w:right w:val="single" w:sz="4" w:space="0" w:color="000000"/>
            </w:tcBorders>
            <w:hideMark/>
          </w:tcPr>
          <w:p w14:paraId="58A76F9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w:t>
            </w:r>
          </w:p>
        </w:tc>
        <w:tc>
          <w:tcPr>
            <w:tcW w:w="2462" w:type="dxa"/>
            <w:tcBorders>
              <w:top w:val="nil"/>
              <w:left w:val="nil"/>
              <w:bottom w:val="single" w:sz="4" w:space="0" w:color="000000"/>
              <w:right w:val="single" w:sz="4" w:space="0" w:color="000000"/>
            </w:tcBorders>
            <w:hideMark/>
          </w:tcPr>
          <w:p w14:paraId="2A70352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3BDE013F" w14:textId="77777777" w:rsidTr="0042136E">
        <w:trPr>
          <w:trHeight w:val="568"/>
        </w:trPr>
        <w:tc>
          <w:tcPr>
            <w:tcW w:w="1929" w:type="dxa"/>
            <w:tcBorders>
              <w:top w:val="nil"/>
              <w:left w:val="single" w:sz="4" w:space="0" w:color="000000"/>
              <w:bottom w:val="single" w:sz="4" w:space="0" w:color="000000"/>
              <w:right w:val="single" w:sz="4" w:space="0" w:color="000000"/>
            </w:tcBorders>
            <w:hideMark/>
          </w:tcPr>
          <w:p w14:paraId="5A0E4E3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Ozturk_2023</w:t>
            </w:r>
          </w:p>
        </w:tc>
        <w:tc>
          <w:tcPr>
            <w:tcW w:w="947" w:type="dxa"/>
            <w:tcBorders>
              <w:top w:val="nil"/>
              <w:left w:val="nil"/>
              <w:bottom w:val="single" w:sz="4" w:space="0" w:color="000000"/>
              <w:right w:val="single" w:sz="4" w:space="0" w:color="000000"/>
            </w:tcBorders>
            <w:hideMark/>
          </w:tcPr>
          <w:p w14:paraId="71DC733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Ozturk et al. (2023)</w:t>
            </w:r>
          </w:p>
        </w:tc>
        <w:tc>
          <w:tcPr>
            <w:tcW w:w="1405" w:type="dxa"/>
            <w:tcBorders>
              <w:top w:val="nil"/>
              <w:left w:val="nil"/>
              <w:bottom w:val="single" w:sz="4" w:space="0" w:color="000000"/>
              <w:right w:val="single" w:sz="4" w:space="0" w:color="000000"/>
            </w:tcBorders>
            <w:hideMark/>
          </w:tcPr>
          <w:p w14:paraId="313DFFB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The effects of heatwaves on hospital admissions in the Edirne </w:t>
            </w:r>
            <w:r w:rsidRPr="00673CDA">
              <w:rPr>
                <w:rFonts w:ascii="Calibri" w:eastAsia="Times New Roman" w:hAnsi="Calibri" w:cs="Calibri"/>
                <w:color w:val="000000"/>
                <w:sz w:val="22"/>
                <w:szCs w:val="22"/>
                <w:lang w:val="en-GB" w:eastAsia="en-GB"/>
              </w:rPr>
              <w:lastRenderedPageBreak/>
              <w:t>province of Turkey - A cohort study</w:t>
            </w:r>
          </w:p>
        </w:tc>
        <w:tc>
          <w:tcPr>
            <w:tcW w:w="1405" w:type="dxa"/>
            <w:tcBorders>
              <w:top w:val="nil"/>
              <w:left w:val="nil"/>
              <w:bottom w:val="single" w:sz="4" w:space="0" w:color="000000"/>
              <w:right w:val="single" w:sz="4" w:space="0" w:color="000000"/>
            </w:tcBorders>
            <w:hideMark/>
          </w:tcPr>
          <w:p w14:paraId="3288FD5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reveal the effects of HWs on human health in Edirne city </w:t>
            </w:r>
            <w:r w:rsidRPr="00673CDA">
              <w:rPr>
                <w:rFonts w:ascii="Calibri" w:eastAsia="Times New Roman" w:hAnsi="Calibri" w:cs="Calibri"/>
                <w:color w:val="000000"/>
                <w:sz w:val="22"/>
                <w:szCs w:val="22"/>
                <w:lang w:val="en-GB" w:eastAsia="en-GB"/>
              </w:rPr>
              <w:lastRenderedPageBreak/>
              <w:t>(Turkey) based on their age, sex, and chronic diseases, by examining changes in the number of patients in hospital outpatient clinics during the heatwave period</w:t>
            </w:r>
          </w:p>
        </w:tc>
        <w:tc>
          <w:tcPr>
            <w:tcW w:w="1260" w:type="dxa"/>
            <w:tcBorders>
              <w:top w:val="nil"/>
              <w:left w:val="nil"/>
              <w:bottom w:val="single" w:sz="4" w:space="0" w:color="000000"/>
              <w:right w:val="single" w:sz="4" w:space="0" w:color="000000"/>
            </w:tcBorders>
            <w:hideMark/>
          </w:tcPr>
          <w:p w14:paraId="4C6C640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May 1 to September 30, when high temperature</w:t>
            </w:r>
            <w:r w:rsidRPr="00673CDA">
              <w:rPr>
                <w:rFonts w:ascii="Calibri" w:eastAsia="Times New Roman" w:hAnsi="Calibri" w:cs="Calibri"/>
                <w:color w:val="000000"/>
                <w:sz w:val="22"/>
                <w:szCs w:val="22"/>
                <w:lang w:val="en-GB" w:eastAsia="en-GB"/>
              </w:rPr>
              <w:lastRenderedPageBreak/>
              <w:t>s</w:t>
            </w:r>
            <w:r w:rsidRPr="00673CDA">
              <w:rPr>
                <w:rFonts w:ascii="Calibri" w:eastAsia="Times New Roman" w:hAnsi="Calibri" w:cs="Calibri"/>
                <w:color w:val="000000"/>
                <w:sz w:val="22"/>
                <w:szCs w:val="22"/>
                <w:lang w:val="en-GB" w:eastAsia="en-GB"/>
              </w:rPr>
              <w:br/>
              <w:t>were recorded. Instead of classic summer months period (June-</w:t>
            </w:r>
            <w:r w:rsidRPr="00673CDA">
              <w:rPr>
                <w:rFonts w:ascii="Calibri" w:eastAsia="Times New Roman" w:hAnsi="Calibri" w:cs="Calibri"/>
                <w:color w:val="000000"/>
                <w:sz w:val="22"/>
                <w:szCs w:val="22"/>
                <w:lang w:val="en-GB" w:eastAsia="en-GB"/>
              </w:rPr>
              <w:br/>
              <w:t>August), we used extended summer months, (May-September)</w:t>
            </w:r>
            <w:r w:rsidRPr="00673CDA">
              <w:rPr>
                <w:rFonts w:ascii="Calibri" w:eastAsia="Times New Roman" w:hAnsi="Calibri" w:cs="Calibri"/>
                <w:color w:val="000000"/>
                <w:sz w:val="22"/>
                <w:szCs w:val="22"/>
                <w:lang w:val="en-GB" w:eastAsia="en-GB"/>
              </w:rPr>
              <w:br/>
              <w:t>because, temperature records began to be broken frequently in</w:t>
            </w:r>
            <w:r w:rsidRPr="00673CDA">
              <w:rPr>
                <w:rFonts w:ascii="Calibri" w:eastAsia="Times New Roman" w:hAnsi="Calibri" w:cs="Calibri"/>
                <w:color w:val="000000"/>
                <w:sz w:val="22"/>
                <w:szCs w:val="22"/>
                <w:lang w:val="en-GB" w:eastAsia="en-GB"/>
              </w:rPr>
              <w:br/>
              <w:t>this 5-month period 2018</w:t>
            </w:r>
          </w:p>
        </w:tc>
        <w:tc>
          <w:tcPr>
            <w:tcW w:w="1636" w:type="dxa"/>
            <w:tcBorders>
              <w:top w:val="nil"/>
              <w:left w:val="nil"/>
              <w:bottom w:val="single" w:sz="4" w:space="0" w:color="000000"/>
              <w:right w:val="single" w:sz="4" w:space="0" w:color="000000"/>
            </w:tcBorders>
            <w:hideMark/>
          </w:tcPr>
          <w:p w14:paraId="75461D7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Population: Edirne Provincial Health Directorate (hospital data)</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lastRenderedPageBreak/>
              <w:t>Meteorological: Turkish State Meteorological Service</w:t>
            </w:r>
          </w:p>
        </w:tc>
        <w:tc>
          <w:tcPr>
            <w:tcW w:w="1198" w:type="dxa"/>
            <w:tcBorders>
              <w:top w:val="nil"/>
              <w:left w:val="nil"/>
              <w:bottom w:val="single" w:sz="4" w:space="0" w:color="000000"/>
              <w:right w:val="single" w:sz="4" w:space="0" w:color="000000"/>
            </w:tcBorders>
            <w:hideMark/>
          </w:tcPr>
          <w:p w14:paraId="1DE5053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Turkey (Edirne province)</w:t>
            </w:r>
          </w:p>
        </w:tc>
        <w:tc>
          <w:tcPr>
            <w:tcW w:w="2462" w:type="dxa"/>
            <w:tcBorders>
              <w:top w:val="nil"/>
              <w:left w:val="nil"/>
              <w:bottom w:val="single" w:sz="4" w:space="0" w:color="000000"/>
              <w:right w:val="single" w:sz="4" w:space="0" w:color="000000"/>
            </w:tcBorders>
            <w:hideMark/>
          </w:tcPr>
          <w:p w14:paraId="7605140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F2708" w14:paraId="676254E7"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4EE2AA6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Roubille_2023</w:t>
            </w:r>
          </w:p>
        </w:tc>
        <w:tc>
          <w:tcPr>
            <w:tcW w:w="947" w:type="dxa"/>
            <w:tcBorders>
              <w:top w:val="nil"/>
              <w:left w:val="nil"/>
              <w:bottom w:val="single" w:sz="4" w:space="0" w:color="000000"/>
              <w:right w:val="single" w:sz="4" w:space="0" w:color="000000"/>
            </w:tcBorders>
            <w:hideMark/>
          </w:tcPr>
          <w:p w14:paraId="68B0D79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Roubille et al. (2023)</w:t>
            </w:r>
          </w:p>
        </w:tc>
        <w:tc>
          <w:tcPr>
            <w:tcW w:w="1405" w:type="dxa"/>
            <w:tcBorders>
              <w:top w:val="nil"/>
              <w:left w:val="nil"/>
              <w:bottom w:val="single" w:sz="4" w:space="0" w:color="000000"/>
              <w:right w:val="single" w:sz="4" w:space="0" w:color="000000"/>
            </w:tcBorders>
            <w:hideMark/>
          </w:tcPr>
          <w:p w14:paraId="634B73F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Impact of global warming on weight in patients with heart failure </w:t>
            </w:r>
            <w:r w:rsidRPr="00673CDA">
              <w:rPr>
                <w:rFonts w:ascii="Calibri" w:eastAsia="Times New Roman" w:hAnsi="Calibri" w:cs="Calibri"/>
                <w:color w:val="000000"/>
                <w:sz w:val="22"/>
                <w:szCs w:val="22"/>
                <w:lang w:val="en-GB" w:eastAsia="en-GB"/>
              </w:rPr>
              <w:lastRenderedPageBreak/>
              <w:t>during the 2019 heatwave in France</w:t>
            </w:r>
          </w:p>
        </w:tc>
        <w:tc>
          <w:tcPr>
            <w:tcW w:w="1405" w:type="dxa"/>
            <w:tcBorders>
              <w:top w:val="nil"/>
              <w:left w:val="nil"/>
              <w:bottom w:val="single" w:sz="4" w:space="0" w:color="000000"/>
              <w:right w:val="single" w:sz="4" w:space="0" w:color="000000"/>
            </w:tcBorders>
            <w:hideMark/>
          </w:tcPr>
          <w:p w14:paraId="60AD198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analyse if the body weight of patients with heart failure changes </w:t>
            </w:r>
            <w:r w:rsidRPr="00673CDA">
              <w:rPr>
                <w:rFonts w:ascii="Calibri" w:eastAsia="Times New Roman" w:hAnsi="Calibri" w:cs="Calibri"/>
                <w:color w:val="000000"/>
                <w:sz w:val="22"/>
                <w:szCs w:val="22"/>
                <w:lang w:val="en-GB" w:eastAsia="en-GB"/>
              </w:rPr>
              <w:lastRenderedPageBreak/>
              <w:t>under the pressure of a heatwave</w:t>
            </w:r>
          </w:p>
        </w:tc>
        <w:tc>
          <w:tcPr>
            <w:tcW w:w="1260" w:type="dxa"/>
            <w:tcBorders>
              <w:top w:val="nil"/>
              <w:left w:val="nil"/>
              <w:bottom w:val="single" w:sz="4" w:space="0" w:color="000000"/>
              <w:right w:val="single" w:sz="4" w:space="0" w:color="000000"/>
            </w:tcBorders>
            <w:hideMark/>
          </w:tcPr>
          <w:p w14:paraId="6BB95CD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1.06.2019 - 30.09.2019</w:t>
            </w:r>
          </w:p>
        </w:tc>
        <w:tc>
          <w:tcPr>
            <w:tcW w:w="1636" w:type="dxa"/>
            <w:tcBorders>
              <w:top w:val="nil"/>
              <w:left w:val="nil"/>
              <w:bottom w:val="single" w:sz="4" w:space="0" w:color="000000"/>
              <w:right w:val="single" w:sz="4" w:space="0" w:color="000000"/>
            </w:tcBorders>
            <w:hideMark/>
          </w:tcPr>
          <w:p w14:paraId="412B3CD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telemonitoring system managed by CDM e-Health, an Air Liquide </w:t>
            </w:r>
            <w:r w:rsidRPr="00673CDA">
              <w:rPr>
                <w:rFonts w:ascii="Calibri" w:eastAsia="Times New Roman" w:hAnsi="Calibri" w:cs="Calibri"/>
                <w:color w:val="000000"/>
                <w:sz w:val="22"/>
                <w:szCs w:val="22"/>
                <w:lang w:val="en-GB" w:eastAsia="en-GB"/>
              </w:rPr>
              <w:lastRenderedPageBreak/>
              <w:t>Healthcare affiliate</w:t>
            </w:r>
            <w:r w:rsidRPr="00673CDA">
              <w:rPr>
                <w:rFonts w:ascii="Calibri" w:eastAsia="Times New Roman" w:hAnsi="Calibri" w:cs="Calibri"/>
                <w:color w:val="000000"/>
                <w:sz w:val="22"/>
                <w:szCs w:val="22"/>
                <w:lang w:val="en-GB" w:eastAsia="en-GB"/>
              </w:rPr>
              <w:br/>
              <w:t>Meteorological: closest weather station from the residence of each patient within the SYNOP data</w:t>
            </w:r>
          </w:p>
        </w:tc>
        <w:tc>
          <w:tcPr>
            <w:tcW w:w="1198" w:type="dxa"/>
            <w:tcBorders>
              <w:top w:val="nil"/>
              <w:left w:val="nil"/>
              <w:bottom w:val="single" w:sz="4" w:space="0" w:color="000000"/>
              <w:right w:val="single" w:sz="4" w:space="0" w:color="000000"/>
            </w:tcBorders>
            <w:hideMark/>
          </w:tcPr>
          <w:p w14:paraId="32C98F1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France</w:t>
            </w:r>
          </w:p>
        </w:tc>
        <w:tc>
          <w:tcPr>
            <w:tcW w:w="2462" w:type="dxa"/>
            <w:tcBorders>
              <w:top w:val="nil"/>
              <w:left w:val="nil"/>
              <w:bottom w:val="single" w:sz="4" w:space="0" w:color="000000"/>
              <w:right w:val="single" w:sz="4" w:space="0" w:color="000000"/>
            </w:tcBorders>
            <w:hideMark/>
          </w:tcPr>
          <w:p w14:paraId="798466A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 xml:space="preserve">atients with chronic heart failure hospitalized for acute heart failure in the </w:t>
            </w:r>
            <w:r w:rsidRPr="00673CDA">
              <w:rPr>
                <w:rFonts w:ascii="Calibri" w:eastAsia="Times New Roman" w:hAnsi="Calibri" w:cs="Calibri"/>
                <w:color w:val="000000"/>
                <w:sz w:val="22"/>
                <w:szCs w:val="22"/>
                <w:lang w:val="en-GB" w:eastAsia="en-GB"/>
              </w:rPr>
              <w:lastRenderedPageBreak/>
              <w:t>previous month and patients hospitalized in the past year with either clinical NYHA Class II or more, or increased natriuretic peptide</w:t>
            </w:r>
          </w:p>
        </w:tc>
      </w:tr>
      <w:tr w:rsidR="005E1386" w:rsidRPr="00673CDA" w14:paraId="34C7BC44"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42600C1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Savic_2023</w:t>
            </w:r>
          </w:p>
        </w:tc>
        <w:tc>
          <w:tcPr>
            <w:tcW w:w="947" w:type="dxa"/>
            <w:tcBorders>
              <w:top w:val="nil"/>
              <w:left w:val="nil"/>
              <w:bottom w:val="single" w:sz="4" w:space="0" w:color="000000"/>
              <w:right w:val="single" w:sz="4" w:space="0" w:color="000000"/>
            </w:tcBorders>
            <w:hideMark/>
          </w:tcPr>
          <w:p w14:paraId="79BCB6F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Savić et al. (2023)</w:t>
            </w:r>
          </w:p>
        </w:tc>
        <w:tc>
          <w:tcPr>
            <w:tcW w:w="1405" w:type="dxa"/>
            <w:tcBorders>
              <w:top w:val="nil"/>
              <w:left w:val="nil"/>
              <w:bottom w:val="single" w:sz="4" w:space="0" w:color="000000"/>
              <w:right w:val="single" w:sz="4" w:space="0" w:color="000000"/>
            </w:tcBorders>
            <w:hideMark/>
          </w:tcPr>
          <w:p w14:paraId="57C39E5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Hospital admission tendencies caused by day</w:t>
            </w:r>
            <w:r w:rsidRPr="00673CDA">
              <w:rPr>
                <w:rFonts w:ascii="Calibri" w:eastAsia="Times New Roman" w:hAnsi="Calibri" w:cs="Calibri"/>
                <w:color w:val="000000"/>
                <w:sz w:val="22"/>
                <w:szCs w:val="22"/>
                <w:lang w:val="en-GB" w:eastAsia="en-GB"/>
              </w:rPr>
              <w:noBreakHyphen/>
              <w:t>to</w:t>
            </w:r>
            <w:r w:rsidRPr="00673CDA">
              <w:rPr>
                <w:rFonts w:ascii="Calibri" w:eastAsia="Times New Roman" w:hAnsi="Calibri" w:cs="Calibri"/>
                <w:color w:val="000000"/>
                <w:sz w:val="22"/>
                <w:szCs w:val="22"/>
                <w:lang w:val="en-GB" w:eastAsia="en-GB"/>
              </w:rPr>
              <w:noBreakHyphen/>
              <w:t>day temperature changes during summer: A case study for the city of Novi Sad (Serbia)</w:t>
            </w:r>
          </w:p>
        </w:tc>
        <w:tc>
          <w:tcPr>
            <w:tcW w:w="1405" w:type="dxa"/>
            <w:tcBorders>
              <w:top w:val="nil"/>
              <w:left w:val="nil"/>
              <w:bottom w:val="single" w:sz="4" w:space="0" w:color="000000"/>
              <w:right w:val="single" w:sz="4" w:space="0" w:color="000000"/>
            </w:tcBorders>
            <w:hideMark/>
          </w:tcPr>
          <w:p w14:paraId="069F02A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To investigate whether and to what extent sudden changes in temperature, after a change in weather conditions, or the beginning or end of a heat wave, are the cause of the increased number of hospital admissions and what the relationship between the </w:t>
            </w:r>
            <w:r w:rsidRPr="00673CDA">
              <w:rPr>
                <w:rFonts w:ascii="Calibri" w:eastAsia="Times New Roman" w:hAnsi="Calibri" w:cs="Calibri"/>
                <w:color w:val="000000"/>
                <w:sz w:val="22"/>
                <w:szCs w:val="22"/>
                <w:lang w:val="en-GB" w:eastAsia="en-GB"/>
              </w:rPr>
              <w:lastRenderedPageBreak/>
              <w:t>temperature and the tendency of hospital admissions is</w:t>
            </w:r>
          </w:p>
        </w:tc>
        <w:tc>
          <w:tcPr>
            <w:tcW w:w="1260" w:type="dxa"/>
            <w:tcBorders>
              <w:top w:val="nil"/>
              <w:left w:val="nil"/>
              <w:bottom w:val="single" w:sz="4" w:space="0" w:color="000000"/>
              <w:right w:val="single" w:sz="4" w:space="0" w:color="000000"/>
            </w:tcBorders>
            <w:hideMark/>
          </w:tcPr>
          <w:p w14:paraId="1D362C6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2016-2017 Datasets from the summer seasons (June, July, August)</w:t>
            </w:r>
            <w:r w:rsidRPr="00673CDA">
              <w:rPr>
                <w:rFonts w:ascii="Calibri" w:eastAsia="Times New Roman" w:hAnsi="Calibri" w:cs="Calibri"/>
                <w:color w:val="000000"/>
                <w:sz w:val="22"/>
                <w:szCs w:val="22"/>
                <w:lang w:val="en-GB" w:eastAsia="en-GB"/>
              </w:rPr>
              <w:br/>
              <w:t>from both years are selected for further analysis.</w:t>
            </w:r>
          </w:p>
        </w:tc>
        <w:tc>
          <w:tcPr>
            <w:tcW w:w="1636" w:type="dxa"/>
            <w:tcBorders>
              <w:top w:val="nil"/>
              <w:left w:val="nil"/>
              <w:bottom w:val="single" w:sz="4" w:space="0" w:color="000000"/>
              <w:right w:val="single" w:sz="4" w:space="0" w:color="000000"/>
            </w:tcBorders>
            <w:hideMark/>
          </w:tcPr>
          <w:p w14:paraId="4251E31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Novi Sad Urban Network (NSUNET) system</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Population: Institute of Public Health of Vojvodina</w:t>
            </w:r>
          </w:p>
        </w:tc>
        <w:tc>
          <w:tcPr>
            <w:tcW w:w="1198" w:type="dxa"/>
            <w:tcBorders>
              <w:top w:val="nil"/>
              <w:left w:val="nil"/>
              <w:bottom w:val="single" w:sz="4" w:space="0" w:color="000000"/>
              <w:right w:val="single" w:sz="4" w:space="0" w:color="000000"/>
            </w:tcBorders>
            <w:hideMark/>
          </w:tcPr>
          <w:p w14:paraId="5A82301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Serbia (Novi Sad)</w:t>
            </w:r>
          </w:p>
        </w:tc>
        <w:tc>
          <w:tcPr>
            <w:tcW w:w="2462" w:type="dxa"/>
            <w:tcBorders>
              <w:top w:val="nil"/>
              <w:left w:val="nil"/>
              <w:bottom w:val="single" w:sz="4" w:space="0" w:color="000000"/>
              <w:right w:val="single" w:sz="4" w:space="0" w:color="000000"/>
            </w:tcBorders>
            <w:hideMark/>
          </w:tcPr>
          <w:p w14:paraId="4F7ACAE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53DB6991"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6D8E523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Yüzen_2023</w:t>
            </w:r>
          </w:p>
        </w:tc>
        <w:tc>
          <w:tcPr>
            <w:tcW w:w="947" w:type="dxa"/>
            <w:tcBorders>
              <w:top w:val="nil"/>
              <w:left w:val="nil"/>
              <w:bottom w:val="single" w:sz="4" w:space="0" w:color="000000"/>
              <w:right w:val="single" w:sz="4" w:space="0" w:color="000000"/>
            </w:tcBorders>
            <w:hideMark/>
          </w:tcPr>
          <w:p w14:paraId="07F42BA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Yüzen et al. (2023)</w:t>
            </w:r>
          </w:p>
        </w:tc>
        <w:tc>
          <w:tcPr>
            <w:tcW w:w="1405" w:type="dxa"/>
            <w:tcBorders>
              <w:top w:val="nil"/>
              <w:left w:val="nil"/>
              <w:bottom w:val="single" w:sz="4" w:space="0" w:color="000000"/>
              <w:right w:val="single" w:sz="4" w:space="0" w:color="000000"/>
            </w:tcBorders>
            <w:hideMark/>
          </w:tcPr>
          <w:p w14:paraId="3D3C215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Increased late preterm birth risk and altered uterine blood flow upon exposure to heat stress</w:t>
            </w:r>
          </w:p>
        </w:tc>
        <w:tc>
          <w:tcPr>
            <w:tcW w:w="1405" w:type="dxa"/>
            <w:tcBorders>
              <w:top w:val="nil"/>
              <w:left w:val="nil"/>
              <w:bottom w:val="single" w:sz="4" w:space="0" w:color="000000"/>
              <w:right w:val="single" w:sz="4" w:space="0" w:color="000000"/>
            </w:tcBorders>
            <w:hideMark/>
          </w:tcPr>
          <w:p w14:paraId="46D8588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identify the impact of heat exposure on the risk of preterm birth in Hamburg (Germany)</w:t>
            </w:r>
          </w:p>
        </w:tc>
        <w:tc>
          <w:tcPr>
            <w:tcW w:w="1260" w:type="dxa"/>
            <w:tcBorders>
              <w:top w:val="nil"/>
              <w:left w:val="nil"/>
              <w:bottom w:val="single" w:sz="4" w:space="0" w:color="000000"/>
              <w:right w:val="single" w:sz="4" w:space="0" w:color="000000"/>
            </w:tcBorders>
            <w:hideMark/>
          </w:tcPr>
          <w:p w14:paraId="74CA17C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1999-2021 (March-September)</w:t>
            </w:r>
          </w:p>
        </w:tc>
        <w:tc>
          <w:tcPr>
            <w:tcW w:w="1636" w:type="dxa"/>
            <w:tcBorders>
              <w:top w:val="nil"/>
              <w:left w:val="nil"/>
              <w:bottom w:val="single" w:sz="4" w:space="0" w:color="000000"/>
              <w:right w:val="single" w:sz="4" w:space="0" w:color="000000"/>
            </w:tcBorders>
            <w:hideMark/>
          </w:tcPr>
          <w:p w14:paraId="07FEFF1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central electronic patient registry of the Department of Obstetrics and Fetal Health, University Medical Centre Hamburg-Eppendorf; PRINCE study</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Meteorological: federal German National Meteorological Service (Deutscher Wetterdienst)</w:t>
            </w:r>
          </w:p>
        </w:tc>
        <w:tc>
          <w:tcPr>
            <w:tcW w:w="1198" w:type="dxa"/>
            <w:tcBorders>
              <w:top w:val="nil"/>
              <w:left w:val="nil"/>
              <w:bottom w:val="single" w:sz="4" w:space="0" w:color="000000"/>
              <w:right w:val="single" w:sz="4" w:space="0" w:color="000000"/>
            </w:tcBorders>
            <w:hideMark/>
          </w:tcPr>
          <w:p w14:paraId="5C8DE2D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Germany (Hamburg)</w:t>
            </w:r>
          </w:p>
        </w:tc>
        <w:tc>
          <w:tcPr>
            <w:tcW w:w="2462" w:type="dxa"/>
            <w:tcBorders>
              <w:top w:val="nil"/>
              <w:left w:val="nil"/>
              <w:bottom w:val="single" w:sz="4" w:space="0" w:color="000000"/>
              <w:right w:val="single" w:sz="4" w:space="0" w:color="000000"/>
            </w:tcBorders>
            <w:hideMark/>
          </w:tcPr>
          <w:p w14:paraId="4A44FE4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ersons carrying singleton pregnancies</w:t>
            </w:r>
          </w:p>
        </w:tc>
      </w:tr>
      <w:tr w:rsidR="005E1386" w:rsidRPr="00673CDA" w14:paraId="4610907E" w14:textId="77777777" w:rsidTr="0042136E">
        <w:trPr>
          <w:trHeight w:val="370"/>
        </w:trPr>
        <w:tc>
          <w:tcPr>
            <w:tcW w:w="12242" w:type="dxa"/>
            <w:gridSpan w:val="8"/>
            <w:tcBorders>
              <w:top w:val="single" w:sz="4" w:space="0" w:color="000000"/>
              <w:left w:val="single" w:sz="4" w:space="0" w:color="000000"/>
              <w:bottom w:val="single" w:sz="4" w:space="0" w:color="000000"/>
              <w:right w:val="single" w:sz="4" w:space="0" w:color="000000"/>
            </w:tcBorders>
            <w:shd w:val="clear" w:color="000000" w:fill="E7E6E6"/>
            <w:hideMark/>
          </w:tcPr>
          <w:p w14:paraId="236DCAFA" w14:textId="77777777" w:rsidR="005E1386" w:rsidRPr="00673CDA" w:rsidRDefault="005E1386" w:rsidP="0042136E">
            <w:pPr>
              <w:spacing w:before="0" w:after="0" w:line="240" w:lineRule="auto"/>
              <w:jc w:val="center"/>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Case-control design</w:t>
            </w:r>
          </w:p>
        </w:tc>
      </w:tr>
      <w:tr w:rsidR="005E1386" w:rsidRPr="00673CDA" w14:paraId="3BD8B07C"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04840A0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Demoury_2022</w:t>
            </w:r>
          </w:p>
        </w:tc>
        <w:tc>
          <w:tcPr>
            <w:tcW w:w="947" w:type="dxa"/>
            <w:tcBorders>
              <w:top w:val="nil"/>
              <w:left w:val="nil"/>
              <w:bottom w:val="single" w:sz="4" w:space="0" w:color="000000"/>
              <w:right w:val="single" w:sz="4" w:space="0" w:color="000000"/>
            </w:tcBorders>
            <w:hideMark/>
          </w:tcPr>
          <w:p w14:paraId="5881FA6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Demoury et al. (2022)</w:t>
            </w:r>
          </w:p>
        </w:tc>
        <w:tc>
          <w:tcPr>
            <w:tcW w:w="1405" w:type="dxa"/>
            <w:tcBorders>
              <w:top w:val="nil"/>
              <w:left w:val="nil"/>
              <w:bottom w:val="single" w:sz="4" w:space="0" w:color="000000"/>
              <w:right w:val="single" w:sz="4" w:space="0" w:color="000000"/>
            </w:tcBorders>
            <w:hideMark/>
          </w:tcPr>
          <w:p w14:paraId="0D70E47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Association between temperature and natural mortality in Belgium: </w:t>
            </w:r>
            <w:r w:rsidRPr="00673CDA">
              <w:rPr>
                <w:rFonts w:ascii="Calibri" w:eastAsia="Times New Roman" w:hAnsi="Calibri" w:cs="Calibri"/>
                <w:color w:val="000000"/>
                <w:sz w:val="22"/>
                <w:szCs w:val="22"/>
                <w:lang w:val="en-GB" w:eastAsia="en-GB"/>
              </w:rPr>
              <w:lastRenderedPageBreak/>
              <w:t>Effect modification by individual characteristics and residential environment</w:t>
            </w:r>
          </w:p>
        </w:tc>
        <w:tc>
          <w:tcPr>
            <w:tcW w:w="1405" w:type="dxa"/>
            <w:tcBorders>
              <w:top w:val="nil"/>
              <w:left w:val="nil"/>
              <w:bottom w:val="single" w:sz="4" w:space="0" w:color="000000"/>
              <w:right w:val="single" w:sz="4" w:space="0" w:color="000000"/>
            </w:tcBorders>
            <w:hideMark/>
          </w:tcPr>
          <w:p w14:paraId="3EF8896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examine the association between extreme temperatures </w:t>
            </w:r>
            <w:r w:rsidRPr="00673CDA">
              <w:rPr>
                <w:rFonts w:ascii="Calibri" w:eastAsia="Times New Roman" w:hAnsi="Calibri" w:cs="Calibri"/>
                <w:color w:val="000000"/>
                <w:sz w:val="22"/>
                <w:szCs w:val="22"/>
                <w:lang w:val="en-GB" w:eastAsia="en-GB"/>
              </w:rPr>
              <w:lastRenderedPageBreak/>
              <w:t>and natural, overall and cause-specific mortality in nine Belgian agglomeration and to investigate the effect modification of this association by individual characteristics</w:t>
            </w:r>
          </w:p>
        </w:tc>
        <w:tc>
          <w:tcPr>
            <w:tcW w:w="1260" w:type="dxa"/>
            <w:tcBorders>
              <w:top w:val="nil"/>
              <w:left w:val="nil"/>
              <w:bottom w:val="single" w:sz="4" w:space="0" w:color="000000"/>
              <w:right w:val="single" w:sz="4" w:space="0" w:color="000000"/>
            </w:tcBorders>
            <w:hideMark/>
          </w:tcPr>
          <w:p w14:paraId="5FBC4A2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January 1st, 2010 and December 31st, 2015 </w:t>
            </w:r>
          </w:p>
        </w:tc>
        <w:tc>
          <w:tcPr>
            <w:tcW w:w="1636" w:type="dxa"/>
            <w:tcBorders>
              <w:top w:val="nil"/>
              <w:left w:val="nil"/>
              <w:bottom w:val="single" w:sz="4" w:space="0" w:color="000000"/>
              <w:right w:val="single" w:sz="4" w:space="0" w:color="000000"/>
            </w:tcBorders>
            <w:hideMark/>
          </w:tcPr>
          <w:p w14:paraId="5574845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Population: Statbel, the Belgian statistical office ( date of death, sex, age (5-year age </w:t>
            </w:r>
            <w:r w:rsidRPr="00673CDA">
              <w:rPr>
                <w:rFonts w:ascii="Calibri" w:eastAsia="Times New Roman" w:hAnsi="Calibri" w:cs="Calibri"/>
                <w:color w:val="000000"/>
                <w:sz w:val="22"/>
                <w:szCs w:val="22"/>
                <w:lang w:val="en-GB" w:eastAsia="en-GB"/>
              </w:rPr>
              <w:lastRenderedPageBreak/>
              <w:t>groups) and cause of death);  InterMutualistic Agency (IMA)</w:t>
            </w:r>
            <w:r w:rsidRPr="00673CDA">
              <w:rPr>
                <w:rFonts w:ascii="Calibri" w:eastAsia="Times New Roman" w:hAnsi="Calibri" w:cs="Calibri"/>
                <w:color w:val="000000"/>
                <w:sz w:val="22"/>
                <w:szCs w:val="22"/>
                <w:lang w:val="en-GB" w:eastAsia="en-GB"/>
              </w:rPr>
              <w:br/>
              <w:t>Pollution: Belgian Interregional Environment Agency</w:t>
            </w:r>
            <w:r w:rsidRPr="00673CDA">
              <w:rPr>
                <w:rFonts w:ascii="Calibri" w:eastAsia="Times New Roman" w:hAnsi="Calibri" w:cs="Calibri"/>
                <w:color w:val="000000"/>
                <w:sz w:val="22"/>
                <w:szCs w:val="22"/>
                <w:lang w:val="en-GB" w:eastAsia="en-GB"/>
              </w:rPr>
              <w:br/>
              <w:t>Meteorological: Royal Meteorological Institute of Belgium</w:t>
            </w:r>
            <w:r w:rsidRPr="00673CDA">
              <w:rPr>
                <w:rFonts w:ascii="Calibri" w:eastAsia="Times New Roman" w:hAnsi="Calibri" w:cs="Calibri"/>
                <w:color w:val="000000"/>
                <w:sz w:val="22"/>
                <w:szCs w:val="22"/>
                <w:lang w:val="en-GB" w:eastAsia="en-GB"/>
              </w:rPr>
              <w:br/>
              <w:t>Pollution: Belgian Interregional Environment Agency</w:t>
            </w:r>
          </w:p>
        </w:tc>
        <w:tc>
          <w:tcPr>
            <w:tcW w:w="1198" w:type="dxa"/>
            <w:tcBorders>
              <w:top w:val="nil"/>
              <w:left w:val="nil"/>
              <w:bottom w:val="single" w:sz="4" w:space="0" w:color="000000"/>
              <w:right w:val="single" w:sz="4" w:space="0" w:color="000000"/>
            </w:tcBorders>
            <w:hideMark/>
          </w:tcPr>
          <w:p w14:paraId="7204F75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lastRenderedPageBreak/>
              <w:t>N</w:t>
            </w:r>
            <w:r w:rsidRPr="00673CDA">
              <w:rPr>
                <w:rFonts w:ascii="Calibri" w:eastAsia="Times New Roman" w:hAnsi="Calibri" w:cs="Calibri"/>
                <w:color w:val="000000"/>
                <w:sz w:val="22"/>
                <w:szCs w:val="22"/>
                <w:lang w:val="en-GB" w:eastAsia="en-GB"/>
              </w:rPr>
              <w:t>ine largest municipalities and their agglomerations in Belgium</w:t>
            </w:r>
          </w:p>
        </w:tc>
        <w:tc>
          <w:tcPr>
            <w:tcW w:w="2462" w:type="dxa"/>
            <w:tcBorders>
              <w:top w:val="nil"/>
              <w:left w:val="nil"/>
              <w:bottom w:val="single" w:sz="4" w:space="0" w:color="000000"/>
              <w:right w:val="single" w:sz="4" w:space="0" w:color="000000"/>
            </w:tcBorders>
            <w:hideMark/>
          </w:tcPr>
          <w:p w14:paraId="439164E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F2708" w14:paraId="3AE681A2"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02F7523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Gamboa_2023</w:t>
            </w:r>
          </w:p>
        </w:tc>
        <w:tc>
          <w:tcPr>
            <w:tcW w:w="947" w:type="dxa"/>
            <w:tcBorders>
              <w:top w:val="nil"/>
              <w:left w:val="nil"/>
              <w:bottom w:val="single" w:sz="4" w:space="0" w:color="000000"/>
              <w:right w:val="single" w:sz="4" w:space="0" w:color="000000"/>
            </w:tcBorders>
            <w:hideMark/>
          </w:tcPr>
          <w:p w14:paraId="651A31F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Gamboa et al. (2023)</w:t>
            </w:r>
          </w:p>
        </w:tc>
        <w:tc>
          <w:tcPr>
            <w:tcW w:w="1405" w:type="dxa"/>
            <w:tcBorders>
              <w:top w:val="nil"/>
              <w:left w:val="nil"/>
              <w:bottom w:val="single" w:sz="4" w:space="0" w:color="000000"/>
              <w:right w:val="single" w:sz="4" w:space="0" w:color="000000"/>
            </w:tcBorders>
            <w:hideMark/>
          </w:tcPr>
          <w:p w14:paraId="38FCBC9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Analysis of heat stroke and heat exhaustion cases in EudraVigilance pharmacovigilance database</w:t>
            </w:r>
          </w:p>
        </w:tc>
        <w:tc>
          <w:tcPr>
            <w:tcW w:w="1405" w:type="dxa"/>
            <w:tcBorders>
              <w:top w:val="nil"/>
              <w:left w:val="nil"/>
              <w:bottom w:val="single" w:sz="4" w:space="0" w:color="000000"/>
              <w:right w:val="single" w:sz="4" w:space="0" w:color="000000"/>
            </w:tcBorders>
            <w:hideMark/>
          </w:tcPr>
          <w:p w14:paraId="52DB92C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T</w:t>
            </w:r>
            <w:r w:rsidRPr="00673CDA">
              <w:rPr>
                <w:rFonts w:ascii="Calibri" w:eastAsia="Times New Roman" w:hAnsi="Calibri" w:cs="Calibri"/>
                <w:color w:val="000000"/>
                <w:sz w:val="22"/>
                <w:szCs w:val="22"/>
                <w:lang w:val="en-GB" w:eastAsia="en-GB"/>
              </w:rPr>
              <w:t xml:space="preserve">o examine the reported cases of exhaustion-dehydration syndrome (heat exhaustion), or heat stroke associated with any drug notified to the European </w:t>
            </w:r>
            <w:r w:rsidRPr="00673CDA">
              <w:rPr>
                <w:rFonts w:ascii="Calibri" w:eastAsia="Times New Roman" w:hAnsi="Calibri" w:cs="Calibri"/>
                <w:color w:val="000000"/>
                <w:sz w:val="22"/>
                <w:szCs w:val="22"/>
                <w:lang w:val="en-GB" w:eastAsia="en-GB"/>
              </w:rPr>
              <w:lastRenderedPageBreak/>
              <w:t>pharmacovigilance database (EudraVigilance)</w:t>
            </w:r>
          </w:p>
        </w:tc>
        <w:tc>
          <w:tcPr>
            <w:tcW w:w="1260" w:type="dxa"/>
            <w:tcBorders>
              <w:top w:val="nil"/>
              <w:left w:val="nil"/>
              <w:bottom w:val="single" w:sz="4" w:space="0" w:color="000000"/>
              <w:right w:val="single" w:sz="4" w:space="0" w:color="000000"/>
            </w:tcBorders>
            <w:hideMark/>
          </w:tcPr>
          <w:p w14:paraId="4C9A65F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January 1, 1995 up to January 10, 2022</w:t>
            </w:r>
          </w:p>
        </w:tc>
        <w:tc>
          <w:tcPr>
            <w:tcW w:w="1636" w:type="dxa"/>
            <w:tcBorders>
              <w:top w:val="nil"/>
              <w:left w:val="nil"/>
              <w:bottom w:val="single" w:sz="4" w:space="0" w:color="000000"/>
              <w:right w:val="single" w:sz="4" w:space="0" w:color="000000"/>
            </w:tcBorders>
            <w:hideMark/>
          </w:tcPr>
          <w:p w14:paraId="5A465267" w14:textId="77777777" w:rsidR="005E1386" w:rsidRPr="00507C05" w:rsidRDefault="005E1386" w:rsidP="0042136E">
            <w:pPr>
              <w:spacing w:before="0" w:after="0" w:line="240" w:lineRule="auto"/>
              <w:rPr>
                <w:rFonts w:ascii="Calibri" w:eastAsia="Times New Roman" w:hAnsi="Calibri" w:cs="Calibri"/>
                <w:color w:val="000000"/>
                <w:sz w:val="22"/>
                <w:szCs w:val="22"/>
                <w:lang w:val="fr-FR" w:eastAsia="en-GB"/>
              </w:rPr>
            </w:pPr>
            <w:r w:rsidRPr="00507C05">
              <w:rPr>
                <w:rFonts w:ascii="Calibri" w:eastAsia="Times New Roman" w:hAnsi="Calibri" w:cs="Calibri"/>
                <w:color w:val="000000"/>
                <w:sz w:val="22"/>
                <w:szCs w:val="22"/>
                <w:lang w:val="fr-FR" w:eastAsia="en-GB"/>
              </w:rPr>
              <w:t>Population: EudraVigilance (European pharmacovigilance database)</w:t>
            </w:r>
          </w:p>
        </w:tc>
        <w:tc>
          <w:tcPr>
            <w:tcW w:w="1198" w:type="dxa"/>
            <w:tcBorders>
              <w:top w:val="nil"/>
              <w:left w:val="nil"/>
              <w:bottom w:val="single" w:sz="4" w:space="0" w:color="000000"/>
              <w:right w:val="single" w:sz="4" w:space="0" w:color="000000"/>
            </w:tcBorders>
            <w:hideMark/>
          </w:tcPr>
          <w:p w14:paraId="56D4108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European Economic Area</w:t>
            </w:r>
          </w:p>
        </w:tc>
        <w:tc>
          <w:tcPr>
            <w:tcW w:w="2462" w:type="dxa"/>
            <w:tcBorders>
              <w:top w:val="nil"/>
              <w:left w:val="nil"/>
              <w:bottom w:val="single" w:sz="4" w:space="0" w:color="000000"/>
              <w:right w:val="single" w:sz="4" w:space="0" w:color="000000"/>
            </w:tcBorders>
            <w:hideMark/>
          </w:tcPr>
          <w:p w14:paraId="208C214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 xml:space="preserve">atients with cases reported to the national drug regulatory agencies (which include cases spontaneously reported by different healthcare professionals) and </w:t>
            </w:r>
            <w:r w:rsidRPr="00673CDA">
              <w:rPr>
                <w:rFonts w:ascii="Calibri" w:eastAsia="Times New Roman" w:hAnsi="Calibri" w:cs="Calibri"/>
                <w:color w:val="000000"/>
                <w:sz w:val="22"/>
                <w:szCs w:val="22"/>
                <w:lang w:val="en-GB" w:eastAsia="en-GB"/>
              </w:rPr>
              <w:lastRenderedPageBreak/>
              <w:t>pharmaceutical companies</w:t>
            </w:r>
          </w:p>
        </w:tc>
      </w:tr>
      <w:tr w:rsidR="005E1386" w:rsidRPr="006F2708" w14:paraId="2916F28B"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3807E4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Guolo_2022</w:t>
            </w:r>
          </w:p>
        </w:tc>
        <w:tc>
          <w:tcPr>
            <w:tcW w:w="947" w:type="dxa"/>
            <w:tcBorders>
              <w:top w:val="nil"/>
              <w:left w:val="nil"/>
              <w:bottom w:val="single" w:sz="4" w:space="0" w:color="000000"/>
              <w:right w:val="single" w:sz="4" w:space="0" w:color="000000"/>
            </w:tcBorders>
            <w:hideMark/>
          </w:tcPr>
          <w:p w14:paraId="21D94C4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Guolo et al. (2022)</w:t>
            </w:r>
          </w:p>
        </w:tc>
        <w:tc>
          <w:tcPr>
            <w:tcW w:w="1405" w:type="dxa"/>
            <w:tcBorders>
              <w:top w:val="nil"/>
              <w:left w:val="nil"/>
              <w:bottom w:val="single" w:sz="4" w:space="0" w:color="000000"/>
              <w:right w:val="single" w:sz="4" w:space="0" w:color="000000"/>
            </w:tcBorders>
            <w:hideMark/>
          </w:tcPr>
          <w:p w14:paraId="2850D87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Emergency department visits and summer temperatures in Bologna, Northern Italy, 2010–2019: A case-crossover study and geographically weighted regression methods</w:t>
            </w:r>
          </w:p>
        </w:tc>
        <w:tc>
          <w:tcPr>
            <w:tcW w:w="1405" w:type="dxa"/>
            <w:tcBorders>
              <w:top w:val="nil"/>
              <w:left w:val="nil"/>
              <w:bottom w:val="single" w:sz="4" w:space="0" w:color="000000"/>
              <w:right w:val="single" w:sz="4" w:space="0" w:color="000000"/>
            </w:tcBorders>
            <w:hideMark/>
          </w:tcPr>
          <w:p w14:paraId="408D842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evaluate the association between summer temperatures and emergency department visits in Bologna (Italy) and assess whether this association varies acrossareas with different socioeconomic and microclimatic characteristics</w:t>
            </w:r>
          </w:p>
        </w:tc>
        <w:tc>
          <w:tcPr>
            <w:tcW w:w="1260" w:type="dxa"/>
            <w:tcBorders>
              <w:top w:val="nil"/>
              <w:left w:val="nil"/>
              <w:bottom w:val="single" w:sz="4" w:space="0" w:color="000000"/>
              <w:right w:val="single" w:sz="4" w:space="0" w:color="000000"/>
            </w:tcBorders>
            <w:hideMark/>
          </w:tcPr>
          <w:p w14:paraId="1012CE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summers of 2010–2019</w:t>
            </w:r>
          </w:p>
        </w:tc>
        <w:tc>
          <w:tcPr>
            <w:tcW w:w="1636" w:type="dxa"/>
            <w:tcBorders>
              <w:top w:val="nil"/>
              <w:left w:val="nil"/>
              <w:bottom w:val="single" w:sz="4" w:space="0" w:color="000000"/>
              <w:right w:val="single" w:sz="4" w:space="0" w:color="000000"/>
            </w:tcBorders>
            <w:hideMark/>
          </w:tcPr>
          <w:p w14:paraId="3C8C403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Emergency Department Archive of all Public Health facilities of Bologna</w:t>
            </w:r>
            <w:r w:rsidRPr="00673CDA">
              <w:rPr>
                <w:rFonts w:ascii="Calibri" w:eastAsia="Times New Roman" w:hAnsi="Calibri" w:cs="Calibri"/>
                <w:color w:val="000000"/>
                <w:sz w:val="22"/>
                <w:szCs w:val="22"/>
                <w:lang w:val="en-GB" w:eastAsia="en-GB"/>
              </w:rPr>
              <w:br/>
              <w:t>Meteorological: Regional Agency for Prevention, Environment and Energy of Emilia Romagna</w:t>
            </w:r>
          </w:p>
        </w:tc>
        <w:tc>
          <w:tcPr>
            <w:tcW w:w="1198" w:type="dxa"/>
            <w:tcBorders>
              <w:top w:val="nil"/>
              <w:left w:val="nil"/>
              <w:bottom w:val="single" w:sz="4" w:space="0" w:color="000000"/>
              <w:right w:val="single" w:sz="4" w:space="0" w:color="000000"/>
            </w:tcBorders>
            <w:hideMark/>
          </w:tcPr>
          <w:p w14:paraId="6B882AC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Italy (Bologna)</w:t>
            </w:r>
          </w:p>
        </w:tc>
        <w:tc>
          <w:tcPr>
            <w:tcW w:w="2462" w:type="dxa"/>
            <w:tcBorders>
              <w:top w:val="nil"/>
              <w:left w:val="nil"/>
              <w:bottom w:val="single" w:sz="4" w:space="0" w:color="000000"/>
              <w:right w:val="single" w:sz="4" w:space="0" w:color="000000"/>
            </w:tcBorders>
            <w:hideMark/>
          </w:tcPr>
          <w:p w14:paraId="61DE52A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opulation, who had at least one emergency department visit  in the period 2010–2019 during the summer season from 1 June to 30 September</w:t>
            </w:r>
          </w:p>
        </w:tc>
      </w:tr>
      <w:tr w:rsidR="005E1386" w:rsidRPr="006F2708" w14:paraId="7D4DAFDA"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706398B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Hinchliffe_Alguacil_2023</w:t>
            </w:r>
          </w:p>
        </w:tc>
        <w:tc>
          <w:tcPr>
            <w:tcW w:w="947" w:type="dxa"/>
            <w:tcBorders>
              <w:top w:val="nil"/>
              <w:left w:val="nil"/>
              <w:bottom w:val="single" w:sz="4" w:space="0" w:color="000000"/>
              <w:right w:val="single" w:sz="4" w:space="0" w:color="000000"/>
            </w:tcBorders>
            <w:hideMark/>
          </w:tcPr>
          <w:p w14:paraId="37E64C4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Hinchliffe; Alguacil et al. (2023)</w:t>
            </w:r>
          </w:p>
        </w:tc>
        <w:tc>
          <w:tcPr>
            <w:tcW w:w="1405" w:type="dxa"/>
            <w:tcBorders>
              <w:top w:val="nil"/>
              <w:left w:val="nil"/>
              <w:bottom w:val="single" w:sz="4" w:space="0" w:color="000000"/>
              <w:right w:val="single" w:sz="4" w:space="0" w:color="000000"/>
            </w:tcBorders>
            <w:hideMark/>
          </w:tcPr>
          <w:p w14:paraId="1908B7E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 xml:space="preserve">Occupational heat exposure and prostate cancer risk: A pooled analysis of </w:t>
            </w:r>
            <w:r w:rsidRPr="00673CDA">
              <w:rPr>
                <w:rFonts w:ascii="Calibri" w:eastAsia="Times New Roman" w:hAnsi="Calibri" w:cs="Calibri"/>
                <w:color w:val="000000"/>
                <w:sz w:val="22"/>
                <w:szCs w:val="22"/>
                <w:lang w:val="en-GB" w:eastAsia="en-GB"/>
              </w:rPr>
              <w:lastRenderedPageBreak/>
              <w:t>case-control studies</w:t>
            </w:r>
          </w:p>
        </w:tc>
        <w:tc>
          <w:tcPr>
            <w:tcW w:w="1405" w:type="dxa"/>
            <w:tcBorders>
              <w:top w:val="nil"/>
              <w:left w:val="nil"/>
              <w:bottom w:val="single" w:sz="4" w:space="0" w:color="000000"/>
              <w:right w:val="single" w:sz="4" w:space="0" w:color="000000"/>
            </w:tcBorders>
            <w:hideMark/>
          </w:tcPr>
          <w:p w14:paraId="7E84D62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To analyse potential associations between occupational heat exposure and prostate </w:t>
            </w:r>
            <w:r w:rsidRPr="00673CDA">
              <w:rPr>
                <w:rFonts w:ascii="Calibri" w:eastAsia="Times New Roman" w:hAnsi="Calibri" w:cs="Calibri"/>
                <w:color w:val="000000"/>
                <w:sz w:val="22"/>
                <w:szCs w:val="22"/>
                <w:lang w:val="en-GB" w:eastAsia="en-GB"/>
              </w:rPr>
              <w:lastRenderedPageBreak/>
              <w:t>cancer risk in three different countries and to investigate possible interactions between occupational heat exposure and other occupational agents</w:t>
            </w:r>
          </w:p>
        </w:tc>
        <w:tc>
          <w:tcPr>
            <w:tcW w:w="1260" w:type="dxa"/>
            <w:tcBorders>
              <w:top w:val="nil"/>
              <w:left w:val="nil"/>
              <w:bottom w:val="single" w:sz="4" w:space="0" w:color="000000"/>
              <w:right w:val="single" w:sz="4" w:space="0" w:color="000000"/>
            </w:tcBorders>
            <w:hideMark/>
          </w:tcPr>
          <w:p w14:paraId="4918E5A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PROtEuS (Prostate Cancer &amp; Environment Study) 2005-2012</w:t>
            </w:r>
            <w:r w:rsidRPr="00673CDA">
              <w:rPr>
                <w:rFonts w:ascii="Calibri" w:eastAsia="Times New Roman" w:hAnsi="Calibri" w:cs="Calibri"/>
                <w:color w:val="000000"/>
                <w:sz w:val="22"/>
                <w:szCs w:val="22"/>
                <w:lang w:val="en-GB" w:eastAsia="en-GB"/>
              </w:rPr>
              <w:br/>
              <w:t xml:space="preserve">MCC-Spain </w:t>
            </w:r>
            <w:r w:rsidRPr="00673CDA">
              <w:rPr>
                <w:rFonts w:ascii="Calibri" w:eastAsia="Times New Roman" w:hAnsi="Calibri" w:cs="Calibri"/>
                <w:color w:val="000000"/>
                <w:sz w:val="22"/>
                <w:szCs w:val="22"/>
                <w:lang w:val="en-GB" w:eastAsia="en-GB"/>
              </w:rPr>
              <w:lastRenderedPageBreak/>
              <w:t>2008-2014</w:t>
            </w:r>
            <w:r w:rsidRPr="00673CDA">
              <w:rPr>
                <w:rFonts w:ascii="Calibri" w:eastAsia="Times New Roman" w:hAnsi="Calibri" w:cs="Calibri"/>
                <w:color w:val="000000"/>
                <w:sz w:val="22"/>
                <w:szCs w:val="22"/>
                <w:lang w:val="en-GB" w:eastAsia="en-GB"/>
              </w:rPr>
              <w:br/>
              <w:t>EPICAP (Epidemiological Study of Prostate Cancer)  2012-2014</w:t>
            </w:r>
          </w:p>
        </w:tc>
        <w:tc>
          <w:tcPr>
            <w:tcW w:w="1636" w:type="dxa"/>
            <w:tcBorders>
              <w:top w:val="nil"/>
              <w:left w:val="nil"/>
              <w:bottom w:val="single" w:sz="4" w:space="0" w:color="000000"/>
              <w:right w:val="single" w:sz="4" w:space="0" w:color="000000"/>
            </w:tcBorders>
            <w:hideMark/>
          </w:tcPr>
          <w:p w14:paraId="5B2EC36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Population: PROtEuS (Prostate Cancer &amp; Environment Study); MCC-Spain; EPICAP (Epidemiological </w:t>
            </w:r>
            <w:r w:rsidRPr="00673CDA">
              <w:rPr>
                <w:rFonts w:ascii="Calibri" w:eastAsia="Times New Roman" w:hAnsi="Calibri" w:cs="Calibri"/>
                <w:color w:val="000000"/>
                <w:sz w:val="22"/>
                <w:szCs w:val="22"/>
                <w:lang w:val="en-GB" w:eastAsia="en-GB"/>
              </w:rPr>
              <w:lastRenderedPageBreak/>
              <w:t>Study of Prostate Cancer)</w:t>
            </w:r>
          </w:p>
        </w:tc>
        <w:tc>
          <w:tcPr>
            <w:tcW w:w="1198" w:type="dxa"/>
            <w:tcBorders>
              <w:top w:val="nil"/>
              <w:left w:val="nil"/>
              <w:bottom w:val="single" w:sz="4" w:space="0" w:color="000000"/>
              <w:right w:val="single" w:sz="4" w:space="0" w:color="000000"/>
            </w:tcBorders>
            <w:hideMark/>
          </w:tcPr>
          <w:p w14:paraId="2C0C40A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Canada (Montreal metropolitan area), France (H´erault region), </w:t>
            </w:r>
            <w:r w:rsidRPr="00673CDA">
              <w:rPr>
                <w:rFonts w:ascii="Calibri" w:eastAsia="Times New Roman" w:hAnsi="Calibri" w:cs="Calibri"/>
                <w:color w:val="000000"/>
                <w:sz w:val="22"/>
                <w:szCs w:val="22"/>
                <w:lang w:val="en-GB" w:eastAsia="en-GB"/>
              </w:rPr>
              <w:lastRenderedPageBreak/>
              <w:t>Spain (seven regions)</w:t>
            </w:r>
          </w:p>
        </w:tc>
        <w:tc>
          <w:tcPr>
            <w:tcW w:w="2462" w:type="dxa"/>
            <w:tcBorders>
              <w:top w:val="nil"/>
              <w:left w:val="nil"/>
              <w:bottom w:val="single" w:sz="4" w:space="0" w:color="000000"/>
              <w:right w:val="single" w:sz="4" w:space="0" w:color="000000"/>
            </w:tcBorders>
            <w:hideMark/>
          </w:tcPr>
          <w:p w14:paraId="6D1943D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 xml:space="preserve">Canada: Citizens registered on the provincial electoral list and aged &lt;76 years at </w:t>
            </w:r>
            <w:r w:rsidRPr="00673CDA">
              <w:rPr>
                <w:rFonts w:ascii="Calibri" w:eastAsia="Times New Roman" w:hAnsi="Calibri" w:cs="Calibri"/>
                <w:color w:val="000000"/>
                <w:sz w:val="22"/>
                <w:szCs w:val="22"/>
                <w:lang w:val="en-GB" w:eastAsia="en-GB"/>
              </w:rPr>
              <w:lastRenderedPageBreak/>
              <w:t xml:space="preserve">diagnosis or interview. </w:t>
            </w:r>
            <w:r w:rsidRPr="00673CDA">
              <w:rPr>
                <w:rFonts w:ascii="Calibri" w:eastAsia="Times New Roman" w:hAnsi="Calibri" w:cs="Calibri"/>
                <w:color w:val="000000"/>
                <w:sz w:val="22"/>
                <w:szCs w:val="22"/>
                <w:lang w:val="en-GB" w:eastAsia="en-GB"/>
              </w:rPr>
              <w:br/>
              <w:t>Spain: Participants aged 40–85 years, residence in the catchment area for ≥6 months prior to recruitment and capable of answering the epidemiological questionnaire.</w:t>
            </w:r>
            <w:r w:rsidRPr="00673CDA">
              <w:rPr>
                <w:rFonts w:ascii="Calibri" w:eastAsia="Times New Roman" w:hAnsi="Calibri" w:cs="Calibri"/>
                <w:color w:val="000000"/>
                <w:sz w:val="22"/>
                <w:szCs w:val="22"/>
                <w:lang w:val="en-GB" w:eastAsia="en-GB"/>
              </w:rPr>
              <w:br/>
              <w:t>France: Patients newly diagnosed with prostate cancer in 2012–2013 and &lt;75 years old</w:t>
            </w:r>
          </w:p>
        </w:tc>
      </w:tr>
      <w:tr w:rsidR="005E1386" w:rsidRPr="006F2708" w14:paraId="737299A6" w14:textId="77777777" w:rsidTr="0042136E">
        <w:trPr>
          <w:trHeight w:val="567"/>
        </w:trPr>
        <w:tc>
          <w:tcPr>
            <w:tcW w:w="1929" w:type="dxa"/>
            <w:tcBorders>
              <w:top w:val="nil"/>
              <w:left w:val="single" w:sz="4" w:space="0" w:color="000000"/>
              <w:bottom w:val="single" w:sz="4" w:space="0" w:color="000000"/>
              <w:right w:val="single" w:sz="4" w:space="0" w:color="000000"/>
            </w:tcBorders>
            <w:hideMark/>
          </w:tcPr>
          <w:p w14:paraId="2860497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Hinchliffe_Kogevinas_2023</w:t>
            </w:r>
          </w:p>
        </w:tc>
        <w:tc>
          <w:tcPr>
            <w:tcW w:w="947" w:type="dxa"/>
            <w:tcBorders>
              <w:top w:val="nil"/>
              <w:left w:val="nil"/>
              <w:bottom w:val="single" w:sz="4" w:space="0" w:color="000000"/>
              <w:right w:val="single" w:sz="4" w:space="0" w:color="000000"/>
            </w:tcBorders>
            <w:hideMark/>
          </w:tcPr>
          <w:p w14:paraId="10F00DAA"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Hinchliffe; Kogevinas et al. (2023)</w:t>
            </w:r>
          </w:p>
        </w:tc>
        <w:tc>
          <w:tcPr>
            <w:tcW w:w="1405" w:type="dxa"/>
            <w:tcBorders>
              <w:top w:val="nil"/>
              <w:left w:val="nil"/>
              <w:bottom w:val="single" w:sz="4" w:space="0" w:color="000000"/>
              <w:right w:val="single" w:sz="4" w:space="0" w:color="000000"/>
            </w:tcBorders>
            <w:hideMark/>
          </w:tcPr>
          <w:p w14:paraId="6448F0A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Association of occupational heat exposure and colorectal cancer in the MCC-Spain study</w:t>
            </w:r>
          </w:p>
        </w:tc>
        <w:tc>
          <w:tcPr>
            <w:tcW w:w="1405" w:type="dxa"/>
            <w:tcBorders>
              <w:top w:val="nil"/>
              <w:left w:val="nil"/>
              <w:bottom w:val="single" w:sz="4" w:space="0" w:color="000000"/>
              <w:right w:val="single" w:sz="4" w:space="0" w:color="000000"/>
            </w:tcBorders>
            <w:hideMark/>
          </w:tcPr>
          <w:p w14:paraId="5D44EB7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analyse the potential association of life-time occupational heat exposure and colorectal cancer risk</w:t>
            </w:r>
          </w:p>
        </w:tc>
        <w:tc>
          <w:tcPr>
            <w:tcW w:w="1260" w:type="dxa"/>
            <w:tcBorders>
              <w:top w:val="nil"/>
              <w:left w:val="nil"/>
              <w:bottom w:val="single" w:sz="4" w:space="0" w:color="000000"/>
              <w:right w:val="single" w:sz="4" w:space="0" w:color="000000"/>
            </w:tcBorders>
            <w:hideMark/>
          </w:tcPr>
          <w:p w14:paraId="380B1CC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2008-2013</w:t>
            </w:r>
          </w:p>
        </w:tc>
        <w:tc>
          <w:tcPr>
            <w:tcW w:w="1636" w:type="dxa"/>
            <w:tcBorders>
              <w:top w:val="nil"/>
              <w:left w:val="nil"/>
              <w:bottom w:val="single" w:sz="4" w:space="0" w:color="000000"/>
              <w:right w:val="single" w:sz="4" w:space="0" w:color="000000"/>
            </w:tcBorders>
            <w:hideMark/>
          </w:tcPr>
          <w:p w14:paraId="1D5C26F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MCC-Spain</w:t>
            </w:r>
          </w:p>
        </w:tc>
        <w:tc>
          <w:tcPr>
            <w:tcW w:w="1198" w:type="dxa"/>
            <w:tcBorders>
              <w:top w:val="nil"/>
              <w:left w:val="nil"/>
              <w:bottom w:val="single" w:sz="4" w:space="0" w:color="000000"/>
              <w:right w:val="single" w:sz="4" w:space="0" w:color="000000"/>
            </w:tcBorders>
            <w:hideMark/>
          </w:tcPr>
          <w:p w14:paraId="734F59F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Spain (12 administrative regions)</w:t>
            </w:r>
          </w:p>
        </w:tc>
        <w:tc>
          <w:tcPr>
            <w:tcW w:w="2462" w:type="dxa"/>
            <w:tcBorders>
              <w:top w:val="nil"/>
              <w:left w:val="nil"/>
              <w:bottom w:val="single" w:sz="4" w:space="0" w:color="000000"/>
              <w:right w:val="single" w:sz="4" w:space="0" w:color="000000"/>
            </w:tcBorders>
            <w:hideMark/>
          </w:tcPr>
          <w:p w14:paraId="463B7E8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 xml:space="preserve">opulation aged 20–85 years, residence in the catchment area for ≥6 months prior to recruitment, no prior history of CRC and ability </w:t>
            </w:r>
            <w:r w:rsidRPr="00673CDA">
              <w:rPr>
                <w:rFonts w:ascii="Calibri" w:eastAsia="Times New Roman" w:hAnsi="Calibri" w:cs="Calibri"/>
                <w:color w:val="000000"/>
                <w:sz w:val="22"/>
                <w:szCs w:val="22"/>
                <w:lang w:val="en-GB" w:eastAsia="en-GB"/>
              </w:rPr>
              <w:lastRenderedPageBreak/>
              <w:t xml:space="preserve">to answer the epidemiological questionnaire </w:t>
            </w:r>
          </w:p>
        </w:tc>
      </w:tr>
      <w:tr w:rsidR="005E1386" w:rsidRPr="00673CDA" w14:paraId="3AA67D3C"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0E7D588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Ragettli_2023</w:t>
            </w:r>
          </w:p>
        </w:tc>
        <w:tc>
          <w:tcPr>
            <w:tcW w:w="947" w:type="dxa"/>
            <w:tcBorders>
              <w:top w:val="nil"/>
              <w:left w:val="nil"/>
              <w:bottom w:val="single" w:sz="4" w:space="0" w:color="000000"/>
              <w:right w:val="single" w:sz="4" w:space="0" w:color="000000"/>
            </w:tcBorders>
            <w:hideMark/>
          </w:tcPr>
          <w:p w14:paraId="79B95FF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Ragettli et al. (2023)</w:t>
            </w:r>
          </w:p>
        </w:tc>
        <w:tc>
          <w:tcPr>
            <w:tcW w:w="1405" w:type="dxa"/>
            <w:tcBorders>
              <w:top w:val="nil"/>
              <w:left w:val="nil"/>
              <w:bottom w:val="single" w:sz="4" w:space="0" w:color="000000"/>
              <w:right w:val="single" w:sz="4" w:space="0" w:color="000000"/>
            </w:tcBorders>
            <w:hideMark/>
          </w:tcPr>
          <w:p w14:paraId="57A2B64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Explorative assessment of the temperature–mortality association to support health-based heat-warning thresholds: A national case-crossover study in Switzerland</w:t>
            </w:r>
          </w:p>
        </w:tc>
        <w:tc>
          <w:tcPr>
            <w:tcW w:w="1405" w:type="dxa"/>
            <w:tcBorders>
              <w:top w:val="nil"/>
              <w:left w:val="nil"/>
              <w:bottom w:val="single" w:sz="4" w:space="0" w:color="000000"/>
              <w:right w:val="single" w:sz="4" w:space="0" w:color="000000"/>
            </w:tcBorders>
            <w:hideMark/>
          </w:tcPr>
          <w:p w14:paraId="1836D8D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investigate the relationship between temperature and mortality in Switzerland</w:t>
            </w:r>
          </w:p>
        </w:tc>
        <w:tc>
          <w:tcPr>
            <w:tcW w:w="1260" w:type="dxa"/>
            <w:tcBorders>
              <w:top w:val="nil"/>
              <w:left w:val="nil"/>
              <w:bottom w:val="single" w:sz="4" w:space="0" w:color="000000"/>
              <w:right w:val="single" w:sz="4" w:space="0" w:color="000000"/>
            </w:tcBorders>
            <w:hideMark/>
          </w:tcPr>
          <w:p w14:paraId="0B28B7C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W</w:t>
            </w:r>
            <w:r w:rsidRPr="00673CDA">
              <w:rPr>
                <w:rFonts w:ascii="Calibri" w:eastAsia="Times New Roman" w:hAnsi="Calibri" w:cs="Calibri"/>
                <w:color w:val="000000"/>
                <w:sz w:val="22"/>
                <w:szCs w:val="22"/>
                <w:lang w:val="en-GB" w:eastAsia="en-GB"/>
              </w:rPr>
              <w:t>arm season (May to September) between 2003 and 2016</w:t>
            </w:r>
          </w:p>
        </w:tc>
        <w:tc>
          <w:tcPr>
            <w:tcW w:w="1636" w:type="dxa"/>
            <w:tcBorders>
              <w:top w:val="nil"/>
              <w:left w:val="nil"/>
              <w:bottom w:val="single" w:sz="4" w:space="0" w:color="000000"/>
              <w:right w:val="single" w:sz="4" w:space="0" w:color="000000"/>
            </w:tcBorders>
            <w:hideMark/>
          </w:tcPr>
          <w:p w14:paraId="341EE55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Swiss National Cohort (SNC) (mortality)</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Meteorological: temperature model by Flückiger et al.</w:t>
            </w:r>
          </w:p>
        </w:tc>
        <w:tc>
          <w:tcPr>
            <w:tcW w:w="1198" w:type="dxa"/>
            <w:tcBorders>
              <w:top w:val="nil"/>
              <w:left w:val="nil"/>
              <w:bottom w:val="single" w:sz="4" w:space="0" w:color="000000"/>
              <w:right w:val="single" w:sz="4" w:space="0" w:color="000000"/>
            </w:tcBorders>
            <w:hideMark/>
          </w:tcPr>
          <w:p w14:paraId="2051469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Switzerland</w:t>
            </w:r>
          </w:p>
        </w:tc>
        <w:tc>
          <w:tcPr>
            <w:tcW w:w="2462" w:type="dxa"/>
            <w:tcBorders>
              <w:top w:val="nil"/>
              <w:left w:val="nil"/>
              <w:bottom w:val="single" w:sz="4" w:space="0" w:color="000000"/>
              <w:right w:val="single" w:sz="4" w:space="0" w:color="000000"/>
            </w:tcBorders>
            <w:hideMark/>
          </w:tcPr>
          <w:p w14:paraId="690D349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F2708" w14:paraId="391F2210" w14:textId="77777777" w:rsidTr="0042136E">
        <w:trPr>
          <w:trHeight w:val="1290"/>
        </w:trPr>
        <w:tc>
          <w:tcPr>
            <w:tcW w:w="1929" w:type="dxa"/>
            <w:tcBorders>
              <w:top w:val="nil"/>
              <w:left w:val="single" w:sz="4" w:space="0" w:color="000000"/>
              <w:bottom w:val="single" w:sz="4" w:space="0" w:color="000000"/>
              <w:right w:val="single" w:sz="4" w:space="0" w:color="000000"/>
            </w:tcBorders>
            <w:hideMark/>
          </w:tcPr>
          <w:p w14:paraId="201F497B"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Yarza_2023</w:t>
            </w:r>
          </w:p>
        </w:tc>
        <w:tc>
          <w:tcPr>
            <w:tcW w:w="947" w:type="dxa"/>
            <w:tcBorders>
              <w:top w:val="nil"/>
              <w:left w:val="nil"/>
              <w:bottom w:val="single" w:sz="4" w:space="0" w:color="000000"/>
              <w:right w:val="single" w:sz="4" w:space="0" w:color="000000"/>
            </w:tcBorders>
            <w:hideMark/>
          </w:tcPr>
          <w:p w14:paraId="6B52AFA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Yarza et al. (2023)</w:t>
            </w:r>
          </w:p>
        </w:tc>
        <w:tc>
          <w:tcPr>
            <w:tcW w:w="1405" w:type="dxa"/>
            <w:tcBorders>
              <w:top w:val="nil"/>
              <w:left w:val="nil"/>
              <w:bottom w:val="single" w:sz="4" w:space="0" w:color="000000"/>
              <w:right w:val="single" w:sz="4" w:space="0" w:color="000000"/>
            </w:tcBorders>
            <w:hideMark/>
          </w:tcPr>
          <w:p w14:paraId="5E2872F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Ability to adapt to seasonal temperature extremes among atrial fibrillation patients. A nation-wide study of hospitalizations in Israel</w:t>
            </w:r>
          </w:p>
        </w:tc>
        <w:tc>
          <w:tcPr>
            <w:tcW w:w="1405" w:type="dxa"/>
            <w:tcBorders>
              <w:top w:val="nil"/>
              <w:left w:val="nil"/>
              <w:bottom w:val="single" w:sz="4" w:space="0" w:color="000000"/>
              <w:right w:val="single" w:sz="4" w:space="0" w:color="000000"/>
            </w:tcBorders>
            <w:hideMark/>
          </w:tcPr>
          <w:p w14:paraId="50CECEC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investigate the relationship between hospitalizations due to atrial fibrillation and exposure to ambient temperature</w:t>
            </w:r>
          </w:p>
        </w:tc>
        <w:tc>
          <w:tcPr>
            <w:tcW w:w="1260" w:type="dxa"/>
            <w:tcBorders>
              <w:top w:val="nil"/>
              <w:left w:val="nil"/>
              <w:bottom w:val="single" w:sz="4" w:space="0" w:color="000000"/>
              <w:right w:val="single" w:sz="4" w:space="0" w:color="000000"/>
            </w:tcBorders>
            <w:hideMark/>
          </w:tcPr>
          <w:p w14:paraId="28DFCE3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2004-2018</w:t>
            </w:r>
          </w:p>
        </w:tc>
        <w:tc>
          <w:tcPr>
            <w:tcW w:w="1636" w:type="dxa"/>
            <w:tcBorders>
              <w:top w:val="nil"/>
              <w:left w:val="nil"/>
              <w:bottom w:val="single" w:sz="4" w:space="0" w:color="000000"/>
              <w:right w:val="single" w:sz="4" w:space="0" w:color="000000"/>
            </w:tcBorders>
            <w:hideMark/>
          </w:tcPr>
          <w:p w14:paraId="2CF5C0C2"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Population: seven hospitals within Clalit Health Services</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Meteorological: satellite-based model proposed by Zhou et al. (2020)</w:t>
            </w:r>
          </w:p>
        </w:tc>
        <w:tc>
          <w:tcPr>
            <w:tcW w:w="1198" w:type="dxa"/>
            <w:tcBorders>
              <w:top w:val="nil"/>
              <w:left w:val="nil"/>
              <w:bottom w:val="single" w:sz="4" w:space="0" w:color="000000"/>
              <w:right w:val="single" w:sz="4" w:space="0" w:color="000000"/>
            </w:tcBorders>
            <w:hideMark/>
          </w:tcPr>
          <w:p w14:paraId="6AF0AA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Israel</w:t>
            </w:r>
          </w:p>
        </w:tc>
        <w:tc>
          <w:tcPr>
            <w:tcW w:w="2462" w:type="dxa"/>
            <w:tcBorders>
              <w:top w:val="nil"/>
              <w:left w:val="nil"/>
              <w:bottom w:val="single" w:sz="4" w:space="0" w:color="000000"/>
              <w:right w:val="single" w:sz="4" w:space="0" w:color="000000"/>
            </w:tcBorders>
            <w:hideMark/>
          </w:tcPr>
          <w:p w14:paraId="2DCD541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atients &gt;18, diagnosed with atrial fibrillation</w:t>
            </w:r>
          </w:p>
        </w:tc>
      </w:tr>
      <w:tr w:rsidR="005E1386" w:rsidRPr="00673CDA" w14:paraId="6498A43B" w14:textId="77777777" w:rsidTr="0042136E">
        <w:trPr>
          <w:trHeight w:val="420"/>
        </w:trPr>
        <w:tc>
          <w:tcPr>
            <w:tcW w:w="12242" w:type="dxa"/>
            <w:gridSpan w:val="8"/>
            <w:tcBorders>
              <w:top w:val="single" w:sz="4" w:space="0" w:color="000000"/>
              <w:left w:val="single" w:sz="4" w:space="0" w:color="000000"/>
              <w:bottom w:val="single" w:sz="4" w:space="0" w:color="000000"/>
              <w:right w:val="single" w:sz="4" w:space="0" w:color="000000"/>
            </w:tcBorders>
            <w:shd w:val="clear" w:color="000000" w:fill="E7E6E6"/>
            <w:hideMark/>
          </w:tcPr>
          <w:p w14:paraId="7A6A8C63" w14:textId="77777777" w:rsidR="005E1386" w:rsidRPr="00673CDA" w:rsidRDefault="005E1386" w:rsidP="0042136E">
            <w:pPr>
              <w:spacing w:before="0" w:after="0" w:line="240" w:lineRule="auto"/>
              <w:jc w:val="center"/>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Cross-sectional design</w:t>
            </w:r>
          </w:p>
        </w:tc>
      </w:tr>
      <w:tr w:rsidR="005E1386" w:rsidRPr="00673CDA" w14:paraId="697BDFC8" w14:textId="77777777" w:rsidTr="0042136E">
        <w:trPr>
          <w:trHeight w:val="851"/>
        </w:trPr>
        <w:tc>
          <w:tcPr>
            <w:tcW w:w="1929" w:type="dxa"/>
            <w:tcBorders>
              <w:top w:val="nil"/>
              <w:left w:val="single" w:sz="4" w:space="0" w:color="000000"/>
              <w:bottom w:val="single" w:sz="4" w:space="0" w:color="000000"/>
              <w:right w:val="single" w:sz="4" w:space="0" w:color="000000"/>
            </w:tcBorders>
            <w:hideMark/>
          </w:tcPr>
          <w:p w14:paraId="4EE1456C"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Darabi_2023</w:t>
            </w:r>
          </w:p>
        </w:tc>
        <w:tc>
          <w:tcPr>
            <w:tcW w:w="947" w:type="dxa"/>
            <w:tcBorders>
              <w:top w:val="nil"/>
              <w:left w:val="nil"/>
              <w:bottom w:val="single" w:sz="4" w:space="0" w:color="000000"/>
              <w:right w:val="single" w:sz="4" w:space="0" w:color="000000"/>
            </w:tcBorders>
            <w:hideMark/>
          </w:tcPr>
          <w:p w14:paraId="33311FD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Darabi et al. (2023)</w:t>
            </w:r>
          </w:p>
        </w:tc>
        <w:tc>
          <w:tcPr>
            <w:tcW w:w="1405" w:type="dxa"/>
            <w:tcBorders>
              <w:top w:val="nil"/>
              <w:left w:val="nil"/>
              <w:bottom w:val="single" w:sz="4" w:space="0" w:color="000000"/>
              <w:right w:val="single" w:sz="4" w:space="0" w:color="000000"/>
            </w:tcBorders>
            <w:hideMark/>
          </w:tcPr>
          <w:p w14:paraId="7E9F729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Environmental stress, minority status, and local poverty: Risk factors for mental health in Berlin’s inner city</w:t>
            </w:r>
          </w:p>
        </w:tc>
        <w:tc>
          <w:tcPr>
            <w:tcW w:w="1405" w:type="dxa"/>
            <w:tcBorders>
              <w:top w:val="nil"/>
              <w:left w:val="nil"/>
              <w:bottom w:val="single" w:sz="4" w:space="0" w:color="000000"/>
              <w:right w:val="single" w:sz="4" w:space="0" w:color="000000"/>
            </w:tcBorders>
            <w:hideMark/>
          </w:tcPr>
          <w:p w14:paraId="45FCE65F"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measure associations between local poverty and environmental factors and asses whether the effects of local poverty on mental health are mediated by local heat exposure, air pollution, noise pollution, and greenspace exposure</w:t>
            </w:r>
          </w:p>
        </w:tc>
        <w:tc>
          <w:tcPr>
            <w:tcW w:w="1260" w:type="dxa"/>
            <w:tcBorders>
              <w:top w:val="nil"/>
              <w:left w:val="nil"/>
              <w:bottom w:val="single" w:sz="4" w:space="0" w:color="000000"/>
              <w:right w:val="single" w:sz="4" w:space="0" w:color="000000"/>
            </w:tcBorders>
            <w:hideMark/>
          </w:tcPr>
          <w:p w14:paraId="121EB5B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2009-2011</w:t>
            </w:r>
          </w:p>
        </w:tc>
        <w:tc>
          <w:tcPr>
            <w:tcW w:w="1636" w:type="dxa"/>
            <w:tcBorders>
              <w:top w:val="nil"/>
              <w:left w:val="nil"/>
              <w:bottom w:val="single" w:sz="4" w:space="0" w:color="000000"/>
              <w:right w:val="single" w:sz="4" w:space="0" w:color="000000"/>
            </w:tcBorders>
            <w:hideMark/>
          </w:tcPr>
          <w:p w14:paraId="3F2EC45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Flow over Irregular Terrain with Natural and Anthropogenic Heat sources (FITNAH) climate model and long-standing measuring stations in Berlin and Potsdam; green space information system (GRIS)</w:t>
            </w:r>
            <w:r w:rsidRPr="00673CDA">
              <w:rPr>
                <w:rFonts w:ascii="Calibri" w:eastAsia="Times New Roman" w:hAnsi="Calibri" w:cs="Calibri"/>
                <w:color w:val="000000"/>
                <w:sz w:val="22"/>
                <w:szCs w:val="22"/>
                <w:lang w:val="en-GB" w:eastAsia="en-GB"/>
              </w:rPr>
              <w:br/>
              <w:t xml:space="preserve">Population: Berlin Senate (Department for Urban Development, Building and Housing) and the Berlin-Brandenburg Office for Statistics; public registries of all residents in eleven neighborhoods in Berlin’s inner city (Berlin-Mitte), </w:t>
            </w:r>
            <w:r w:rsidRPr="00673CDA">
              <w:rPr>
                <w:rFonts w:ascii="Calibri" w:eastAsia="Times New Roman" w:hAnsi="Calibri" w:cs="Calibri"/>
                <w:color w:val="000000"/>
                <w:sz w:val="22"/>
                <w:szCs w:val="22"/>
                <w:lang w:val="en-GB" w:eastAsia="en-GB"/>
              </w:rPr>
              <w:lastRenderedPageBreak/>
              <w:t>interviews and General Health Questionnaire 28-item version (GHQ-28)</w:t>
            </w:r>
            <w:r w:rsidRPr="00673CDA">
              <w:rPr>
                <w:rFonts w:ascii="Calibri" w:eastAsia="Times New Roman" w:hAnsi="Calibri" w:cs="Calibri"/>
                <w:color w:val="000000"/>
                <w:sz w:val="22"/>
                <w:szCs w:val="22"/>
                <w:lang w:val="en-GB" w:eastAsia="en-GB"/>
              </w:rPr>
              <w:br/>
              <w:t xml:space="preserve">Pollution: Environmental Justice Atlas from the Berlin Senate Administration for Urban Development, Building and Housing (environmental stress factors); data from 400 detectors in 300 different locations throughout Berlin’s main street ( NO2 and PM2,5 emissions cars); Federal Environmental Agency’s </w:t>
            </w:r>
            <w:r w:rsidRPr="00673CDA">
              <w:rPr>
                <w:rFonts w:ascii="Calibri" w:eastAsia="Times New Roman" w:hAnsi="Calibri" w:cs="Calibri"/>
                <w:color w:val="000000"/>
                <w:sz w:val="22"/>
                <w:szCs w:val="22"/>
                <w:lang w:val="en-GB" w:eastAsia="en-GB"/>
              </w:rPr>
              <w:br/>
              <w:t>handbook for emission factors (all transportations)</w:t>
            </w:r>
          </w:p>
        </w:tc>
        <w:tc>
          <w:tcPr>
            <w:tcW w:w="1198" w:type="dxa"/>
            <w:tcBorders>
              <w:top w:val="nil"/>
              <w:left w:val="nil"/>
              <w:bottom w:val="single" w:sz="4" w:space="0" w:color="000000"/>
              <w:right w:val="single" w:sz="4" w:space="0" w:color="000000"/>
            </w:tcBorders>
            <w:hideMark/>
          </w:tcPr>
          <w:p w14:paraId="0030002D"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Germany (Berlin)</w:t>
            </w:r>
          </w:p>
        </w:tc>
        <w:tc>
          <w:tcPr>
            <w:tcW w:w="2462" w:type="dxa"/>
            <w:tcBorders>
              <w:top w:val="nil"/>
              <w:left w:val="nil"/>
              <w:bottom w:val="single" w:sz="4" w:space="0" w:color="000000"/>
              <w:right w:val="single" w:sz="4" w:space="0" w:color="000000"/>
            </w:tcBorders>
            <w:hideMark/>
          </w:tcPr>
          <w:p w14:paraId="4C837066"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opulation between 18 to 68 years</w:t>
            </w:r>
          </w:p>
        </w:tc>
      </w:tr>
      <w:tr w:rsidR="005E1386" w:rsidRPr="00673CDA" w14:paraId="4ABD0172" w14:textId="77777777" w:rsidTr="0042136E">
        <w:trPr>
          <w:trHeight w:val="2070"/>
        </w:trPr>
        <w:tc>
          <w:tcPr>
            <w:tcW w:w="1929" w:type="dxa"/>
            <w:tcBorders>
              <w:top w:val="nil"/>
              <w:left w:val="single" w:sz="4" w:space="0" w:color="000000"/>
              <w:bottom w:val="single" w:sz="4" w:space="0" w:color="000000"/>
              <w:right w:val="single" w:sz="4" w:space="0" w:color="000000"/>
            </w:tcBorders>
            <w:hideMark/>
          </w:tcPr>
          <w:p w14:paraId="5044E50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lastRenderedPageBreak/>
              <w:t>Zeren_2023</w:t>
            </w:r>
          </w:p>
        </w:tc>
        <w:tc>
          <w:tcPr>
            <w:tcW w:w="947" w:type="dxa"/>
            <w:tcBorders>
              <w:top w:val="nil"/>
              <w:left w:val="nil"/>
              <w:bottom w:val="single" w:sz="4" w:space="0" w:color="000000"/>
              <w:right w:val="single" w:sz="4" w:space="0" w:color="000000"/>
            </w:tcBorders>
            <w:hideMark/>
          </w:tcPr>
          <w:p w14:paraId="7E12400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Zeren Cetin et al. (2023)</w:t>
            </w:r>
          </w:p>
        </w:tc>
        <w:tc>
          <w:tcPr>
            <w:tcW w:w="1405" w:type="dxa"/>
            <w:tcBorders>
              <w:top w:val="nil"/>
              <w:left w:val="nil"/>
              <w:bottom w:val="single" w:sz="4" w:space="0" w:color="000000"/>
              <w:right w:val="single" w:sz="4" w:space="0" w:color="000000"/>
            </w:tcBorders>
            <w:hideMark/>
          </w:tcPr>
          <w:p w14:paraId="1D2F8FF5"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A geographic information systems and remote sensing–based approach to assess urban micro</w:t>
            </w:r>
            <w:r w:rsidRPr="00673CDA">
              <w:rPr>
                <w:rFonts w:ascii="Calibri" w:eastAsia="Times New Roman" w:hAnsi="Calibri" w:cs="Calibri"/>
                <w:color w:val="000000"/>
                <w:sz w:val="22"/>
                <w:szCs w:val="22"/>
                <w:lang w:val="en-GB" w:eastAsia="en-GB"/>
              </w:rPr>
              <w:noBreakHyphen/>
              <w:t>climate change and its impact on human health in Bartin, Turkey</w:t>
            </w:r>
          </w:p>
        </w:tc>
        <w:tc>
          <w:tcPr>
            <w:tcW w:w="1405" w:type="dxa"/>
            <w:tcBorders>
              <w:top w:val="nil"/>
              <w:left w:val="nil"/>
              <w:bottom w:val="single" w:sz="4" w:space="0" w:color="000000"/>
              <w:right w:val="single" w:sz="4" w:space="0" w:color="000000"/>
            </w:tcBorders>
            <w:hideMark/>
          </w:tcPr>
          <w:p w14:paraId="44B2790E"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inspect the impact of urban microclimate change, i.e., increasing land surface temperature, on human health in Bartin (Turkey)</w:t>
            </w:r>
          </w:p>
        </w:tc>
        <w:tc>
          <w:tcPr>
            <w:tcW w:w="1260" w:type="dxa"/>
            <w:tcBorders>
              <w:top w:val="nil"/>
              <w:left w:val="nil"/>
              <w:bottom w:val="single" w:sz="4" w:space="0" w:color="000000"/>
              <w:right w:val="single" w:sz="4" w:space="0" w:color="000000"/>
            </w:tcBorders>
            <w:hideMark/>
          </w:tcPr>
          <w:p w14:paraId="0DDAD9C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March 2000 and March 2020 for satellite data, interviews May and June 2020-21</w:t>
            </w:r>
          </w:p>
        </w:tc>
        <w:tc>
          <w:tcPr>
            <w:tcW w:w="1636" w:type="dxa"/>
            <w:tcBorders>
              <w:top w:val="nil"/>
              <w:left w:val="nil"/>
              <w:bottom w:val="single" w:sz="4" w:space="0" w:color="000000"/>
              <w:right w:val="single" w:sz="4" w:space="0" w:color="000000"/>
            </w:tcBorders>
            <w:hideMark/>
          </w:tcPr>
          <w:p w14:paraId="1FE0F93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Meteorological: Landsat 7 ETM satellite dataset for the year 2000 (March 7th) and Landsat 8 OLI (Operation Land Imager) and TIRS (Thermal Infrared Sensor) satellite dataset for the year 2020 (March 8th)</w:t>
            </w:r>
            <w:r w:rsidRPr="00673CDA">
              <w:rPr>
                <w:rFonts w:ascii="Calibri" w:eastAsia="Times New Roman" w:hAnsi="Calibri" w:cs="Calibri"/>
                <w:color w:val="000000"/>
                <w:sz w:val="22"/>
                <w:szCs w:val="22"/>
                <w:lang w:val="en-GB" w:eastAsia="en-GB"/>
              </w:rPr>
              <w:br/>
            </w:r>
            <w:r w:rsidRPr="00673CDA">
              <w:rPr>
                <w:rFonts w:ascii="Calibri" w:eastAsia="Times New Roman" w:hAnsi="Calibri" w:cs="Calibri"/>
                <w:color w:val="000000"/>
                <w:sz w:val="22"/>
                <w:szCs w:val="22"/>
                <w:lang w:val="en-GB" w:eastAsia="en-GB"/>
              </w:rPr>
              <w:br/>
              <w:t>Population: Interviews</w:t>
            </w:r>
          </w:p>
        </w:tc>
        <w:tc>
          <w:tcPr>
            <w:tcW w:w="1198" w:type="dxa"/>
            <w:tcBorders>
              <w:top w:val="nil"/>
              <w:left w:val="nil"/>
              <w:bottom w:val="single" w:sz="4" w:space="0" w:color="000000"/>
              <w:right w:val="single" w:sz="4" w:space="0" w:color="000000"/>
            </w:tcBorders>
            <w:hideMark/>
          </w:tcPr>
          <w:p w14:paraId="14C571A0"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Turkey (Bartin)</w:t>
            </w:r>
          </w:p>
        </w:tc>
        <w:tc>
          <w:tcPr>
            <w:tcW w:w="2462" w:type="dxa"/>
            <w:tcBorders>
              <w:top w:val="nil"/>
              <w:left w:val="nil"/>
              <w:bottom w:val="single" w:sz="4" w:space="0" w:color="000000"/>
              <w:right w:val="single" w:sz="4" w:space="0" w:color="000000"/>
            </w:tcBorders>
            <w:hideMark/>
          </w:tcPr>
          <w:p w14:paraId="75A4B4E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G</w:t>
            </w:r>
            <w:r w:rsidRPr="00673CDA">
              <w:rPr>
                <w:rFonts w:ascii="Calibri" w:eastAsia="Times New Roman" w:hAnsi="Calibri" w:cs="Calibri"/>
                <w:color w:val="000000"/>
                <w:sz w:val="22"/>
                <w:szCs w:val="22"/>
                <w:lang w:val="en-GB" w:eastAsia="en-GB"/>
              </w:rPr>
              <w:t>eneral population</w:t>
            </w:r>
          </w:p>
        </w:tc>
      </w:tr>
      <w:tr w:rsidR="005E1386" w:rsidRPr="00673CDA" w14:paraId="5E7920F0" w14:textId="77777777" w:rsidTr="0042136E">
        <w:trPr>
          <w:trHeight w:val="403"/>
        </w:trPr>
        <w:tc>
          <w:tcPr>
            <w:tcW w:w="12242" w:type="dxa"/>
            <w:gridSpan w:val="8"/>
            <w:tcBorders>
              <w:top w:val="single" w:sz="4" w:space="0" w:color="000000"/>
              <w:left w:val="single" w:sz="4" w:space="0" w:color="000000"/>
              <w:bottom w:val="single" w:sz="4" w:space="0" w:color="000000"/>
              <w:right w:val="single" w:sz="4" w:space="0" w:color="000000"/>
            </w:tcBorders>
            <w:shd w:val="clear" w:color="000000" w:fill="E7E6E6"/>
            <w:hideMark/>
          </w:tcPr>
          <w:p w14:paraId="4FED523F" w14:textId="77777777" w:rsidR="005E1386" w:rsidRPr="00673CDA" w:rsidRDefault="005E1386" w:rsidP="0042136E">
            <w:pPr>
              <w:spacing w:before="0" w:after="0" w:line="240" w:lineRule="auto"/>
              <w:jc w:val="center"/>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Qualitative design</w:t>
            </w:r>
          </w:p>
        </w:tc>
      </w:tr>
      <w:tr w:rsidR="005E1386" w:rsidRPr="006F2708" w14:paraId="61FD14FC" w14:textId="77777777" w:rsidTr="0042136E">
        <w:trPr>
          <w:trHeight w:val="567"/>
        </w:trPr>
        <w:tc>
          <w:tcPr>
            <w:tcW w:w="1929" w:type="dxa"/>
            <w:tcBorders>
              <w:top w:val="nil"/>
              <w:left w:val="single" w:sz="4" w:space="0" w:color="000000"/>
              <w:bottom w:val="single" w:sz="4" w:space="0" w:color="000000"/>
              <w:right w:val="single" w:sz="4" w:space="0" w:color="000000"/>
            </w:tcBorders>
            <w:hideMark/>
          </w:tcPr>
          <w:p w14:paraId="67F1802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Brooks_2023</w:t>
            </w:r>
          </w:p>
        </w:tc>
        <w:tc>
          <w:tcPr>
            <w:tcW w:w="947" w:type="dxa"/>
            <w:tcBorders>
              <w:top w:val="nil"/>
              <w:left w:val="nil"/>
              <w:bottom w:val="single" w:sz="4" w:space="0" w:color="000000"/>
              <w:right w:val="single" w:sz="4" w:space="0" w:color="000000"/>
            </w:tcBorders>
            <w:hideMark/>
          </w:tcPr>
          <w:p w14:paraId="36CE9118"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Brooks et al. (2023)</w:t>
            </w:r>
          </w:p>
        </w:tc>
        <w:tc>
          <w:tcPr>
            <w:tcW w:w="1405" w:type="dxa"/>
            <w:tcBorders>
              <w:top w:val="nil"/>
              <w:left w:val="nil"/>
              <w:bottom w:val="single" w:sz="4" w:space="0" w:color="000000"/>
              <w:right w:val="single" w:sz="4" w:space="0" w:color="000000"/>
            </w:tcBorders>
            <w:hideMark/>
          </w:tcPr>
          <w:p w14:paraId="2DA10449"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Heatwaves, hospitals and health system resilience in England: A qualitative assessment of frontline perspectives from the hot summer of 2019</w:t>
            </w:r>
          </w:p>
        </w:tc>
        <w:tc>
          <w:tcPr>
            <w:tcW w:w="1405" w:type="dxa"/>
            <w:tcBorders>
              <w:top w:val="nil"/>
              <w:left w:val="nil"/>
              <w:bottom w:val="single" w:sz="4" w:space="0" w:color="000000"/>
              <w:right w:val="single" w:sz="4" w:space="0" w:color="000000"/>
            </w:tcBorders>
            <w:hideMark/>
          </w:tcPr>
          <w:p w14:paraId="152E31B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To assess the impacts of very hot weather on (i) frontline staff in hospitals in England and (ii) on healthcare delivery and patient safety</w:t>
            </w:r>
          </w:p>
        </w:tc>
        <w:tc>
          <w:tcPr>
            <w:tcW w:w="1260" w:type="dxa"/>
            <w:tcBorders>
              <w:top w:val="nil"/>
              <w:left w:val="nil"/>
              <w:bottom w:val="single" w:sz="4" w:space="0" w:color="000000"/>
              <w:right w:val="single" w:sz="4" w:space="0" w:color="000000"/>
            </w:tcBorders>
            <w:hideMark/>
          </w:tcPr>
          <w:p w14:paraId="283556F4"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"between October 2019 and January 2020"</w:t>
            </w:r>
          </w:p>
        </w:tc>
        <w:tc>
          <w:tcPr>
            <w:tcW w:w="1636" w:type="dxa"/>
            <w:tcBorders>
              <w:top w:val="nil"/>
              <w:left w:val="nil"/>
              <w:bottom w:val="single" w:sz="4" w:space="0" w:color="000000"/>
              <w:right w:val="single" w:sz="4" w:space="0" w:color="000000"/>
            </w:tcBorders>
            <w:hideMark/>
          </w:tcPr>
          <w:p w14:paraId="21558797"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P</w:t>
            </w:r>
            <w:r w:rsidRPr="00673CDA">
              <w:rPr>
                <w:rFonts w:ascii="Calibri" w:eastAsia="Times New Roman" w:hAnsi="Calibri" w:cs="Calibri"/>
                <w:color w:val="000000"/>
                <w:sz w:val="22"/>
                <w:szCs w:val="22"/>
                <w:lang w:val="en-GB" w:eastAsia="en-GB"/>
              </w:rPr>
              <w:t>reinterview survey and semi-structured interviews</w:t>
            </w:r>
          </w:p>
        </w:tc>
        <w:tc>
          <w:tcPr>
            <w:tcW w:w="1198" w:type="dxa"/>
            <w:tcBorders>
              <w:top w:val="nil"/>
              <w:left w:val="nil"/>
              <w:bottom w:val="single" w:sz="4" w:space="0" w:color="000000"/>
              <w:right w:val="single" w:sz="4" w:space="0" w:color="000000"/>
            </w:tcBorders>
            <w:hideMark/>
          </w:tcPr>
          <w:p w14:paraId="693F6121"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sidRPr="00673CDA">
              <w:rPr>
                <w:rFonts w:ascii="Calibri" w:eastAsia="Times New Roman" w:hAnsi="Calibri" w:cs="Calibri"/>
                <w:color w:val="000000"/>
                <w:sz w:val="22"/>
                <w:szCs w:val="22"/>
                <w:lang w:val="en-GB" w:eastAsia="en-GB"/>
              </w:rPr>
              <w:t>England</w:t>
            </w:r>
          </w:p>
        </w:tc>
        <w:tc>
          <w:tcPr>
            <w:tcW w:w="2462" w:type="dxa"/>
            <w:tcBorders>
              <w:top w:val="nil"/>
              <w:left w:val="nil"/>
              <w:bottom w:val="single" w:sz="4" w:space="0" w:color="000000"/>
              <w:right w:val="single" w:sz="4" w:space="0" w:color="000000"/>
            </w:tcBorders>
            <w:hideMark/>
          </w:tcPr>
          <w:p w14:paraId="3F7E0E73" w14:textId="77777777" w:rsidR="005E1386" w:rsidRPr="00673CDA" w:rsidRDefault="005E1386" w:rsidP="0042136E">
            <w:pPr>
              <w:spacing w:before="0" w:after="0" w:line="240" w:lineRule="auto"/>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H</w:t>
            </w:r>
            <w:r w:rsidRPr="00673CDA">
              <w:rPr>
                <w:rFonts w:ascii="Calibri" w:eastAsia="Times New Roman" w:hAnsi="Calibri" w:cs="Calibri"/>
                <w:color w:val="000000"/>
                <w:sz w:val="22"/>
                <w:szCs w:val="22"/>
                <w:lang w:val="en-GB" w:eastAsia="en-GB"/>
              </w:rPr>
              <w:t>ealth professionals in the National Health Service (clinicians and non-clinicians, including facilities managers and emergency preparedness, resilience and response professionals)</w:t>
            </w:r>
          </w:p>
        </w:tc>
      </w:tr>
    </w:tbl>
    <w:p w14:paraId="451B0520" w14:textId="77777777" w:rsidR="005E1386" w:rsidRPr="00673CDA" w:rsidRDefault="005E1386" w:rsidP="005E1386">
      <w:pPr>
        <w:rPr>
          <w:b/>
          <w:color w:val="000000" w:themeColor="text1"/>
          <w:sz w:val="22"/>
          <w:szCs w:val="22"/>
          <w:lang w:val="en-GB"/>
        </w:rPr>
      </w:pPr>
    </w:p>
    <w:p w14:paraId="38A086F3" w14:textId="77777777" w:rsidR="005E1386" w:rsidRDefault="005E1386" w:rsidP="005E1386">
      <w:pPr>
        <w:rPr>
          <w:b/>
          <w:color w:val="000000" w:themeColor="text1"/>
          <w:sz w:val="22"/>
          <w:szCs w:val="22"/>
          <w:lang w:val="en-US"/>
        </w:rPr>
      </w:pPr>
      <w:r>
        <w:rPr>
          <w:lang w:val="en-GB"/>
        </w:rPr>
        <w:lastRenderedPageBreak/>
        <w:t xml:space="preserve">   </w:t>
      </w:r>
    </w:p>
    <w:p w14:paraId="0165E874" w14:textId="77777777" w:rsidR="005E1386" w:rsidRDefault="005E1386" w:rsidP="005E1386">
      <w:pPr>
        <w:rPr>
          <w:b/>
          <w:color w:val="000000" w:themeColor="text1"/>
          <w:sz w:val="22"/>
          <w:szCs w:val="22"/>
          <w:lang w:val="en-US"/>
        </w:rPr>
      </w:pPr>
    </w:p>
    <w:p w14:paraId="3D936B41" w14:textId="77777777" w:rsidR="005E1386" w:rsidRDefault="005E1386" w:rsidP="005E1386">
      <w:pPr>
        <w:rPr>
          <w:b/>
          <w:color w:val="000000" w:themeColor="text1"/>
          <w:sz w:val="22"/>
          <w:szCs w:val="22"/>
          <w:lang w:val="en-US"/>
        </w:rPr>
      </w:pPr>
    </w:p>
    <w:p w14:paraId="5B867088" w14:textId="77777777" w:rsidR="005E1386" w:rsidRDefault="005E1386" w:rsidP="005E1386">
      <w:pPr>
        <w:rPr>
          <w:b/>
          <w:color w:val="000000" w:themeColor="text1"/>
          <w:sz w:val="22"/>
          <w:szCs w:val="22"/>
          <w:lang w:val="en-US"/>
        </w:rPr>
      </w:pPr>
    </w:p>
    <w:p w14:paraId="4F98077E" w14:textId="77777777" w:rsidR="005E1386" w:rsidRDefault="005E1386" w:rsidP="005E1386">
      <w:pPr>
        <w:rPr>
          <w:b/>
          <w:color w:val="000000" w:themeColor="text1"/>
          <w:sz w:val="22"/>
          <w:szCs w:val="22"/>
          <w:lang w:val="en-US"/>
        </w:rPr>
      </w:pPr>
    </w:p>
    <w:p w14:paraId="166450CE" w14:textId="77777777" w:rsidR="005E1386" w:rsidRDefault="005E1386" w:rsidP="005E1386">
      <w:pPr>
        <w:rPr>
          <w:b/>
          <w:color w:val="000000" w:themeColor="text1"/>
          <w:sz w:val="22"/>
          <w:szCs w:val="22"/>
          <w:lang w:val="en-US"/>
        </w:rPr>
      </w:pPr>
    </w:p>
    <w:p w14:paraId="217CB51F" w14:textId="77777777" w:rsidR="005E1386" w:rsidRDefault="005E1386" w:rsidP="005E1386">
      <w:pPr>
        <w:rPr>
          <w:b/>
          <w:color w:val="000000" w:themeColor="text1"/>
          <w:sz w:val="22"/>
          <w:szCs w:val="22"/>
          <w:lang w:val="en-US"/>
        </w:rPr>
      </w:pPr>
    </w:p>
    <w:p w14:paraId="483D2846" w14:textId="77777777" w:rsidR="005E1386" w:rsidRDefault="005E1386" w:rsidP="005E1386">
      <w:pPr>
        <w:rPr>
          <w:b/>
          <w:color w:val="000000" w:themeColor="text1"/>
          <w:sz w:val="22"/>
          <w:szCs w:val="22"/>
          <w:lang w:val="en-US"/>
        </w:rPr>
      </w:pPr>
      <w:r>
        <w:rPr>
          <w:lang w:val="en-GB"/>
        </w:rPr>
        <w:t xml:space="preserve">    </w:t>
      </w:r>
    </w:p>
    <w:p w14:paraId="6D3EE03E" w14:textId="77777777" w:rsidR="005E1386" w:rsidRDefault="005E1386" w:rsidP="005E1386">
      <w:pPr>
        <w:rPr>
          <w:b/>
          <w:color w:val="000000" w:themeColor="text1"/>
          <w:sz w:val="22"/>
          <w:szCs w:val="22"/>
          <w:lang w:val="en-US"/>
        </w:rPr>
      </w:pPr>
    </w:p>
    <w:p w14:paraId="202D8A0F" w14:textId="77777777" w:rsidR="005E1386" w:rsidRDefault="005E1386" w:rsidP="005E1386">
      <w:pPr>
        <w:rPr>
          <w:b/>
          <w:color w:val="000000" w:themeColor="text1"/>
          <w:sz w:val="22"/>
          <w:szCs w:val="22"/>
          <w:lang w:val="en-US"/>
        </w:rPr>
      </w:pPr>
    </w:p>
    <w:p w14:paraId="0E162BB5" w14:textId="77777777" w:rsidR="005E1386" w:rsidRDefault="005E1386" w:rsidP="005E1386">
      <w:pPr>
        <w:rPr>
          <w:b/>
          <w:color w:val="000000" w:themeColor="text1"/>
          <w:sz w:val="22"/>
          <w:szCs w:val="22"/>
          <w:lang w:val="en-US"/>
        </w:rPr>
      </w:pPr>
    </w:p>
    <w:p w14:paraId="03977275" w14:textId="77777777" w:rsidR="005E1386" w:rsidRDefault="005E1386" w:rsidP="005E1386">
      <w:pPr>
        <w:rPr>
          <w:b/>
          <w:color w:val="000000" w:themeColor="text1"/>
          <w:sz w:val="22"/>
          <w:szCs w:val="22"/>
          <w:lang w:val="en-US"/>
        </w:rPr>
      </w:pPr>
    </w:p>
    <w:p w14:paraId="640EB2B7" w14:textId="77777777" w:rsidR="005E1386" w:rsidRDefault="005E1386" w:rsidP="005E1386">
      <w:pPr>
        <w:rPr>
          <w:b/>
          <w:color w:val="000000" w:themeColor="text1"/>
          <w:sz w:val="22"/>
          <w:szCs w:val="22"/>
          <w:lang w:val="en-US"/>
        </w:rPr>
        <w:sectPr w:rsidR="005E1386" w:rsidSect="005E1386">
          <w:pgSz w:w="16839" w:h="11907" w:orient="landscape"/>
          <w:pgMar w:top="1514" w:right="2676" w:bottom="1514" w:left="1911" w:header="737" w:footer="567" w:gutter="0"/>
          <w:pgNumType w:start="1"/>
          <w:cols w:space="720"/>
          <w:docGrid w:linePitch="360"/>
        </w:sectPr>
      </w:pPr>
    </w:p>
    <w:p w14:paraId="22EB09DF" w14:textId="77777777" w:rsidR="005E1386" w:rsidRDefault="005E1386" w:rsidP="005E1386">
      <w:pPr>
        <w:pStyle w:val="berschrift21"/>
        <w:rPr>
          <w:lang w:val="en-US"/>
        </w:rPr>
      </w:pPr>
      <w:r>
        <w:rPr>
          <w:lang w:val="en-US"/>
        </w:rPr>
        <w:lastRenderedPageBreak/>
        <w:t>Appendix 6: Results of searches for primary studies</w:t>
      </w:r>
    </w:p>
    <w:p w14:paraId="2DE67F5D" w14:textId="77777777" w:rsidR="005E1386" w:rsidRDefault="005E1386" w:rsidP="005E1386">
      <w:pPr>
        <w:rPr>
          <w:color w:val="auto"/>
          <w:sz w:val="22"/>
          <w:szCs w:val="22"/>
          <w:u w:val="single"/>
          <w:lang w:val="en-US"/>
        </w:rPr>
      </w:pPr>
    </w:p>
    <w:p w14:paraId="7EB0D3F8" w14:textId="77777777" w:rsidR="005E1386" w:rsidRPr="00310410" w:rsidRDefault="005E1386" w:rsidP="005E1386">
      <w:pPr>
        <w:rPr>
          <w:color w:val="auto"/>
          <w:sz w:val="22"/>
          <w:szCs w:val="22"/>
          <w:u w:val="single"/>
          <w:lang w:val="en-US"/>
        </w:rPr>
      </w:pPr>
      <w:r w:rsidRPr="00310410">
        <w:rPr>
          <w:color w:val="auto"/>
          <w:sz w:val="22"/>
          <w:szCs w:val="22"/>
          <w:u w:val="single"/>
          <w:lang w:val="en-US"/>
        </w:rPr>
        <w:t>Description of included studies</w:t>
      </w:r>
    </w:p>
    <w:p w14:paraId="60C0D258" w14:textId="77777777" w:rsidR="005E1386" w:rsidRPr="00310410" w:rsidRDefault="005E1386" w:rsidP="005E1386">
      <w:pPr>
        <w:rPr>
          <w:color w:val="auto"/>
          <w:sz w:val="22"/>
          <w:szCs w:val="22"/>
          <w:lang w:val="en-US"/>
        </w:rPr>
      </w:pPr>
      <w:r w:rsidRPr="00310410">
        <w:rPr>
          <w:color w:val="auto"/>
          <w:sz w:val="22"/>
          <w:szCs w:val="22"/>
          <w:lang w:val="en-US"/>
        </w:rPr>
        <w:t>The search yielded 726 unique results. Overall, 99 primary studies were included for full text review after title and abstract screening and 41 primary studies were included for further analysis.</w:t>
      </w:r>
    </w:p>
    <w:p w14:paraId="6052608B" w14:textId="77777777" w:rsidR="005E1386" w:rsidRPr="00BB0003" w:rsidRDefault="005E1386" w:rsidP="005E1386">
      <w:pPr>
        <w:jc w:val="both"/>
        <w:rPr>
          <w:bCs/>
          <w:color w:val="000000" w:themeColor="text1"/>
          <w:sz w:val="22"/>
          <w:u w:val="single"/>
          <w:lang w:val="en-US"/>
        </w:rPr>
      </w:pPr>
      <w:r w:rsidRPr="00BB0003">
        <w:rPr>
          <w:bCs/>
          <w:color w:val="000000" w:themeColor="text1"/>
          <w:sz w:val="22"/>
          <w:u w:val="single"/>
          <w:lang w:val="en-US"/>
        </w:rPr>
        <w:t>Study design</w:t>
      </w:r>
    </w:p>
    <w:p w14:paraId="534EA7E3" w14:textId="77777777" w:rsidR="005E1386" w:rsidRDefault="005E1386" w:rsidP="005E1386">
      <w:pPr>
        <w:jc w:val="both"/>
        <w:rPr>
          <w:color w:val="000000" w:themeColor="text1"/>
          <w:sz w:val="22"/>
          <w:lang w:val="en-US"/>
        </w:rPr>
      </w:pPr>
      <w:r>
        <w:rPr>
          <w:color w:val="000000" w:themeColor="text1"/>
          <w:sz w:val="22"/>
          <w:lang w:val="en-US"/>
        </w:rPr>
        <w:t>Among the 41 included studies, we found five categories of study design: Ecological (n=21),</w:t>
      </w:r>
      <w:r w:rsidRPr="005579F0">
        <w:rPr>
          <w:color w:val="000000" w:themeColor="text1"/>
          <w:sz w:val="22"/>
          <w:lang w:val="en-US"/>
        </w:rPr>
        <w:t xml:space="preserve"> </w:t>
      </w:r>
      <w:r>
        <w:rPr>
          <w:color w:val="000000" w:themeColor="text1"/>
          <w:sz w:val="22"/>
          <w:lang w:val="en-US"/>
        </w:rPr>
        <w:t>cohort studies (prospective or retrospective) (n=12), case-control studies (with or without case-crossover analysis) (n=7), cross-sectional studies (n=2) and qualitative studies (n=1).</w:t>
      </w:r>
    </w:p>
    <w:p w14:paraId="0B8B7ED1" w14:textId="77777777" w:rsidR="005E1386" w:rsidRPr="00BB0003" w:rsidRDefault="005E1386" w:rsidP="005E1386">
      <w:pPr>
        <w:jc w:val="both"/>
        <w:rPr>
          <w:color w:val="000000" w:themeColor="text1"/>
          <w:sz w:val="22"/>
          <w:u w:val="single"/>
          <w:lang w:val="en-US"/>
        </w:rPr>
      </w:pPr>
      <w:r w:rsidRPr="00BB0003">
        <w:rPr>
          <w:color w:val="000000" w:themeColor="text1"/>
          <w:sz w:val="22"/>
          <w:u w:val="single"/>
          <w:lang w:val="en-US"/>
        </w:rPr>
        <w:t>Geographic focus</w:t>
      </w:r>
    </w:p>
    <w:p w14:paraId="018CD91E" w14:textId="77777777" w:rsidR="005E1386" w:rsidRDefault="005E1386" w:rsidP="005E1386">
      <w:pPr>
        <w:jc w:val="both"/>
        <w:rPr>
          <w:color w:val="000000" w:themeColor="text1"/>
          <w:sz w:val="22"/>
          <w:lang w:val="en-US"/>
        </w:rPr>
      </w:pPr>
      <w:r>
        <w:rPr>
          <w:color w:val="000000" w:themeColor="text1"/>
          <w:sz w:val="22"/>
          <w:lang w:val="en-US"/>
        </w:rPr>
        <w:t xml:space="preserve">Three studies included data from several European countries </w:t>
      </w:r>
      <w:r>
        <w:rPr>
          <w:color w:val="000000" w:themeColor="text1"/>
          <w:sz w:val="22"/>
          <w:lang w:val="en-US"/>
        </w:rPr>
        <w:fldChar w:fldCharType="begin">
          <w:fldData xml:space="preserve">PEVuZE5vdGU+PENpdGU+PEF1dGhvcj5CYWxsZXN0ZXI8L0F1dGhvcj48WWVhcj4yMDIzPC9ZZWFy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[82-84]</w:t>
      </w:r>
      <w:r>
        <w:rPr>
          <w:color w:val="000000" w:themeColor="text1"/>
          <w:sz w:val="22"/>
          <w:lang w:val="en-US"/>
        </w:rPr>
        <w:fldChar w:fldCharType="end"/>
      </w:r>
      <w:r>
        <w:rPr>
          <w:color w:val="000000" w:themeColor="text1"/>
          <w:sz w:val="22"/>
          <w:lang w:val="en-US"/>
        </w:rPr>
        <w:t xml:space="preserve"> and one included data from countries worldwide</w:t>
      </w:r>
      <w:r>
        <w:rPr>
          <w:color w:val="000000" w:themeColor="text1"/>
          <w:sz w:val="22"/>
          <w:lang w:val="en-US"/>
        </w:rPr>
        <w:fldChar w:fldCharType="begin">
          <w:fldData xml:space="preserve">PEVuZE5vdGU+PENpdGU+PEF1dGhvcj5DaG9pPC9BdXRob3I+PFllYXI+MjAyMjwvWWVhcj48UmVj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[85]</w:t>
      </w:r>
      <w:r>
        <w:rPr>
          <w:color w:val="000000" w:themeColor="text1"/>
          <w:sz w:val="22"/>
          <w:lang w:val="en-US"/>
        </w:rPr>
        <w:fldChar w:fldCharType="end"/>
      </w:r>
      <w:r>
        <w:rPr>
          <w:color w:val="000000" w:themeColor="text1"/>
          <w:sz w:val="22"/>
          <w:lang w:val="en-US"/>
        </w:rPr>
        <w:t>. One study focused on one or more regions from three countries (Canada, France, Spain)</w:t>
      </w:r>
      <w:r>
        <w:rPr>
          <w:color w:val="000000" w:themeColor="text1"/>
          <w:sz w:val="22"/>
          <w:lang w:val="en-US"/>
        </w:rPr>
        <w:fldChar w:fldCharType="begin">
          <w:fldData xml:space="preserve">PEVuZE5vdGU+PENpdGU+PEF1dGhvcj5IaW5jaGxpZmZlPC9BdXRob3I+PFllYXI+MjAyMzwvWWVh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[86]</w:t>
      </w:r>
      <w:r>
        <w:rPr>
          <w:color w:val="000000" w:themeColor="text1"/>
          <w:sz w:val="22"/>
          <w:lang w:val="en-US"/>
        </w:rPr>
        <w:fldChar w:fldCharType="end"/>
      </w:r>
      <w:r>
        <w:rPr>
          <w:color w:val="000000" w:themeColor="text1"/>
          <w:sz w:val="22"/>
          <w:lang w:val="en-US"/>
        </w:rPr>
        <w:t>. Most included studies, however, focused on one country (n=16) or one city (n=9). Ten studies were concerned with one or more regions in a country. One study covered four Russian cities</w:t>
      </w:r>
      <w:r>
        <w:rPr>
          <w:color w:val="000000" w:themeColor="text1"/>
          <w:sz w:val="22"/>
          <w:lang w:val="en-US"/>
        </w:rPr>
        <w:fldChar w:fldCharType="begin">
          <w:fldData xml:space="preserve">PEVuZE5vdGU+PENpdGU+PEF1dGhvcj5SZXZpY2g8L0F1dGhvcj48WWVhcj4yMDIyPC9ZZWFyPjxS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[87]</w:t>
      </w:r>
      <w:r>
        <w:rPr>
          <w:color w:val="000000" w:themeColor="text1"/>
          <w:sz w:val="22"/>
          <w:lang w:val="en-US"/>
        </w:rPr>
        <w:fldChar w:fldCharType="end"/>
      </w:r>
      <w:r>
        <w:rPr>
          <w:color w:val="000000" w:themeColor="text1"/>
          <w:sz w:val="22"/>
          <w:lang w:val="en-US"/>
        </w:rPr>
        <w:t>.</w:t>
      </w:r>
    </w:p>
    <w:p w14:paraId="1372086D" w14:textId="77777777" w:rsidR="005E1386" w:rsidRPr="00BB0003" w:rsidRDefault="005E1386" w:rsidP="005E1386">
      <w:pPr>
        <w:jc w:val="both"/>
        <w:rPr>
          <w:color w:val="000000" w:themeColor="text1"/>
          <w:sz w:val="22"/>
          <w:u w:val="single"/>
          <w:lang w:val="en-US"/>
        </w:rPr>
      </w:pPr>
      <w:r w:rsidRPr="00BB0003">
        <w:rPr>
          <w:color w:val="000000" w:themeColor="text1"/>
          <w:sz w:val="22"/>
          <w:u w:val="single"/>
          <w:lang w:val="en-US"/>
        </w:rPr>
        <w:t xml:space="preserve">Population </w:t>
      </w:r>
    </w:p>
    <w:p w14:paraId="18B9FDBD" w14:textId="77777777" w:rsidR="005E1386" w:rsidRDefault="005E1386" w:rsidP="005E1386">
      <w:pPr>
        <w:jc w:val="both"/>
        <w:rPr>
          <w:color w:val="000000" w:themeColor="text1"/>
          <w:sz w:val="22"/>
          <w:lang w:val="en-US"/>
        </w:rPr>
      </w:pPr>
      <w:r>
        <w:rPr>
          <w:color w:val="000000" w:themeColor="text1"/>
          <w:sz w:val="22"/>
          <w:lang w:val="en-US"/>
        </w:rPr>
        <w:t xml:space="preserve">Slightly less than half of the included primary studies indicated the ‘general population’ as their population of interest (n=23). The other studies focused on populations with various pre-existing health conditions </w:t>
      </w:r>
      <w:r>
        <w:rPr>
          <w:color w:val="000000" w:themeColor="text1"/>
          <w:sz w:val="22"/>
          <w:lang w:val="en-US"/>
        </w:rPr>
        <w:fldChar w:fldCharType="begin">
          <w:fldData xml:space="preserve">PEVuZE5vdGU+PENpdGU+PEF1dGhvcj5ZYXJ6YTwvQXV0aG9yPjxZZWFyPjIwMjM8L1llYXI+PFJl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[84, 88-92]</w:t>
      </w:r>
      <w:r>
        <w:rPr>
          <w:color w:val="000000" w:themeColor="text1"/>
          <w:sz w:val="22"/>
          <w:lang w:val="en-US"/>
        </w:rPr>
        <w:fldChar w:fldCharType="end"/>
      </w:r>
      <w:r>
        <w:rPr>
          <w:color w:val="000000" w:themeColor="text1"/>
          <w:sz w:val="22"/>
          <w:lang w:val="en-US"/>
        </w:rPr>
        <w:t xml:space="preserve"> or populations above a certain age e.g. 65 or higher</w:t>
      </w:r>
      <w:r>
        <w:rPr>
          <w:color w:val="000000" w:themeColor="text1"/>
          <w:sz w:val="22"/>
          <w:lang w:val="en-US"/>
        </w:rPr>
        <w:fldChar w:fldCharType="begin">
          <w:fldData xml:space="preserve">PEVuZE5vdGU+PENpdGU+PEF1dGhvcj5Db250ZSBLZWl2YWJ1PC9BdXRob3I+PFllYXI+MjAyMjwv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[93-95]</w:t>
      </w:r>
      <w:r>
        <w:rPr>
          <w:color w:val="000000" w:themeColor="text1"/>
          <w:sz w:val="22"/>
          <w:lang w:val="en-US"/>
        </w:rPr>
        <w:fldChar w:fldCharType="end"/>
      </w:r>
      <w:r>
        <w:rPr>
          <w:color w:val="000000" w:themeColor="text1"/>
          <w:sz w:val="22"/>
          <w:lang w:val="en-US"/>
        </w:rPr>
        <w:t>. In further studies, the populations of interest were workers</w:t>
      </w:r>
      <w:r>
        <w:rPr>
          <w:color w:val="000000" w:themeColor="text1"/>
          <w:sz w:val="22"/>
          <w:lang w:val="en-US"/>
        </w:rPr>
        <w:fldChar w:fldCharType="begin">
          <w:fldData xml:space="preserve">PEVuZE5vdGU+PENpdGU+PEF1dGhvcj5EaSBCbGFzaTwvQXV0aG9yPjxZZWFyPjIwMjM8L1llYXI+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[96, 97]</w:t>
      </w:r>
      <w:r>
        <w:rPr>
          <w:color w:val="000000" w:themeColor="text1"/>
          <w:sz w:val="22"/>
          <w:lang w:val="en-US"/>
        </w:rPr>
        <w:fldChar w:fldCharType="end"/>
      </w:r>
      <w:r>
        <w:rPr>
          <w:color w:val="000000" w:themeColor="text1"/>
          <w:sz w:val="22"/>
          <w:lang w:val="en-US"/>
        </w:rPr>
        <w:t>, mothers and their children</w:t>
      </w:r>
      <w:r>
        <w:rPr>
          <w:color w:val="000000" w:themeColor="text1"/>
          <w:sz w:val="22"/>
          <w:lang w:val="en-US"/>
        </w:rPr>
        <w:fldChar w:fldCharType="begin">
          <w:fldData xml:space="preserve">PEVuZE5vdGU+PENpdGU+PEF1dGhvcj5HdWlsYmVydDwvQXV0aG9yPjxZZWFyPjIwMjM8L1llYXI+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==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[98, 99]</w:t>
      </w:r>
      <w:r>
        <w:rPr>
          <w:color w:val="000000" w:themeColor="text1"/>
          <w:sz w:val="22"/>
          <w:lang w:val="en-US"/>
        </w:rPr>
        <w:fldChar w:fldCharType="end"/>
      </w:r>
      <w:r>
        <w:rPr>
          <w:color w:val="000000" w:themeColor="text1"/>
          <w:sz w:val="22"/>
          <w:lang w:val="en-US"/>
        </w:rPr>
        <w:t>, singleton pregnancies</w:t>
      </w:r>
      <w:r>
        <w:rPr>
          <w:color w:val="000000" w:themeColor="text1"/>
          <w:sz w:val="22"/>
          <w:lang w:val="en-US"/>
        </w:rPr>
        <w:fldChar w:fldCharType="begin">
          <w:fldData xml:space="preserve">PEVuZE5vdGU+PENpdGU+PEF1dGhvcj5Zw7x6ZW48L0F1dGhvcj48WWVhcj4yMDIzPC9ZZWFyPjxS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==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[100]</w:t>
      </w:r>
      <w:r>
        <w:rPr>
          <w:color w:val="000000" w:themeColor="text1"/>
          <w:sz w:val="22"/>
          <w:lang w:val="en-US"/>
        </w:rPr>
        <w:fldChar w:fldCharType="end"/>
      </w:r>
      <w:r>
        <w:rPr>
          <w:color w:val="000000" w:themeColor="text1"/>
          <w:sz w:val="22"/>
          <w:lang w:val="en-US"/>
        </w:rPr>
        <w:t>, persons attending emergency departments</w:t>
      </w:r>
      <w:r>
        <w:rPr>
          <w:color w:val="000000" w:themeColor="text1"/>
          <w:sz w:val="22"/>
          <w:lang w:val="en-US"/>
        </w:rPr>
        <w:fldChar w:fldCharType="begin">
          <w:fldData xml:space="preserve">PEVuZE5vdGU+PENpdGU+PEF1dGhvcj5HdW9sbzwvQXV0aG9yPjxZZWFyPjIwMjI8L1llYXI+PFJl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==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[101]</w:t>
      </w:r>
      <w:r>
        <w:rPr>
          <w:color w:val="000000" w:themeColor="text1"/>
          <w:sz w:val="22"/>
          <w:lang w:val="en-US"/>
        </w:rPr>
        <w:fldChar w:fldCharType="end"/>
      </w:r>
      <w:r>
        <w:rPr>
          <w:color w:val="000000" w:themeColor="text1"/>
          <w:sz w:val="22"/>
          <w:lang w:val="en-US"/>
        </w:rPr>
        <w:t>, health professionals</w:t>
      </w:r>
      <w:r>
        <w:rPr>
          <w:color w:val="000000" w:themeColor="text1"/>
          <w:sz w:val="22"/>
          <w:lang w:val="en-US"/>
        </w:rPr>
        <w:fldChar w:fldCharType="begin">
          <w:fldData xml:space="preserve">PEVuZE5vdGU+PENpdGU+PEF1dGhvcj5Ccm9va3M8L0F1dGhvcj48WWVhcj4yMDIzPC9ZZWFyPjxS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[102]</w:t>
      </w:r>
      <w:r>
        <w:rPr>
          <w:color w:val="000000" w:themeColor="text1"/>
          <w:sz w:val="22"/>
          <w:lang w:val="en-US"/>
        </w:rPr>
        <w:fldChar w:fldCharType="end"/>
      </w:r>
      <w:r>
        <w:rPr>
          <w:color w:val="000000" w:themeColor="text1"/>
          <w:sz w:val="22"/>
          <w:lang w:val="en-US"/>
        </w:rPr>
        <w:t>, and persons experiencing homelessness</w:t>
      </w:r>
      <w:r>
        <w:rPr>
          <w:color w:val="000000" w:themeColor="text1"/>
          <w:sz w:val="22"/>
          <w:lang w:val="en-US"/>
        </w:rPr>
        <w:fldChar w:fldCharType="begin">
          <w:fldData xml:space="preserve">PEVuZE5vdGU+PENpdGU+PEF1dGhvcj5IYWphdDwvQXV0aG9yPjxZZWFyPjIwMjM8L1llYXI+PFJl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[103]</w:t>
      </w:r>
      <w:r>
        <w:rPr>
          <w:color w:val="000000" w:themeColor="text1"/>
          <w:sz w:val="22"/>
          <w:lang w:val="en-US"/>
        </w:rPr>
        <w:fldChar w:fldCharType="end"/>
      </w:r>
      <w:r>
        <w:rPr>
          <w:color w:val="000000" w:themeColor="text1"/>
          <w:sz w:val="22"/>
          <w:lang w:val="en-US"/>
        </w:rPr>
        <w:t>. One study reported outcomes from a combination of different populations, including the general population within a certain age range and patients newly diagnosed with prostate cancer</w:t>
      </w:r>
      <w:r>
        <w:rPr>
          <w:color w:val="000000" w:themeColor="text1"/>
          <w:sz w:val="22"/>
          <w:lang w:val="en-US"/>
        </w:rPr>
        <w:fldChar w:fldCharType="begin">
          <w:fldData xml:space="preserve">PEVuZE5vdGU+PENpdGU+PEF1dGhvcj5IaW5jaGxpZmZlPC9BdXRob3I+PFllYXI+MjAyMzwvWWVh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[86]</w:t>
      </w:r>
      <w:r>
        <w:rPr>
          <w:color w:val="000000" w:themeColor="text1"/>
          <w:sz w:val="22"/>
          <w:lang w:val="en-US"/>
        </w:rPr>
        <w:fldChar w:fldCharType="end"/>
      </w:r>
      <w:r>
        <w:rPr>
          <w:color w:val="000000" w:themeColor="text1"/>
          <w:sz w:val="22"/>
          <w:lang w:val="en-US"/>
        </w:rPr>
        <w:t>.</w:t>
      </w:r>
    </w:p>
    <w:p w14:paraId="32480D39" w14:textId="77777777" w:rsidR="005E1386" w:rsidRPr="004F13DA" w:rsidRDefault="005E1386" w:rsidP="005E1386">
      <w:pPr>
        <w:rPr>
          <w:bCs/>
          <w:color w:val="000000" w:themeColor="text1"/>
          <w:sz w:val="22"/>
          <w:szCs w:val="22"/>
          <w:u w:val="single"/>
          <w:lang w:val="en-US"/>
        </w:rPr>
      </w:pPr>
      <w:r w:rsidRPr="004F13DA">
        <w:rPr>
          <w:bCs/>
          <w:color w:val="000000" w:themeColor="text1"/>
          <w:sz w:val="22"/>
          <w:szCs w:val="22"/>
          <w:u w:val="single"/>
          <w:lang w:val="en-US"/>
        </w:rPr>
        <w:t>Mapping of inequalities</w:t>
      </w:r>
    </w:p>
    <w:p w14:paraId="112FFF77" w14:textId="77777777" w:rsidR="005E1386" w:rsidRDefault="005E1386" w:rsidP="005E1386">
      <w:pPr>
        <w:jc w:val="both"/>
        <w:rPr>
          <w:color w:val="000000" w:themeColor="text1"/>
          <w:sz w:val="22"/>
          <w:lang w:val="en-US"/>
        </w:rPr>
      </w:pPr>
      <w:r>
        <w:rPr>
          <w:color w:val="000000" w:themeColor="text1"/>
          <w:sz w:val="22"/>
          <w:lang w:val="en-US"/>
        </w:rPr>
        <w:t>Most studies included disaggregated outcomes for age (n=31) and sex/gender (n=26) (Table 3). Thirteen studies disaggregated outcomes for pre-existing health conditions. Of these none was explicitly concerned with (dis)ability and only one focused explicitly on alcohol consumption</w:t>
      </w:r>
      <w:r>
        <w:rPr>
          <w:color w:val="000000" w:themeColor="text1"/>
          <w:sz w:val="22"/>
          <w:lang w:val="en-US"/>
        </w:rPr>
        <w:fldChar w:fldCharType="begin">
          <w:fldData xml:space="preserve">PEVuZE5vdGU+PENpdGU+PEF1dGhvcj5Ccm9va3M8L0F1dGhvcj48WWVhcj4yMDIzPC9ZZWFyPjxS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[102]</w:t>
      </w:r>
      <w:r>
        <w:rPr>
          <w:color w:val="000000" w:themeColor="text1"/>
          <w:sz w:val="22"/>
          <w:lang w:val="en-US"/>
        </w:rPr>
        <w:fldChar w:fldCharType="end"/>
      </w:r>
      <w:r>
        <w:rPr>
          <w:color w:val="000000" w:themeColor="text1"/>
          <w:sz w:val="22"/>
          <w:lang w:val="en-US"/>
        </w:rPr>
        <w:t xml:space="preserve">. Disaggregated outcomes for area of living / housing conditions were reported in </w:t>
      </w:r>
      <w:r w:rsidRPr="00C85C07">
        <w:rPr>
          <w:color w:val="000000" w:themeColor="text1"/>
          <w:sz w:val="22"/>
          <w:lang w:val="en-US"/>
        </w:rPr>
        <w:t>eleven</w:t>
      </w:r>
      <w:r>
        <w:rPr>
          <w:color w:val="000000" w:themeColor="text1"/>
          <w:sz w:val="22"/>
          <w:lang w:val="en-US"/>
        </w:rPr>
        <w:t xml:space="preserve"> primary studies but only two of those considered nursing homes or health care facilities </w:t>
      </w:r>
      <w:r>
        <w:rPr>
          <w:color w:val="000000" w:themeColor="text1"/>
          <w:sz w:val="22"/>
          <w:lang w:val="en-US"/>
        </w:rPr>
        <w:fldChar w:fldCharType="begin">
          <w:fldData xml:space="preserve">PEVuZE5vdGU+PENpdGU+PEF1dGhvcj5WZW50dXJlbGxpPC9BdXRob3I+PFllYXI+MjAyMzwvWWVh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[102, 104]</w:t>
      </w:r>
      <w:r>
        <w:rPr>
          <w:color w:val="000000" w:themeColor="text1"/>
          <w:sz w:val="22"/>
          <w:lang w:val="en-US"/>
        </w:rPr>
        <w:fldChar w:fldCharType="end"/>
      </w:r>
      <w:r>
        <w:rPr>
          <w:color w:val="000000" w:themeColor="text1"/>
          <w:sz w:val="22"/>
          <w:lang w:val="en-US"/>
        </w:rPr>
        <w:t xml:space="preserve"> and only one homelessness</w:t>
      </w:r>
      <w:r>
        <w:rPr>
          <w:color w:val="000000" w:themeColor="text1"/>
          <w:sz w:val="22"/>
          <w:lang w:val="en-US"/>
        </w:rPr>
        <w:fldChar w:fldCharType="begin">
          <w:fldData xml:space="preserve">PEVuZE5vdGU+PENpdGU+PEF1dGhvcj5IYWphdDwvQXV0aG9yPjxZZWFyPjIwMjM8L1llYXI+PFJl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[103]</w:t>
      </w:r>
      <w:r>
        <w:rPr>
          <w:color w:val="000000" w:themeColor="text1"/>
          <w:sz w:val="22"/>
          <w:lang w:val="en-US"/>
        </w:rPr>
        <w:fldChar w:fldCharType="end"/>
      </w:r>
      <w:r>
        <w:rPr>
          <w:color w:val="000000" w:themeColor="text1"/>
          <w:sz w:val="22"/>
          <w:lang w:val="en-US"/>
        </w:rPr>
        <w:t>.</w:t>
      </w:r>
    </w:p>
    <w:p w14:paraId="79683974" w14:textId="77777777" w:rsidR="005E1386" w:rsidRDefault="005E1386" w:rsidP="005E1386">
      <w:pPr>
        <w:pStyle w:val="Caption"/>
        <w:keepNext/>
        <w:spacing w:line="276" w:lineRule="auto"/>
        <w:jc w:val="both"/>
        <w:rPr>
          <w:i w:val="0"/>
          <w:iCs w:val="0"/>
          <w:color w:val="000000" w:themeColor="text1"/>
          <w:sz w:val="22"/>
          <w:lang w:val="en-US"/>
        </w:rPr>
      </w:pPr>
      <w:r>
        <w:rPr>
          <w:i w:val="0"/>
          <w:iCs w:val="0"/>
          <w:color w:val="000000" w:themeColor="text1"/>
          <w:sz w:val="22"/>
          <w:lang w:val="en-US"/>
        </w:rPr>
        <w:lastRenderedPageBreak/>
        <w:t>Outcomes were d</w:t>
      </w:r>
      <w:r w:rsidRPr="000B413E">
        <w:rPr>
          <w:i w:val="0"/>
          <w:iCs w:val="0"/>
          <w:color w:val="000000" w:themeColor="text1"/>
          <w:sz w:val="22"/>
          <w:lang w:val="en-US"/>
        </w:rPr>
        <w:t xml:space="preserve">isaggregated for compound indicators </w:t>
      </w:r>
      <w:r>
        <w:rPr>
          <w:i w:val="0"/>
          <w:iCs w:val="0"/>
          <w:color w:val="000000" w:themeColor="text1"/>
          <w:sz w:val="22"/>
          <w:lang w:val="en-US"/>
        </w:rPr>
        <w:t>of</w:t>
      </w:r>
      <w:r w:rsidRPr="000B413E">
        <w:rPr>
          <w:i w:val="0"/>
          <w:iCs w:val="0"/>
          <w:color w:val="000000" w:themeColor="text1"/>
          <w:sz w:val="22"/>
          <w:lang w:val="en-US"/>
        </w:rPr>
        <w:t xml:space="preserve"> socioeconomic status </w:t>
      </w:r>
      <w:r>
        <w:rPr>
          <w:i w:val="0"/>
          <w:iCs w:val="0"/>
          <w:color w:val="000000" w:themeColor="text1"/>
          <w:sz w:val="22"/>
          <w:lang w:val="en-US"/>
        </w:rPr>
        <w:fldChar w:fldCharType="begin">
          <w:fldData xml:space="preserve">PEVuZE5vdGU+PENpdGU+PEF1dGhvcj5EYXJhYmk8L0F1dGhvcj48WWVhcj4yMDIzPC9ZZWFyPjxS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</w:fldData>
        </w:fldChar>
      </w:r>
      <w:r>
        <w:rPr>
          <w:i w:val="0"/>
          <w:iCs w:val="0"/>
          <w:color w:val="000000" w:themeColor="text1"/>
          <w:sz w:val="22"/>
          <w:lang w:val="en-US"/>
        </w:rPr>
        <w:instrText xml:space="preserve"> ADDIN EN.JS.CITE </w:instrText>
      </w:r>
      <w:r>
        <w:rPr>
          <w:i w:val="0"/>
          <w:iCs w:val="0"/>
          <w:color w:val="000000" w:themeColor="text1"/>
          <w:sz w:val="22"/>
          <w:lang w:val="en-US"/>
        </w:rPr>
      </w:r>
      <w:r>
        <w:rPr>
          <w:i w:val="0"/>
          <w:iCs w:val="0"/>
          <w:color w:val="000000" w:themeColor="text1"/>
          <w:sz w:val="22"/>
          <w:lang w:val="en-US"/>
        </w:rPr>
        <w:fldChar w:fldCharType="separate"/>
      </w:r>
      <w:r>
        <w:rPr>
          <w:i w:val="0"/>
          <w:iCs w:val="0"/>
          <w:noProof/>
          <w:color w:val="000000" w:themeColor="text1"/>
          <w:sz w:val="22"/>
          <w:lang w:val="en-US"/>
        </w:rPr>
        <w:t>[88, 93, 101, 105-107]</w:t>
      </w:r>
      <w:r>
        <w:rPr>
          <w:i w:val="0"/>
          <w:iCs w:val="0"/>
          <w:color w:val="000000" w:themeColor="text1"/>
          <w:sz w:val="22"/>
          <w:lang w:val="en-US"/>
        </w:rPr>
        <w:fldChar w:fldCharType="end"/>
      </w:r>
      <w:r w:rsidRPr="000B413E">
        <w:rPr>
          <w:i w:val="0"/>
          <w:iCs w:val="0"/>
          <w:color w:val="000000" w:themeColor="text1"/>
          <w:sz w:val="22"/>
          <w:lang w:val="en-US"/>
        </w:rPr>
        <w:t xml:space="preserve"> </w:t>
      </w:r>
      <w:r w:rsidRPr="00D93CA2">
        <w:rPr>
          <w:i w:val="0"/>
          <w:iCs w:val="0"/>
          <w:color w:val="000000" w:themeColor="text1"/>
          <w:sz w:val="22"/>
          <w:lang w:val="en-US"/>
        </w:rPr>
        <w:t xml:space="preserve">or work </w:t>
      </w:r>
      <w:r>
        <w:rPr>
          <w:i w:val="0"/>
          <w:iCs w:val="0"/>
          <w:color w:val="000000" w:themeColor="text1"/>
          <w:sz w:val="22"/>
          <w:lang w:val="en-US"/>
        </w:rPr>
        <w:t>determinant</w:t>
      </w:r>
      <w:r w:rsidRPr="00D93CA2">
        <w:rPr>
          <w:i w:val="0"/>
          <w:iCs w:val="0"/>
          <w:color w:val="000000" w:themeColor="text1"/>
          <w:sz w:val="22"/>
          <w:lang w:val="en-US"/>
        </w:rPr>
        <w:t>s</w:t>
      </w:r>
      <w:r>
        <w:rPr>
          <w:i w:val="0"/>
          <w:iCs w:val="0"/>
          <w:color w:val="000000" w:themeColor="text1"/>
          <w:sz w:val="22"/>
          <w:lang w:val="en-US"/>
        </w:rPr>
        <w:t xml:space="preserve"> i</w:t>
      </w:r>
      <w:r w:rsidRPr="000B413E">
        <w:rPr>
          <w:i w:val="0"/>
          <w:iCs w:val="0"/>
          <w:color w:val="000000" w:themeColor="text1"/>
          <w:sz w:val="22"/>
          <w:lang w:val="en-US"/>
        </w:rPr>
        <w:t>n six studies</w:t>
      </w:r>
      <w:r>
        <w:rPr>
          <w:i w:val="0"/>
          <w:iCs w:val="0"/>
          <w:color w:val="000000" w:themeColor="text1"/>
          <w:sz w:val="22"/>
          <w:lang w:val="en-US"/>
        </w:rPr>
        <w:fldChar w:fldCharType="begin">
          <w:fldData xml:space="preserve">PEVuZE5vdGU+PENpdGU+PEF1dGhvcj5kZSBWaXNzZXI8L0F1dGhvcj48WWVhcj4yMDIyPC9ZZWFy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</w:fldData>
        </w:fldChar>
      </w:r>
      <w:r>
        <w:rPr>
          <w:i w:val="0"/>
          <w:iCs w:val="0"/>
          <w:color w:val="000000" w:themeColor="text1"/>
          <w:sz w:val="22"/>
          <w:lang w:val="en-US"/>
        </w:rPr>
        <w:instrText xml:space="preserve"> ADDIN EN.JS.CITE </w:instrText>
      </w:r>
      <w:r>
        <w:rPr>
          <w:i w:val="0"/>
          <w:iCs w:val="0"/>
          <w:color w:val="000000" w:themeColor="text1"/>
          <w:sz w:val="22"/>
          <w:lang w:val="en-US"/>
        </w:rPr>
      </w:r>
      <w:r>
        <w:rPr>
          <w:i w:val="0"/>
          <w:iCs w:val="0"/>
          <w:color w:val="000000" w:themeColor="text1"/>
          <w:sz w:val="22"/>
          <w:lang w:val="en-US"/>
        </w:rPr>
        <w:fldChar w:fldCharType="separate"/>
      </w:r>
      <w:r>
        <w:rPr>
          <w:i w:val="0"/>
          <w:iCs w:val="0"/>
          <w:noProof/>
          <w:color w:val="000000" w:themeColor="text1"/>
          <w:sz w:val="22"/>
          <w:lang w:val="en-US"/>
        </w:rPr>
        <w:t>[86, 96, 97, 102, 108, 109]</w:t>
      </w:r>
      <w:r>
        <w:rPr>
          <w:i w:val="0"/>
          <w:iCs w:val="0"/>
          <w:color w:val="000000" w:themeColor="text1"/>
          <w:sz w:val="22"/>
          <w:lang w:val="en-US"/>
        </w:rPr>
        <w:fldChar w:fldCharType="end"/>
      </w:r>
      <w:r w:rsidRPr="000B413E">
        <w:rPr>
          <w:i w:val="0"/>
          <w:iCs w:val="0"/>
          <w:color w:val="000000" w:themeColor="text1"/>
          <w:sz w:val="22"/>
          <w:lang w:val="en-US"/>
        </w:rPr>
        <w:t xml:space="preserve">. For other </w:t>
      </w:r>
      <w:r>
        <w:rPr>
          <w:i w:val="0"/>
          <w:iCs w:val="0"/>
          <w:color w:val="000000" w:themeColor="text1"/>
          <w:sz w:val="22"/>
          <w:lang w:val="en-US"/>
        </w:rPr>
        <w:t>determinant</w:t>
      </w:r>
      <w:r w:rsidRPr="000B413E">
        <w:rPr>
          <w:i w:val="0"/>
          <w:iCs w:val="0"/>
          <w:color w:val="000000" w:themeColor="text1"/>
          <w:sz w:val="22"/>
          <w:lang w:val="en-US"/>
        </w:rPr>
        <w:t xml:space="preserve">s of inequalities, disaggregated health outcomes were included in four or </w:t>
      </w:r>
      <w:r>
        <w:rPr>
          <w:i w:val="0"/>
          <w:iCs w:val="0"/>
          <w:color w:val="000000" w:themeColor="text1"/>
          <w:sz w:val="22"/>
          <w:lang w:val="en-US"/>
        </w:rPr>
        <w:t>fewer</w:t>
      </w:r>
      <w:r w:rsidRPr="000B413E">
        <w:rPr>
          <w:i w:val="0"/>
          <w:iCs w:val="0"/>
          <w:color w:val="000000" w:themeColor="text1"/>
          <w:sz w:val="22"/>
          <w:lang w:val="en-US"/>
        </w:rPr>
        <w:t xml:space="preserve"> studies.</w:t>
      </w:r>
    </w:p>
    <w:p w14:paraId="2E7108B2" w14:textId="77777777" w:rsidR="005E1386" w:rsidRPr="00A53C0D" w:rsidRDefault="005E1386" w:rsidP="005E1386">
      <w:pPr>
        <w:jc w:val="both"/>
        <w:rPr>
          <w:color w:val="000000" w:themeColor="text1"/>
          <w:sz w:val="22"/>
          <w:lang w:val="en-US"/>
        </w:rPr>
      </w:pPr>
      <w:r>
        <w:rPr>
          <w:color w:val="000000" w:themeColor="text1"/>
          <w:sz w:val="22"/>
          <w:lang w:val="en-US"/>
        </w:rPr>
        <w:t>Disaggregated health outcomes within different population groups were assessed in few studies, e.g. outcomes in urban versus rural populations for sex, age and health conditions (here, circulatory system disease)</w:t>
      </w:r>
      <w:r>
        <w:rPr>
          <w:color w:val="000000" w:themeColor="text1"/>
          <w:sz w:val="22"/>
          <w:lang w:val="en-US"/>
        </w:rPr>
        <w:fldChar w:fldCharType="begin">
          <w:fldData xml:space="preserve">PEVuZE5vdGU+PENpdGU+PEF1dGhvcj5DaGl0dTwvQXV0aG9yPjxZZWFyPjIwMjM8L1llYXI+PFJl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</w:fldData>
        </w:fldChar>
      </w:r>
      <w:r>
        <w:rPr>
          <w:color w:val="000000" w:themeColor="text1"/>
          <w:sz w:val="22"/>
          <w:lang w:val="en-US"/>
        </w:rPr>
        <w:instrText xml:space="preserve"> ADDIN EN.JS.CITE </w:instrText>
      </w:r>
      <w:r>
        <w:rPr>
          <w:color w:val="000000" w:themeColor="text1"/>
          <w:sz w:val="22"/>
          <w:lang w:val="en-US"/>
        </w:rPr>
      </w:r>
      <w:r>
        <w:rPr>
          <w:color w:val="000000" w:themeColor="text1"/>
          <w:sz w:val="22"/>
          <w:lang w:val="en-US"/>
        </w:rPr>
        <w:fldChar w:fldCharType="separate"/>
      </w:r>
      <w:r>
        <w:rPr>
          <w:noProof/>
          <w:color w:val="000000" w:themeColor="text1"/>
          <w:sz w:val="22"/>
          <w:lang w:val="en-US"/>
        </w:rPr>
        <w:t>[110]</w:t>
      </w:r>
      <w:r>
        <w:rPr>
          <w:color w:val="000000" w:themeColor="text1"/>
          <w:sz w:val="22"/>
          <w:lang w:val="en-US"/>
        </w:rPr>
        <w:fldChar w:fldCharType="end"/>
      </w:r>
      <w:r>
        <w:rPr>
          <w:color w:val="000000" w:themeColor="text1"/>
          <w:sz w:val="22"/>
          <w:lang w:val="en-US"/>
        </w:rPr>
        <w:t>.</w:t>
      </w:r>
    </w:p>
    <w:p w14:paraId="416765F6" w14:textId="77777777" w:rsidR="005E1386" w:rsidRPr="004F13DA" w:rsidRDefault="005E1386" w:rsidP="005E1386">
      <w:pPr>
        <w:rPr>
          <w:i/>
          <w:iCs/>
          <w:lang w:val="en-US"/>
        </w:rPr>
      </w:pPr>
    </w:p>
    <w:p w14:paraId="36BF6B47" w14:textId="77777777" w:rsidR="005E1386" w:rsidRDefault="005E1386" w:rsidP="005E1386">
      <w:pPr>
        <w:pStyle w:val="Caption"/>
        <w:keepNext/>
        <w:jc w:val="both"/>
        <w:rPr>
          <w:lang w:val="en-GB"/>
        </w:rPr>
      </w:pPr>
      <w:r>
        <w:rPr>
          <w:lang w:val="en-GB"/>
        </w:rPr>
        <w:t>Table 3 - Determinants of inequalities considered in primary studies</w:t>
      </w:r>
    </w:p>
    <w:tbl>
      <w:tblPr>
        <w:tblW w:w="10104" w:type="dxa"/>
        <w:tblLook w:val="04A0" w:firstRow="1" w:lastRow="0" w:firstColumn="1" w:lastColumn="0" w:noHBand="0" w:noVBand="1"/>
      </w:tblPr>
      <w:tblGrid>
        <w:gridCol w:w="2638"/>
        <w:gridCol w:w="622"/>
        <w:gridCol w:w="622"/>
        <w:gridCol w:w="622"/>
        <w:gridCol w:w="622"/>
        <w:gridCol w:w="622"/>
        <w:gridCol w:w="622"/>
        <w:gridCol w:w="622"/>
        <w:gridCol w:w="622"/>
        <w:gridCol w:w="622"/>
        <w:gridCol w:w="622"/>
        <w:gridCol w:w="622"/>
        <w:gridCol w:w="624"/>
      </w:tblGrid>
      <w:tr w:rsidR="005E1386" w:rsidRPr="006F2708" w14:paraId="583B84F3" w14:textId="77777777" w:rsidTr="0042136E">
        <w:trPr>
          <w:trHeight w:val="301"/>
        </w:trPr>
        <w:tc>
          <w:tcPr>
            <w:tcW w:w="2638" w:type="dxa"/>
            <w:tcBorders>
              <w:top w:val="single" w:sz="8" w:space="0" w:color="auto"/>
              <w:left w:val="single" w:sz="8" w:space="0" w:color="auto"/>
              <w:bottom w:val="nil"/>
              <w:right w:val="single" w:sz="4" w:space="0" w:color="000000"/>
            </w:tcBorders>
            <w:shd w:val="clear" w:color="A6A6A6" w:fill="A6A6A6"/>
            <w:noWrap/>
            <w:hideMark/>
          </w:tcPr>
          <w:p w14:paraId="6883659F"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 </w:t>
            </w:r>
          </w:p>
        </w:tc>
        <w:tc>
          <w:tcPr>
            <w:tcW w:w="7466" w:type="dxa"/>
            <w:gridSpan w:val="12"/>
            <w:tcBorders>
              <w:top w:val="single" w:sz="8" w:space="0" w:color="auto"/>
              <w:left w:val="nil"/>
              <w:bottom w:val="single" w:sz="8" w:space="0" w:color="auto"/>
              <w:right w:val="single" w:sz="8" w:space="0" w:color="000000"/>
            </w:tcBorders>
            <w:shd w:val="clear" w:color="A6A6A6" w:fill="A6A6A6"/>
            <w:noWrap/>
            <w:hideMark/>
          </w:tcPr>
          <w:p w14:paraId="13DE7502"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Pr>
                <w:rFonts w:ascii="Calibri" w:eastAsia="Times New Roman" w:hAnsi="Calibri" w:cs="Calibri"/>
                <w:b/>
                <w:bCs/>
                <w:color w:val="auto"/>
                <w:sz w:val="22"/>
                <w:szCs w:val="22"/>
                <w:lang w:val="en-GB" w:eastAsia="en-GB"/>
              </w:rPr>
              <w:t>Determinant</w:t>
            </w:r>
            <w:r w:rsidRPr="00A53C0D">
              <w:rPr>
                <w:rFonts w:ascii="Calibri" w:eastAsia="Times New Roman" w:hAnsi="Calibri" w:cs="Calibri"/>
                <w:b/>
                <w:bCs/>
                <w:color w:val="auto"/>
                <w:sz w:val="22"/>
                <w:szCs w:val="22"/>
                <w:lang w:val="en-GB" w:eastAsia="en-GB"/>
              </w:rPr>
              <w:t>s of inequalities considered in</w:t>
            </w:r>
            <w:r>
              <w:rPr>
                <w:rFonts w:ascii="Calibri" w:eastAsia="Times New Roman" w:hAnsi="Calibri" w:cs="Calibri"/>
                <w:b/>
                <w:bCs/>
                <w:color w:val="auto"/>
                <w:sz w:val="22"/>
                <w:szCs w:val="22"/>
                <w:lang w:val="en-GB" w:eastAsia="en-GB"/>
              </w:rPr>
              <w:t xml:space="preserve"> primary</w:t>
            </w:r>
            <w:r w:rsidRPr="00A53C0D">
              <w:rPr>
                <w:rFonts w:ascii="Calibri" w:eastAsia="Times New Roman" w:hAnsi="Calibri" w:cs="Calibri"/>
                <w:b/>
                <w:bCs/>
                <w:color w:val="auto"/>
                <w:sz w:val="22"/>
                <w:szCs w:val="22"/>
                <w:lang w:val="en-GB" w:eastAsia="en-GB"/>
              </w:rPr>
              <w:t xml:space="preserve"> studies</w:t>
            </w:r>
          </w:p>
        </w:tc>
      </w:tr>
      <w:tr w:rsidR="005E1386" w:rsidRPr="00A53C0D" w14:paraId="42C03F60" w14:textId="77777777" w:rsidTr="0042136E">
        <w:trPr>
          <w:trHeight w:val="2702"/>
        </w:trPr>
        <w:tc>
          <w:tcPr>
            <w:tcW w:w="2638" w:type="dxa"/>
            <w:tcBorders>
              <w:top w:val="single" w:sz="8" w:space="0" w:color="auto"/>
              <w:left w:val="single" w:sz="8" w:space="0" w:color="auto"/>
              <w:bottom w:val="single" w:sz="8" w:space="0" w:color="auto"/>
              <w:right w:val="single" w:sz="8" w:space="0" w:color="auto"/>
            </w:tcBorders>
            <w:shd w:val="clear" w:color="000000" w:fill="D9D9D9"/>
            <w:noWrap/>
            <w:hideMark/>
          </w:tcPr>
          <w:p w14:paraId="7E683318" w14:textId="77777777" w:rsidR="005E1386" w:rsidRPr="00A53C0D" w:rsidRDefault="005E1386" w:rsidP="0042136E">
            <w:pPr>
              <w:spacing w:before="0" w:after="0" w:line="240" w:lineRule="auto"/>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Study ID</w:t>
            </w:r>
          </w:p>
        </w:tc>
        <w:tc>
          <w:tcPr>
            <w:tcW w:w="622" w:type="dxa"/>
            <w:tcBorders>
              <w:top w:val="nil"/>
              <w:left w:val="nil"/>
              <w:bottom w:val="single" w:sz="8" w:space="0" w:color="auto"/>
              <w:right w:val="single" w:sz="4" w:space="0" w:color="auto"/>
            </w:tcBorders>
            <w:shd w:val="clear" w:color="D9E1F2" w:fill="D9D9D9"/>
            <w:textDirection w:val="tbRl"/>
            <w:hideMark/>
          </w:tcPr>
          <w:p w14:paraId="7E7D113B"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S</w:t>
            </w:r>
            <w:r w:rsidRPr="00A53C0D">
              <w:rPr>
                <w:rFonts w:ascii="Calibri" w:eastAsia="Times New Roman" w:hAnsi="Calibri" w:cs="Calibri"/>
                <w:b/>
                <w:bCs/>
                <w:color w:val="auto"/>
                <w:sz w:val="18"/>
                <w:szCs w:val="18"/>
                <w:lang w:val="en-GB" w:eastAsia="en-GB"/>
              </w:rPr>
              <w:t>ex / gender</w:t>
            </w:r>
          </w:p>
        </w:tc>
        <w:tc>
          <w:tcPr>
            <w:tcW w:w="622" w:type="dxa"/>
            <w:tcBorders>
              <w:top w:val="nil"/>
              <w:left w:val="nil"/>
              <w:bottom w:val="single" w:sz="8" w:space="0" w:color="auto"/>
              <w:right w:val="single" w:sz="4" w:space="0" w:color="auto"/>
            </w:tcBorders>
            <w:shd w:val="clear" w:color="D9E1F2" w:fill="D9D9D9"/>
            <w:textDirection w:val="tbRl"/>
            <w:hideMark/>
          </w:tcPr>
          <w:p w14:paraId="1F0B0BD5"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A</w:t>
            </w:r>
            <w:r w:rsidRPr="00A53C0D">
              <w:rPr>
                <w:rFonts w:ascii="Calibri" w:eastAsia="Times New Roman" w:hAnsi="Calibri" w:cs="Calibri"/>
                <w:b/>
                <w:bCs/>
                <w:color w:val="auto"/>
                <w:sz w:val="18"/>
                <w:szCs w:val="18"/>
                <w:lang w:val="en-GB" w:eastAsia="en-GB"/>
              </w:rPr>
              <w:t>ge</w:t>
            </w:r>
          </w:p>
        </w:tc>
        <w:tc>
          <w:tcPr>
            <w:tcW w:w="622" w:type="dxa"/>
            <w:tcBorders>
              <w:top w:val="nil"/>
              <w:left w:val="nil"/>
              <w:bottom w:val="single" w:sz="8" w:space="0" w:color="auto"/>
              <w:right w:val="single" w:sz="4" w:space="0" w:color="auto"/>
            </w:tcBorders>
            <w:shd w:val="clear" w:color="D9E1F2" w:fill="D9D9D9"/>
            <w:textDirection w:val="tbRl"/>
            <w:hideMark/>
          </w:tcPr>
          <w:p w14:paraId="05D1A68D"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M</w:t>
            </w:r>
            <w:r w:rsidRPr="00A53C0D">
              <w:rPr>
                <w:rFonts w:ascii="Calibri" w:eastAsia="Times New Roman" w:hAnsi="Calibri" w:cs="Calibri"/>
                <w:b/>
                <w:bCs/>
                <w:color w:val="auto"/>
                <w:sz w:val="18"/>
                <w:szCs w:val="18"/>
                <w:lang w:val="en-GB" w:eastAsia="en-GB"/>
              </w:rPr>
              <w:t>arital status/social network</w:t>
            </w:r>
          </w:p>
        </w:tc>
        <w:tc>
          <w:tcPr>
            <w:tcW w:w="622" w:type="dxa"/>
            <w:tcBorders>
              <w:top w:val="nil"/>
              <w:left w:val="nil"/>
              <w:bottom w:val="single" w:sz="8" w:space="0" w:color="auto"/>
              <w:right w:val="single" w:sz="4" w:space="0" w:color="auto"/>
            </w:tcBorders>
            <w:shd w:val="clear" w:color="D9E1F2" w:fill="D9D9D9"/>
            <w:textDirection w:val="tbRl"/>
            <w:hideMark/>
          </w:tcPr>
          <w:p w14:paraId="56EF1D3A"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E</w:t>
            </w:r>
            <w:r w:rsidRPr="00A53C0D">
              <w:rPr>
                <w:rFonts w:ascii="Calibri" w:eastAsia="Times New Roman" w:hAnsi="Calibri" w:cs="Calibri"/>
                <w:b/>
                <w:bCs/>
                <w:color w:val="auto"/>
                <w:sz w:val="18"/>
                <w:szCs w:val="18"/>
                <w:lang w:val="en-GB" w:eastAsia="en-GB"/>
              </w:rPr>
              <w:t>thnicity</w:t>
            </w:r>
          </w:p>
        </w:tc>
        <w:tc>
          <w:tcPr>
            <w:tcW w:w="622" w:type="dxa"/>
            <w:tcBorders>
              <w:top w:val="nil"/>
              <w:left w:val="nil"/>
              <w:bottom w:val="single" w:sz="8" w:space="0" w:color="auto"/>
              <w:right w:val="single" w:sz="4" w:space="0" w:color="auto"/>
            </w:tcBorders>
            <w:shd w:val="clear" w:color="D9E1F2" w:fill="D9D9D9"/>
            <w:textDirection w:val="tbRl"/>
            <w:hideMark/>
          </w:tcPr>
          <w:p w14:paraId="2E412824"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E</w:t>
            </w:r>
            <w:r w:rsidRPr="00A53C0D">
              <w:rPr>
                <w:rFonts w:ascii="Calibri" w:eastAsia="Times New Roman" w:hAnsi="Calibri" w:cs="Calibri"/>
                <w:b/>
                <w:bCs/>
                <w:color w:val="auto"/>
                <w:sz w:val="18"/>
                <w:szCs w:val="18"/>
                <w:lang w:val="en-GB" w:eastAsia="en-GB"/>
              </w:rPr>
              <w:t>ducation</w:t>
            </w:r>
          </w:p>
        </w:tc>
        <w:tc>
          <w:tcPr>
            <w:tcW w:w="622" w:type="dxa"/>
            <w:tcBorders>
              <w:top w:val="nil"/>
              <w:left w:val="nil"/>
              <w:bottom w:val="single" w:sz="8" w:space="0" w:color="auto"/>
              <w:right w:val="single" w:sz="4" w:space="0" w:color="auto"/>
            </w:tcBorders>
            <w:shd w:val="clear" w:color="D9E1F2" w:fill="D9D9D9"/>
            <w:textDirection w:val="tbRl"/>
            <w:hideMark/>
          </w:tcPr>
          <w:p w14:paraId="14ADC067"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I</w:t>
            </w:r>
            <w:r w:rsidRPr="00A53C0D">
              <w:rPr>
                <w:rFonts w:ascii="Calibri" w:eastAsia="Times New Roman" w:hAnsi="Calibri" w:cs="Calibri"/>
                <w:b/>
                <w:bCs/>
                <w:color w:val="auto"/>
                <w:sz w:val="18"/>
                <w:szCs w:val="18"/>
                <w:lang w:val="en-GB" w:eastAsia="en-GB"/>
              </w:rPr>
              <w:t>ncome</w:t>
            </w:r>
          </w:p>
        </w:tc>
        <w:tc>
          <w:tcPr>
            <w:tcW w:w="622" w:type="dxa"/>
            <w:tcBorders>
              <w:top w:val="nil"/>
              <w:left w:val="nil"/>
              <w:bottom w:val="single" w:sz="8" w:space="0" w:color="auto"/>
              <w:right w:val="single" w:sz="4" w:space="0" w:color="auto"/>
            </w:tcBorders>
            <w:shd w:val="clear" w:color="D9E1F2" w:fill="D9D9D9"/>
            <w:textDirection w:val="tbRl"/>
            <w:hideMark/>
          </w:tcPr>
          <w:p w14:paraId="68BAE24B"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W</w:t>
            </w:r>
            <w:r w:rsidRPr="006B7881">
              <w:rPr>
                <w:rFonts w:ascii="Calibri" w:eastAsia="Times New Roman" w:hAnsi="Calibri" w:cs="Calibri"/>
                <w:b/>
                <w:bCs/>
                <w:color w:val="auto"/>
                <w:sz w:val="18"/>
                <w:szCs w:val="18"/>
                <w:lang w:val="en-GB" w:eastAsia="en-GB"/>
              </w:rPr>
              <w:t>ork*</w:t>
            </w:r>
          </w:p>
        </w:tc>
        <w:tc>
          <w:tcPr>
            <w:tcW w:w="622" w:type="dxa"/>
            <w:tcBorders>
              <w:top w:val="nil"/>
              <w:left w:val="nil"/>
              <w:bottom w:val="single" w:sz="8" w:space="0" w:color="auto"/>
              <w:right w:val="single" w:sz="4" w:space="0" w:color="auto"/>
            </w:tcBorders>
            <w:shd w:val="clear" w:color="D9E1F2" w:fill="D9D9D9"/>
            <w:textDirection w:val="tbRl"/>
            <w:hideMark/>
          </w:tcPr>
          <w:p w14:paraId="64883DE5"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A</w:t>
            </w:r>
            <w:r w:rsidRPr="00A53C0D">
              <w:rPr>
                <w:rFonts w:ascii="Calibri" w:eastAsia="Times New Roman" w:hAnsi="Calibri" w:cs="Calibri"/>
                <w:b/>
                <w:bCs/>
                <w:color w:val="auto"/>
                <w:sz w:val="18"/>
                <w:szCs w:val="18"/>
                <w:lang w:val="en-GB" w:eastAsia="en-GB"/>
              </w:rPr>
              <w:t>rea of living / housing conditions</w:t>
            </w:r>
          </w:p>
        </w:tc>
        <w:tc>
          <w:tcPr>
            <w:tcW w:w="622" w:type="dxa"/>
            <w:tcBorders>
              <w:top w:val="nil"/>
              <w:left w:val="nil"/>
              <w:bottom w:val="single" w:sz="8" w:space="0" w:color="auto"/>
              <w:right w:val="single" w:sz="4" w:space="0" w:color="auto"/>
            </w:tcBorders>
            <w:shd w:val="clear" w:color="D9E1F2" w:fill="D9D9D9"/>
            <w:textDirection w:val="tbRl"/>
            <w:hideMark/>
          </w:tcPr>
          <w:p w14:paraId="59BB748C"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E</w:t>
            </w:r>
            <w:r w:rsidRPr="00A53C0D">
              <w:rPr>
                <w:rFonts w:ascii="Calibri" w:eastAsia="Times New Roman" w:hAnsi="Calibri" w:cs="Calibri"/>
                <w:b/>
                <w:bCs/>
                <w:color w:val="auto"/>
                <w:sz w:val="18"/>
                <w:szCs w:val="18"/>
                <w:lang w:val="en-GB" w:eastAsia="en-GB"/>
              </w:rPr>
              <w:t>cological parameters</w:t>
            </w:r>
          </w:p>
        </w:tc>
        <w:tc>
          <w:tcPr>
            <w:tcW w:w="622" w:type="dxa"/>
            <w:tcBorders>
              <w:top w:val="nil"/>
              <w:left w:val="nil"/>
              <w:bottom w:val="single" w:sz="8" w:space="0" w:color="auto"/>
              <w:right w:val="single" w:sz="4" w:space="0" w:color="auto"/>
            </w:tcBorders>
            <w:shd w:val="clear" w:color="D9E1F2" w:fill="D9D9D9"/>
            <w:textDirection w:val="tbRl"/>
            <w:hideMark/>
          </w:tcPr>
          <w:p w14:paraId="07731074"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H</w:t>
            </w:r>
            <w:r w:rsidRPr="00A53C0D">
              <w:rPr>
                <w:rFonts w:ascii="Calibri" w:eastAsia="Times New Roman" w:hAnsi="Calibri" w:cs="Calibri"/>
                <w:b/>
                <w:bCs/>
                <w:color w:val="auto"/>
                <w:sz w:val="18"/>
                <w:szCs w:val="18"/>
                <w:lang w:val="en-GB" w:eastAsia="en-GB"/>
              </w:rPr>
              <w:t>ealth condition including ability</w:t>
            </w:r>
          </w:p>
        </w:tc>
        <w:tc>
          <w:tcPr>
            <w:tcW w:w="622" w:type="dxa"/>
            <w:tcBorders>
              <w:top w:val="nil"/>
              <w:left w:val="nil"/>
              <w:bottom w:val="single" w:sz="8" w:space="0" w:color="auto"/>
              <w:right w:val="single" w:sz="4" w:space="0" w:color="auto"/>
            </w:tcBorders>
            <w:shd w:val="clear" w:color="D9E1F2" w:fill="D9D9D9"/>
            <w:textDirection w:val="tbRl"/>
            <w:hideMark/>
          </w:tcPr>
          <w:p w14:paraId="644AF3B3"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sidRPr="00A53C0D">
              <w:rPr>
                <w:rFonts w:ascii="Calibri" w:eastAsia="Times New Roman" w:hAnsi="Calibri" w:cs="Calibri"/>
                <w:b/>
                <w:bCs/>
                <w:color w:val="auto"/>
                <w:sz w:val="18"/>
                <w:szCs w:val="18"/>
                <w:lang w:val="en-GB" w:eastAsia="en-GB"/>
              </w:rPr>
              <w:t>SES</w:t>
            </w:r>
          </w:p>
        </w:tc>
        <w:tc>
          <w:tcPr>
            <w:tcW w:w="624" w:type="dxa"/>
            <w:tcBorders>
              <w:top w:val="nil"/>
              <w:left w:val="nil"/>
              <w:bottom w:val="single" w:sz="8" w:space="0" w:color="auto"/>
              <w:right w:val="single" w:sz="8" w:space="0" w:color="auto"/>
            </w:tcBorders>
            <w:shd w:val="clear" w:color="C5D8F0" w:fill="D9D9D9"/>
            <w:textDirection w:val="tbRl"/>
            <w:hideMark/>
          </w:tcPr>
          <w:p w14:paraId="2A7417C2" w14:textId="77777777" w:rsidR="005E1386" w:rsidRPr="00A53C0D" w:rsidRDefault="005E1386" w:rsidP="0042136E">
            <w:pPr>
              <w:spacing w:before="0" w:after="0" w:line="240" w:lineRule="auto"/>
              <w:jc w:val="center"/>
              <w:rPr>
                <w:rFonts w:ascii="Calibri" w:eastAsia="Times New Roman" w:hAnsi="Calibri" w:cs="Calibri"/>
                <w:b/>
                <w:bCs/>
                <w:color w:val="auto"/>
                <w:sz w:val="18"/>
                <w:szCs w:val="18"/>
                <w:lang w:val="en-GB" w:eastAsia="en-GB"/>
              </w:rPr>
            </w:pPr>
            <w:r>
              <w:rPr>
                <w:rFonts w:ascii="Calibri" w:eastAsia="Times New Roman" w:hAnsi="Calibri" w:cs="Calibri"/>
                <w:b/>
                <w:bCs/>
                <w:color w:val="auto"/>
                <w:sz w:val="18"/>
                <w:szCs w:val="18"/>
                <w:lang w:val="en-GB" w:eastAsia="en-GB"/>
              </w:rPr>
              <w:t>O</w:t>
            </w:r>
            <w:r w:rsidRPr="00A53C0D">
              <w:rPr>
                <w:rFonts w:ascii="Calibri" w:eastAsia="Times New Roman" w:hAnsi="Calibri" w:cs="Calibri"/>
                <w:b/>
                <w:bCs/>
                <w:color w:val="auto"/>
                <w:sz w:val="18"/>
                <w:szCs w:val="18"/>
                <w:lang w:val="en-GB" w:eastAsia="en-GB"/>
              </w:rPr>
              <w:t>ther</w:t>
            </w:r>
          </w:p>
        </w:tc>
      </w:tr>
      <w:tr w:rsidR="005E1386" w:rsidRPr="00A53C0D" w14:paraId="54BA800F" w14:textId="77777777" w:rsidTr="0042136E">
        <w:trPr>
          <w:trHeight w:val="301"/>
        </w:trPr>
        <w:tc>
          <w:tcPr>
            <w:tcW w:w="10104" w:type="dxa"/>
            <w:gridSpan w:val="13"/>
            <w:tcBorders>
              <w:top w:val="single" w:sz="8" w:space="0" w:color="auto"/>
              <w:left w:val="single" w:sz="8" w:space="0" w:color="auto"/>
              <w:bottom w:val="nil"/>
              <w:right w:val="single" w:sz="8" w:space="0" w:color="000000"/>
            </w:tcBorders>
            <w:shd w:val="clear" w:color="000000" w:fill="D9D9D9"/>
            <w:noWrap/>
            <w:hideMark/>
          </w:tcPr>
          <w:p w14:paraId="644C0DCE"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 xml:space="preserve">Ecological </w:t>
            </w:r>
            <w:r>
              <w:rPr>
                <w:rFonts w:ascii="Calibri" w:eastAsia="Times New Roman" w:hAnsi="Calibri" w:cs="Calibri"/>
                <w:b/>
                <w:bCs/>
                <w:color w:val="auto"/>
                <w:sz w:val="22"/>
                <w:szCs w:val="22"/>
                <w:lang w:val="en-GB" w:eastAsia="en-GB"/>
              </w:rPr>
              <w:t>studies</w:t>
            </w:r>
          </w:p>
        </w:tc>
      </w:tr>
      <w:tr w:rsidR="005E1386" w:rsidRPr="00A53C0D" w14:paraId="684D3A16" w14:textId="77777777" w:rsidTr="0042136E">
        <w:trPr>
          <w:trHeight w:val="291"/>
        </w:trPr>
        <w:tc>
          <w:tcPr>
            <w:tcW w:w="2638" w:type="dxa"/>
            <w:tcBorders>
              <w:top w:val="single" w:sz="8" w:space="0" w:color="auto"/>
              <w:left w:val="single" w:sz="8" w:space="0" w:color="auto"/>
              <w:bottom w:val="single" w:sz="4" w:space="0" w:color="auto"/>
              <w:right w:val="single" w:sz="4" w:space="0" w:color="auto"/>
            </w:tcBorders>
            <w:hideMark/>
          </w:tcPr>
          <w:p w14:paraId="11CFB2B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Astone_2022</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6806F1B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nil"/>
              <w:bottom w:val="single" w:sz="4" w:space="0" w:color="auto"/>
              <w:right w:val="single" w:sz="4" w:space="0" w:color="auto"/>
            </w:tcBorders>
            <w:shd w:val="clear" w:color="000000" w:fill="C6E0B4"/>
            <w:hideMark/>
          </w:tcPr>
          <w:p w14:paraId="6D73C2E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0D093EC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36BA6C4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28D8AFA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1BD7FEB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4853E39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554FC0C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single" w:sz="4" w:space="0" w:color="auto"/>
              <w:bottom w:val="single" w:sz="4" w:space="0" w:color="auto"/>
              <w:right w:val="single" w:sz="4" w:space="0" w:color="auto"/>
            </w:tcBorders>
            <w:shd w:val="clear" w:color="000000" w:fill="FFC7CE"/>
            <w:hideMark/>
          </w:tcPr>
          <w:p w14:paraId="6FA425E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8" w:space="0" w:color="auto"/>
              <w:left w:val="nil"/>
              <w:bottom w:val="single" w:sz="4" w:space="0" w:color="auto"/>
              <w:right w:val="single" w:sz="4" w:space="0" w:color="auto"/>
            </w:tcBorders>
            <w:shd w:val="clear" w:color="000000" w:fill="C6E0B4"/>
            <w:hideMark/>
          </w:tcPr>
          <w:p w14:paraId="074E056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8" w:space="0" w:color="auto"/>
              <w:left w:val="nil"/>
              <w:bottom w:val="single" w:sz="4" w:space="0" w:color="auto"/>
              <w:right w:val="single" w:sz="4" w:space="0" w:color="auto"/>
            </w:tcBorders>
            <w:shd w:val="clear" w:color="000000" w:fill="C6E0B4"/>
            <w:hideMark/>
          </w:tcPr>
          <w:p w14:paraId="5732F49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4" w:type="dxa"/>
            <w:tcBorders>
              <w:top w:val="single" w:sz="8" w:space="0" w:color="auto"/>
              <w:left w:val="single" w:sz="4" w:space="0" w:color="auto"/>
              <w:bottom w:val="single" w:sz="4" w:space="0" w:color="auto"/>
              <w:right w:val="single" w:sz="8" w:space="0" w:color="auto"/>
            </w:tcBorders>
            <w:shd w:val="clear" w:color="000000" w:fill="FFC7CE"/>
            <w:hideMark/>
          </w:tcPr>
          <w:p w14:paraId="58DE6EC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ED50AFC"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75BA3DB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Ballester_2023</w:t>
            </w:r>
          </w:p>
        </w:tc>
        <w:tc>
          <w:tcPr>
            <w:tcW w:w="622" w:type="dxa"/>
            <w:tcBorders>
              <w:top w:val="nil"/>
              <w:left w:val="nil"/>
              <w:bottom w:val="single" w:sz="4" w:space="0" w:color="auto"/>
              <w:right w:val="single" w:sz="4" w:space="0" w:color="auto"/>
            </w:tcBorders>
            <w:shd w:val="clear" w:color="000000" w:fill="C6E0B4"/>
            <w:hideMark/>
          </w:tcPr>
          <w:p w14:paraId="04DFCDD7"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18E8518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38D5AA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0DB76A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E63070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810AF9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32E285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CCDCF8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E9EF35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2EB0CA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E5142A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5E76CE4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2C127A88"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1E13231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Chitu_2023</w:t>
            </w:r>
          </w:p>
        </w:tc>
        <w:tc>
          <w:tcPr>
            <w:tcW w:w="622" w:type="dxa"/>
            <w:tcBorders>
              <w:top w:val="nil"/>
              <w:left w:val="nil"/>
              <w:bottom w:val="single" w:sz="4" w:space="0" w:color="auto"/>
              <w:right w:val="single" w:sz="4" w:space="0" w:color="auto"/>
            </w:tcBorders>
            <w:shd w:val="clear" w:color="000000" w:fill="C6E0B4"/>
            <w:hideMark/>
          </w:tcPr>
          <w:p w14:paraId="5F34FB8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0EA20DF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9FD63E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8EDE20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9058D1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502CE6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7B5027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62D2A5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DBCFBA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6101A0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2C353E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4A76010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491F0DDD"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5BF3791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Choi_2022</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6793E5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459B1C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004EF4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85CA9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5EDAE7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A4C19D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488804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3AD496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9E6D88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80E800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F52481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72A5439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534546FA"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4763A3A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Coma_2023</w:t>
            </w:r>
          </w:p>
        </w:tc>
        <w:tc>
          <w:tcPr>
            <w:tcW w:w="622" w:type="dxa"/>
            <w:tcBorders>
              <w:top w:val="nil"/>
              <w:left w:val="nil"/>
              <w:bottom w:val="single" w:sz="4" w:space="0" w:color="auto"/>
              <w:right w:val="single" w:sz="4" w:space="0" w:color="auto"/>
            </w:tcBorders>
            <w:shd w:val="clear" w:color="000000" w:fill="C6E0B4"/>
            <w:hideMark/>
          </w:tcPr>
          <w:p w14:paraId="5489819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A3CCAA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9384CB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FE45B6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693647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F82389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1C0FE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3FE95F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8CB0BB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08DBBD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86C9F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1A3DE34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46DD172"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23C0CE6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Conte_2022</w:t>
            </w:r>
          </w:p>
        </w:tc>
        <w:tc>
          <w:tcPr>
            <w:tcW w:w="622" w:type="dxa"/>
            <w:tcBorders>
              <w:top w:val="nil"/>
              <w:left w:val="nil"/>
              <w:bottom w:val="single" w:sz="4" w:space="0" w:color="auto"/>
              <w:right w:val="single" w:sz="4" w:space="0" w:color="auto"/>
            </w:tcBorders>
            <w:shd w:val="clear" w:color="000000" w:fill="C6E0B4"/>
            <w:hideMark/>
          </w:tcPr>
          <w:p w14:paraId="36BACFE9"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7C6E19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3C9C77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EF6A12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69175D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561972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BF1D21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716C66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FC640C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3AFC03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86E31D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0679A9A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3EDA43B4"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0408C63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de Schrijver_2023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FA9614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006DD0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25B354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016F048"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B0CD05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5A0D5A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630FE7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09E3DA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11AFC1C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EAAADA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14D5249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4FE9291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75F40E64"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56641CE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de Visser_2023</w:t>
            </w:r>
          </w:p>
        </w:tc>
        <w:tc>
          <w:tcPr>
            <w:tcW w:w="622" w:type="dxa"/>
            <w:tcBorders>
              <w:top w:val="nil"/>
              <w:left w:val="nil"/>
              <w:bottom w:val="single" w:sz="4" w:space="0" w:color="auto"/>
              <w:right w:val="single" w:sz="4" w:space="0" w:color="auto"/>
            </w:tcBorders>
            <w:shd w:val="clear" w:color="000000" w:fill="C6E0B4"/>
            <w:hideMark/>
          </w:tcPr>
          <w:p w14:paraId="59B54220"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19B6A3A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EB162A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622C62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F19DC4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E247C8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8C99CE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996538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70ECED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E22BAF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56A946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14CC1FF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57D0E06D"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2ED8F83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Di Blasi_2023</w:t>
            </w:r>
          </w:p>
        </w:tc>
        <w:tc>
          <w:tcPr>
            <w:tcW w:w="622" w:type="dxa"/>
            <w:tcBorders>
              <w:top w:val="nil"/>
              <w:left w:val="nil"/>
              <w:bottom w:val="single" w:sz="4" w:space="0" w:color="auto"/>
              <w:right w:val="single" w:sz="4" w:space="0" w:color="auto"/>
            </w:tcBorders>
            <w:shd w:val="clear" w:color="000000" w:fill="C6E0B4"/>
            <w:hideMark/>
          </w:tcPr>
          <w:p w14:paraId="54B7CA78"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9DF520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5AE11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79DD3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22840C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D48E16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FFB726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C6199C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7568EB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EADC75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BC52BA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662941D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3DA883D5"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033E9C5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Gariazzo_2023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3FFF71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DB8010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0B82A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FA0A4E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0E2F03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D2512B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24CCA6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6FEBBC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5765E4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90C220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182955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29A86E9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2AFFD72E"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04D6537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Jahan_2022</w:t>
            </w:r>
          </w:p>
        </w:tc>
        <w:tc>
          <w:tcPr>
            <w:tcW w:w="622" w:type="dxa"/>
            <w:tcBorders>
              <w:top w:val="nil"/>
              <w:left w:val="nil"/>
              <w:bottom w:val="single" w:sz="4" w:space="0" w:color="auto"/>
              <w:right w:val="single" w:sz="4" w:space="0" w:color="auto"/>
            </w:tcBorders>
            <w:shd w:val="clear" w:color="000000" w:fill="C6E0B4"/>
            <w:hideMark/>
          </w:tcPr>
          <w:p w14:paraId="2D4C5126"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3D1E7A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6B020F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DEDB23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2DBE0C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84BB7A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BD0FE0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BACFD4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67E286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0E0981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337655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6F36F91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45CB2F7" w14:textId="77777777" w:rsidTr="0042136E">
        <w:trPr>
          <w:trHeight w:val="331"/>
        </w:trPr>
        <w:tc>
          <w:tcPr>
            <w:tcW w:w="2638" w:type="dxa"/>
            <w:tcBorders>
              <w:top w:val="nil"/>
              <w:left w:val="single" w:sz="8" w:space="0" w:color="auto"/>
              <w:bottom w:val="single" w:sz="4" w:space="0" w:color="auto"/>
              <w:right w:val="single" w:sz="4" w:space="0" w:color="auto"/>
            </w:tcBorders>
            <w:hideMark/>
          </w:tcPr>
          <w:p w14:paraId="33EECD1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Kotecki_2023</w:t>
            </w:r>
            <w:r w:rsidRPr="00A53C0D">
              <w:rPr>
                <w:rFonts w:ascii="Calibri" w:eastAsia="Times New Roman" w:hAnsi="Calibri" w:cs="Calibri"/>
                <w:color w:val="auto"/>
                <w:sz w:val="22"/>
                <w:szCs w:val="22"/>
                <w:vertAlign w:val="superscript"/>
                <w:lang w:val="en-GB" w:eastAsia="en-GB"/>
              </w:rPr>
              <w:t>1</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6B3F9D5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0284CBB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3B88A1C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03B2DE6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000C06F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687405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46123B8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44830A7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7234DE8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7148D6F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126B0B4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FFC7CE" w:fill="FFC7CE"/>
            <w:hideMark/>
          </w:tcPr>
          <w:p w14:paraId="2F9BBAD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1C7FDC79" w14:textId="77777777" w:rsidTr="0042136E">
        <w:trPr>
          <w:trHeight w:val="331"/>
        </w:trPr>
        <w:tc>
          <w:tcPr>
            <w:tcW w:w="2638" w:type="dxa"/>
            <w:tcBorders>
              <w:top w:val="nil"/>
              <w:left w:val="single" w:sz="4" w:space="0" w:color="auto"/>
              <w:bottom w:val="single" w:sz="4" w:space="0" w:color="auto"/>
              <w:right w:val="single" w:sz="4" w:space="0" w:color="auto"/>
            </w:tcBorders>
            <w:hideMark/>
          </w:tcPr>
          <w:p w14:paraId="734A58D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Márovics_2023</w:t>
            </w:r>
            <w:r w:rsidRPr="00A53C0D">
              <w:rPr>
                <w:rFonts w:ascii="Calibri" w:eastAsia="Times New Roman" w:hAnsi="Calibri" w:cs="Calibri"/>
                <w:color w:val="auto"/>
                <w:sz w:val="22"/>
                <w:szCs w:val="22"/>
                <w:vertAlign w:val="superscript"/>
                <w:lang w:val="en-GB" w:eastAsia="en-GB"/>
              </w:rPr>
              <w:t>1</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063E0E6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15BBACE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5BE432A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5C78986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197C39F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4DC833D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147A602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35C895B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FFC7CE" w:fill="FFC7CE"/>
            <w:hideMark/>
          </w:tcPr>
          <w:p w14:paraId="6B24282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6525537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6400848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4" w:space="0" w:color="auto"/>
            </w:tcBorders>
            <w:shd w:val="clear" w:color="FFC7CE" w:fill="FFC7CE"/>
            <w:noWrap/>
            <w:vAlign w:val="bottom"/>
            <w:hideMark/>
          </w:tcPr>
          <w:p w14:paraId="02E8152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11425834"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7039D1F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Masselot_2023</w:t>
            </w:r>
          </w:p>
        </w:tc>
        <w:tc>
          <w:tcPr>
            <w:tcW w:w="622" w:type="dxa"/>
            <w:tcBorders>
              <w:top w:val="nil"/>
              <w:left w:val="single" w:sz="4" w:space="0" w:color="auto"/>
              <w:bottom w:val="single" w:sz="4" w:space="0" w:color="auto"/>
              <w:right w:val="single" w:sz="4" w:space="0" w:color="auto"/>
            </w:tcBorders>
            <w:shd w:val="clear" w:color="000000" w:fill="FFC7CE"/>
            <w:hideMark/>
          </w:tcPr>
          <w:p w14:paraId="7539EB6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A09424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6041B3D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539CB1C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3D5C9FA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2566397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5DB6611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38B8972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1C8BE2E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3D8B833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2C34C42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single" w:sz="4" w:space="0" w:color="auto"/>
              <w:bottom w:val="single" w:sz="4" w:space="0" w:color="auto"/>
              <w:right w:val="single" w:sz="8" w:space="0" w:color="auto"/>
            </w:tcBorders>
            <w:shd w:val="clear" w:color="FFFF00" w:fill="FFC7CE"/>
            <w:hideMark/>
          </w:tcPr>
          <w:p w14:paraId="7F55950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5C4FABD0"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393E7AB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Navas-Martín_2022</w:t>
            </w:r>
          </w:p>
        </w:tc>
        <w:tc>
          <w:tcPr>
            <w:tcW w:w="622" w:type="dxa"/>
            <w:tcBorders>
              <w:top w:val="nil"/>
              <w:left w:val="nil"/>
              <w:bottom w:val="single" w:sz="4" w:space="0" w:color="auto"/>
              <w:right w:val="single" w:sz="4" w:space="0" w:color="auto"/>
            </w:tcBorders>
            <w:shd w:val="clear" w:color="000000" w:fill="C6E0B4"/>
            <w:hideMark/>
          </w:tcPr>
          <w:p w14:paraId="2CF67E5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758E05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A3273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9238ED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2BBAA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CA5604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F6A7C8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338E60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8DD1BA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57B3E6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415894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6940217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539C611D" w14:textId="77777777" w:rsidTr="0042136E">
        <w:trPr>
          <w:trHeight w:val="612"/>
        </w:trPr>
        <w:tc>
          <w:tcPr>
            <w:tcW w:w="2638" w:type="dxa"/>
            <w:tcBorders>
              <w:top w:val="nil"/>
              <w:left w:val="single" w:sz="8" w:space="0" w:color="auto"/>
              <w:bottom w:val="single" w:sz="4" w:space="0" w:color="auto"/>
              <w:right w:val="single" w:sz="4" w:space="0" w:color="auto"/>
            </w:tcBorders>
            <w:hideMark/>
          </w:tcPr>
          <w:p w14:paraId="777F3A8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Navas-Martín_Elderly_2023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6F44EF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585329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1F1B54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0C50F8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2F1B5F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DDE8B3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D907A1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AA81FB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ED5902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20774B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3148C6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065A5C8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2633837" w14:textId="77777777" w:rsidTr="0042136E">
        <w:trPr>
          <w:trHeight w:val="632"/>
        </w:trPr>
        <w:tc>
          <w:tcPr>
            <w:tcW w:w="2638" w:type="dxa"/>
            <w:tcBorders>
              <w:top w:val="nil"/>
              <w:left w:val="single" w:sz="8" w:space="0" w:color="auto"/>
              <w:bottom w:val="single" w:sz="4" w:space="0" w:color="auto"/>
              <w:right w:val="single" w:sz="4" w:space="0" w:color="auto"/>
            </w:tcBorders>
            <w:hideMark/>
          </w:tcPr>
          <w:p w14:paraId="3146669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Navas-Martín_Territory_2023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DB36A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18CD7A0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DCFC0C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6226DE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1DEFCD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296168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2EBE84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F3AC97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D4F42E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4C76B7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173A21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noWrap/>
            <w:vAlign w:val="bottom"/>
            <w:hideMark/>
          </w:tcPr>
          <w:p w14:paraId="3C1EBDC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1DF7EB7A"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33703CF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Psistaki_2022</w:t>
            </w:r>
          </w:p>
        </w:tc>
        <w:tc>
          <w:tcPr>
            <w:tcW w:w="622" w:type="dxa"/>
            <w:tcBorders>
              <w:top w:val="nil"/>
              <w:left w:val="nil"/>
              <w:bottom w:val="single" w:sz="4" w:space="0" w:color="auto"/>
              <w:right w:val="single" w:sz="4" w:space="0" w:color="auto"/>
            </w:tcBorders>
            <w:shd w:val="clear" w:color="000000" w:fill="C6E0B4"/>
            <w:hideMark/>
          </w:tcPr>
          <w:p w14:paraId="73DED4C6"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46959E0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DB396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935B7E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CDCD51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EE7815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25A947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7FF792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ED846D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A22158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8A1703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645B4F2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388EB02"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4B11612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Revich_2022</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C96AC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6E129BC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AEE02F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F4C56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446BE9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9097DB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C29BD4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84F7C8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C68126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F9662A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752FF0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560E741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708FE67B"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36AC4BD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Venturelli_2023</w:t>
            </w:r>
          </w:p>
        </w:tc>
        <w:tc>
          <w:tcPr>
            <w:tcW w:w="622" w:type="dxa"/>
            <w:tcBorders>
              <w:top w:val="nil"/>
              <w:left w:val="nil"/>
              <w:bottom w:val="single" w:sz="4" w:space="0" w:color="auto"/>
              <w:right w:val="single" w:sz="4" w:space="0" w:color="auto"/>
            </w:tcBorders>
            <w:shd w:val="clear" w:color="000000" w:fill="C6E0B4"/>
            <w:hideMark/>
          </w:tcPr>
          <w:p w14:paraId="0AE780E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E49F8E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6DEE34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FC2E71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3289A0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7A9C04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64162E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57CB20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BC69C8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D6F7C5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901461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noWrap/>
            <w:vAlign w:val="bottom"/>
            <w:hideMark/>
          </w:tcPr>
          <w:p w14:paraId="50EB5E5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6036DE5E" w14:textId="77777777" w:rsidTr="0042136E">
        <w:trPr>
          <w:trHeight w:val="301"/>
        </w:trPr>
        <w:tc>
          <w:tcPr>
            <w:tcW w:w="2638" w:type="dxa"/>
            <w:tcBorders>
              <w:top w:val="nil"/>
              <w:left w:val="single" w:sz="8" w:space="0" w:color="auto"/>
              <w:bottom w:val="nil"/>
              <w:right w:val="single" w:sz="4" w:space="0" w:color="auto"/>
            </w:tcBorders>
            <w:hideMark/>
          </w:tcPr>
          <w:p w14:paraId="5B89EE9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Vésier_2023</w:t>
            </w:r>
          </w:p>
        </w:tc>
        <w:tc>
          <w:tcPr>
            <w:tcW w:w="622" w:type="dxa"/>
            <w:tcBorders>
              <w:top w:val="nil"/>
              <w:left w:val="nil"/>
              <w:bottom w:val="nil"/>
              <w:right w:val="single" w:sz="4" w:space="0" w:color="auto"/>
            </w:tcBorders>
            <w:shd w:val="clear" w:color="000000" w:fill="C6E0B4"/>
            <w:hideMark/>
          </w:tcPr>
          <w:p w14:paraId="55925AD6"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nil"/>
              <w:right w:val="single" w:sz="4" w:space="0" w:color="auto"/>
            </w:tcBorders>
            <w:shd w:val="clear" w:color="000000" w:fill="C6E0B4"/>
            <w:hideMark/>
          </w:tcPr>
          <w:p w14:paraId="6AB3B0F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nil"/>
              <w:right w:val="single" w:sz="4" w:space="0" w:color="auto"/>
            </w:tcBorders>
            <w:shd w:val="clear" w:color="000000" w:fill="C6E0B4"/>
            <w:hideMark/>
          </w:tcPr>
          <w:p w14:paraId="0A99AD4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449A698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72CFDC0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2B38CCE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3D19F4D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27D3A38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7D35DC7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1658B52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642B4C4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nil"/>
              <w:right w:val="single" w:sz="8" w:space="0" w:color="auto"/>
            </w:tcBorders>
            <w:shd w:val="clear" w:color="000000" w:fill="FFC7CE"/>
            <w:hideMark/>
          </w:tcPr>
          <w:p w14:paraId="6C1AEE5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228C9B4A" w14:textId="77777777" w:rsidTr="0042136E">
        <w:trPr>
          <w:trHeight w:val="301"/>
        </w:trPr>
        <w:tc>
          <w:tcPr>
            <w:tcW w:w="10104" w:type="dxa"/>
            <w:gridSpan w:val="13"/>
            <w:tcBorders>
              <w:top w:val="single" w:sz="8" w:space="0" w:color="auto"/>
              <w:left w:val="single" w:sz="8" w:space="0" w:color="auto"/>
              <w:bottom w:val="single" w:sz="8" w:space="0" w:color="auto"/>
              <w:right w:val="single" w:sz="8" w:space="0" w:color="000000"/>
            </w:tcBorders>
            <w:shd w:val="clear" w:color="000000" w:fill="E7E6E6"/>
            <w:hideMark/>
          </w:tcPr>
          <w:p w14:paraId="33FD96BD"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 xml:space="preserve">Cohort </w:t>
            </w:r>
            <w:r>
              <w:rPr>
                <w:rFonts w:ascii="Calibri" w:eastAsia="Times New Roman" w:hAnsi="Calibri" w:cs="Calibri"/>
                <w:b/>
                <w:bCs/>
                <w:color w:val="auto"/>
                <w:sz w:val="22"/>
                <w:szCs w:val="22"/>
                <w:lang w:val="en-GB" w:eastAsia="en-GB"/>
              </w:rPr>
              <w:t>studies</w:t>
            </w:r>
          </w:p>
        </w:tc>
      </w:tr>
      <w:tr w:rsidR="005E1386" w:rsidRPr="00A53C0D" w14:paraId="32C6DB8D"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072E3C6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Bundo_2023</w:t>
            </w:r>
          </w:p>
        </w:tc>
        <w:tc>
          <w:tcPr>
            <w:tcW w:w="622" w:type="dxa"/>
            <w:tcBorders>
              <w:top w:val="nil"/>
              <w:left w:val="single" w:sz="4" w:space="0" w:color="auto"/>
              <w:bottom w:val="single" w:sz="4" w:space="0" w:color="auto"/>
              <w:right w:val="single" w:sz="4" w:space="0" w:color="auto"/>
            </w:tcBorders>
            <w:shd w:val="clear" w:color="000000" w:fill="FFC7CE"/>
            <w:hideMark/>
          </w:tcPr>
          <w:p w14:paraId="13D0F39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21CF6F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C3A394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20B4BF8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1234F6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52A98A8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4D33C5F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563E70A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3475251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D1CBC7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22763A2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single" w:sz="4" w:space="0" w:color="auto"/>
              <w:bottom w:val="single" w:sz="4" w:space="0" w:color="auto"/>
              <w:right w:val="single" w:sz="8" w:space="0" w:color="auto"/>
            </w:tcBorders>
            <w:shd w:val="clear" w:color="000000" w:fill="FFC7CE"/>
            <w:hideMark/>
          </w:tcPr>
          <w:p w14:paraId="2CA0E03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4DF46AD5"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11E178D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lastRenderedPageBreak/>
              <w:t>Encinas_2023</w:t>
            </w:r>
          </w:p>
        </w:tc>
        <w:tc>
          <w:tcPr>
            <w:tcW w:w="622" w:type="dxa"/>
            <w:tcBorders>
              <w:top w:val="nil"/>
              <w:left w:val="nil"/>
              <w:bottom w:val="single" w:sz="4" w:space="0" w:color="auto"/>
              <w:right w:val="single" w:sz="4" w:space="0" w:color="auto"/>
            </w:tcBorders>
            <w:shd w:val="clear" w:color="000000" w:fill="C6E0B4"/>
            <w:hideMark/>
          </w:tcPr>
          <w:p w14:paraId="11E5373C"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184A096"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8115F4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D80F6E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78C696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0B4C02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13C7E4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8C5F33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D0F608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1F6726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68F64F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662253C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481ACC2"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34B3450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Guilbert_2023</w:t>
            </w:r>
          </w:p>
        </w:tc>
        <w:tc>
          <w:tcPr>
            <w:tcW w:w="622" w:type="dxa"/>
            <w:tcBorders>
              <w:top w:val="nil"/>
              <w:left w:val="nil"/>
              <w:bottom w:val="single" w:sz="4" w:space="0" w:color="auto"/>
              <w:right w:val="single" w:sz="4" w:space="0" w:color="auto"/>
            </w:tcBorders>
            <w:shd w:val="clear" w:color="000000" w:fill="C6E0B4"/>
            <w:hideMark/>
          </w:tcPr>
          <w:p w14:paraId="5C6CA4C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EF9D10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0D449D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B2095B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C1C6F9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9F0B83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2D8B63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ED3C68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D73313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73493A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710503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17E342A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584D2C34" w14:textId="77777777" w:rsidTr="0042136E">
        <w:trPr>
          <w:trHeight w:val="331"/>
        </w:trPr>
        <w:tc>
          <w:tcPr>
            <w:tcW w:w="2638" w:type="dxa"/>
            <w:tcBorders>
              <w:top w:val="nil"/>
              <w:left w:val="single" w:sz="8" w:space="0" w:color="auto"/>
              <w:bottom w:val="single" w:sz="4" w:space="0" w:color="auto"/>
              <w:right w:val="single" w:sz="4" w:space="0" w:color="auto"/>
            </w:tcBorders>
            <w:hideMark/>
          </w:tcPr>
          <w:p w14:paraId="7DCD540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Hajat_2023</w:t>
            </w:r>
            <w:r w:rsidRPr="00A53C0D">
              <w:rPr>
                <w:rFonts w:ascii="Calibri" w:eastAsia="Times New Roman" w:hAnsi="Calibri" w:cs="Calibri"/>
                <w:color w:val="auto"/>
                <w:sz w:val="22"/>
                <w:szCs w:val="22"/>
                <w:vertAlign w:val="superscript"/>
                <w:lang w:val="en-GB" w:eastAsia="en-GB"/>
              </w:rPr>
              <w:t>1</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91CC02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F04292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DAC861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EA17C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440404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FEF497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9E1903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D65E30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8C41A2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62B248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0242B6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16A1CD4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1E0E668D" w14:textId="77777777" w:rsidTr="0042136E">
        <w:trPr>
          <w:trHeight w:val="361"/>
        </w:trPr>
        <w:tc>
          <w:tcPr>
            <w:tcW w:w="2638" w:type="dxa"/>
            <w:tcBorders>
              <w:top w:val="nil"/>
              <w:left w:val="single" w:sz="8" w:space="0" w:color="auto"/>
              <w:bottom w:val="single" w:sz="4" w:space="0" w:color="auto"/>
              <w:right w:val="single" w:sz="4" w:space="0" w:color="auto"/>
            </w:tcBorders>
            <w:hideMark/>
          </w:tcPr>
          <w:p w14:paraId="23A5BA0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Hough_2023</w:t>
            </w:r>
            <w:r w:rsidRPr="00A53C0D">
              <w:rPr>
                <w:rFonts w:ascii="Calibri" w:eastAsia="Times New Roman" w:hAnsi="Calibri" w:cs="Calibri"/>
                <w:color w:val="auto"/>
                <w:sz w:val="22"/>
                <w:szCs w:val="22"/>
                <w:vertAlign w:val="superscript"/>
                <w:lang w:val="en-GB" w:eastAsia="en-GB"/>
              </w:rPr>
              <w:t>1</w:t>
            </w:r>
          </w:p>
        </w:tc>
        <w:tc>
          <w:tcPr>
            <w:tcW w:w="622" w:type="dxa"/>
            <w:tcBorders>
              <w:top w:val="nil"/>
              <w:left w:val="nil"/>
              <w:bottom w:val="single" w:sz="4" w:space="0" w:color="auto"/>
              <w:right w:val="single" w:sz="4" w:space="0" w:color="auto"/>
            </w:tcBorders>
            <w:shd w:val="clear" w:color="000000" w:fill="C6E0B4"/>
            <w:hideMark/>
          </w:tcPr>
          <w:p w14:paraId="27DF8BE5"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6069DB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6DE5BC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B741F1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0D96C8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0245EB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E5261C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97D09B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CE9D0A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0F73C9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DD1C9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789F9B1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32F5AED8" w14:textId="77777777" w:rsidTr="0042136E">
        <w:trPr>
          <w:trHeight w:val="291"/>
        </w:trPr>
        <w:tc>
          <w:tcPr>
            <w:tcW w:w="2638" w:type="dxa"/>
            <w:tcBorders>
              <w:top w:val="single" w:sz="4" w:space="0" w:color="auto"/>
              <w:left w:val="single" w:sz="8" w:space="0" w:color="auto"/>
              <w:bottom w:val="single" w:sz="4" w:space="0" w:color="auto"/>
              <w:right w:val="single" w:sz="4" w:space="0" w:color="auto"/>
            </w:tcBorders>
            <w:hideMark/>
          </w:tcPr>
          <w:p w14:paraId="2980FFE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Ordanovich_2023</w:t>
            </w:r>
          </w:p>
        </w:tc>
        <w:tc>
          <w:tcPr>
            <w:tcW w:w="622" w:type="dxa"/>
            <w:tcBorders>
              <w:top w:val="nil"/>
              <w:left w:val="nil"/>
              <w:bottom w:val="single" w:sz="4" w:space="0" w:color="auto"/>
              <w:right w:val="single" w:sz="4" w:space="0" w:color="auto"/>
            </w:tcBorders>
            <w:shd w:val="clear" w:color="000000" w:fill="C6E0B4"/>
            <w:hideMark/>
          </w:tcPr>
          <w:p w14:paraId="54E6CC4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53703C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A98B02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EAB81B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49D363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E3657F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5D9731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221742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871CF7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131C7A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DC511F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3C4EB80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1D189C9"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16415BF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Ozturk_2023</w:t>
            </w:r>
          </w:p>
        </w:tc>
        <w:tc>
          <w:tcPr>
            <w:tcW w:w="622" w:type="dxa"/>
            <w:tcBorders>
              <w:top w:val="nil"/>
              <w:left w:val="nil"/>
              <w:bottom w:val="single" w:sz="4" w:space="0" w:color="auto"/>
              <w:right w:val="single" w:sz="4" w:space="0" w:color="auto"/>
            </w:tcBorders>
            <w:shd w:val="clear" w:color="000000" w:fill="C6E0B4"/>
            <w:hideMark/>
          </w:tcPr>
          <w:p w14:paraId="64715E0E"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C3224B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AB6597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09308D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3C7EFE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84C820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A246CE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273B70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C40ABA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80717E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32C4C0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noWrap/>
            <w:vAlign w:val="bottom"/>
            <w:hideMark/>
          </w:tcPr>
          <w:p w14:paraId="256DD6A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252C48A0"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5E9F9CD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Roubille_2023</w:t>
            </w:r>
          </w:p>
        </w:tc>
        <w:tc>
          <w:tcPr>
            <w:tcW w:w="622" w:type="dxa"/>
            <w:tcBorders>
              <w:top w:val="nil"/>
              <w:left w:val="nil"/>
              <w:bottom w:val="single" w:sz="4" w:space="0" w:color="auto"/>
              <w:right w:val="single" w:sz="4" w:space="0" w:color="auto"/>
            </w:tcBorders>
            <w:shd w:val="clear" w:color="000000" w:fill="C6E0B4"/>
            <w:hideMark/>
          </w:tcPr>
          <w:p w14:paraId="2C4FCBA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0C43B7D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CF01FC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2FFCE0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A8F362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31E94E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742FDA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0095E5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275CAD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7BF33E4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DA9C6D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353DF6A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6AB9E15"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2EEAE17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Savic_2023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3D7723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7B444F8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6AB37A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18293D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96FD78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2AC70A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C69530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FA360D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9C76A4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24512F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EF55A2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359094D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76959499" w14:textId="77777777" w:rsidTr="0042136E">
        <w:trPr>
          <w:trHeight w:val="301"/>
        </w:trPr>
        <w:tc>
          <w:tcPr>
            <w:tcW w:w="2638" w:type="dxa"/>
            <w:tcBorders>
              <w:top w:val="nil"/>
              <w:left w:val="single" w:sz="8" w:space="0" w:color="auto"/>
              <w:bottom w:val="nil"/>
              <w:right w:val="single" w:sz="4" w:space="0" w:color="auto"/>
            </w:tcBorders>
            <w:hideMark/>
          </w:tcPr>
          <w:p w14:paraId="00DC3D2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Yüzen_2023</w:t>
            </w:r>
          </w:p>
        </w:tc>
        <w:tc>
          <w:tcPr>
            <w:tcW w:w="622" w:type="dxa"/>
            <w:tcBorders>
              <w:top w:val="nil"/>
              <w:left w:val="nil"/>
              <w:bottom w:val="nil"/>
              <w:right w:val="single" w:sz="4" w:space="0" w:color="auto"/>
            </w:tcBorders>
            <w:shd w:val="clear" w:color="000000" w:fill="C6E0B4"/>
            <w:hideMark/>
          </w:tcPr>
          <w:p w14:paraId="1C2303D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nil"/>
              <w:right w:val="single" w:sz="4" w:space="0" w:color="auto"/>
            </w:tcBorders>
            <w:shd w:val="clear" w:color="000000" w:fill="C6E0B4"/>
            <w:hideMark/>
          </w:tcPr>
          <w:p w14:paraId="065746EC"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5D48755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3FCB0D4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6BC9E7A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3BCA24E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54F777C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34BB0BC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06BF75C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7A16651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4831826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nil"/>
              <w:bottom w:val="nil"/>
              <w:right w:val="single" w:sz="8" w:space="0" w:color="auto"/>
            </w:tcBorders>
            <w:shd w:val="clear" w:color="000000" w:fill="C6E0B4"/>
            <w:hideMark/>
          </w:tcPr>
          <w:p w14:paraId="2E6512F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r>
      <w:tr w:rsidR="005E1386" w:rsidRPr="00A53C0D" w14:paraId="41D640DF" w14:textId="77777777" w:rsidTr="0042136E">
        <w:trPr>
          <w:trHeight w:val="301"/>
        </w:trPr>
        <w:tc>
          <w:tcPr>
            <w:tcW w:w="10104" w:type="dxa"/>
            <w:gridSpan w:val="13"/>
            <w:tcBorders>
              <w:top w:val="single" w:sz="8" w:space="0" w:color="auto"/>
              <w:left w:val="single" w:sz="8" w:space="0" w:color="auto"/>
              <w:bottom w:val="single" w:sz="8" w:space="0" w:color="auto"/>
              <w:right w:val="single" w:sz="8" w:space="0" w:color="000000"/>
            </w:tcBorders>
            <w:shd w:val="clear" w:color="000000" w:fill="D9D9D9"/>
            <w:hideMark/>
          </w:tcPr>
          <w:p w14:paraId="6372AFFC"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 xml:space="preserve">Case-control </w:t>
            </w:r>
            <w:r>
              <w:rPr>
                <w:rFonts w:ascii="Calibri" w:eastAsia="Times New Roman" w:hAnsi="Calibri" w:cs="Calibri"/>
                <w:b/>
                <w:bCs/>
                <w:color w:val="auto"/>
                <w:sz w:val="22"/>
                <w:szCs w:val="22"/>
                <w:lang w:val="en-GB" w:eastAsia="en-GB"/>
              </w:rPr>
              <w:t>studies</w:t>
            </w:r>
          </w:p>
        </w:tc>
      </w:tr>
      <w:tr w:rsidR="005E1386" w:rsidRPr="00A53C0D" w14:paraId="554A6578"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53837B2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Demoury_2022</w:t>
            </w:r>
          </w:p>
        </w:tc>
        <w:tc>
          <w:tcPr>
            <w:tcW w:w="622" w:type="dxa"/>
            <w:tcBorders>
              <w:top w:val="nil"/>
              <w:left w:val="nil"/>
              <w:bottom w:val="single" w:sz="4" w:space="0" w:color="auto"/>
              <w:right w:val="single" w:sz="4" w:space="0" w:color="auto"/>
            </w:tcBorders>
            <w:shd w:val="clear" w:color="000000" w:fill="C6E0B4"/>
            <w:hideMark/>
          </w:tcPr>
          <w:p w14:paraId="7619A18C"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5057722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45C2B9B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5A5AF41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6E5253E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4" w:space="0" w:color="auto"/>
              <w:right w:val="single" w:sz="4" w:space="0" w:color="auto"/>
            </w:tcBorders>
            <w:shd w:val="clear" w:color="000000" w:fill="FFC7CE"/>
            <w:hideMark/>
          </w:tcPr>
          <w:p w14:paraId="67694D9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DD3363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3AD3759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5D5399CB"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B3FDC7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0BF95AE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single" w:sz="4" w:space="0" w:color="auto"/>
              <w:bottom w:val="single" w:sz="4" w:space="0" w:color="auto"/>
              <w:right w:val="single" w:sz="8" w:space="0" w:color="auto"/>
            </w:tcBorders>
            <w:shd w:val="clear" w:color="000000" w:fill="FFC7CE"/>
            <w:hideMark/>
          </w:tcPr>
          <w:p w14:paraId="782241F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1250328C"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22238F6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Gamboa_2023</w:t>
            </w:r>
          </w:p>
        </w:tc>
        <w:tc>
          <w:tcPr>
            <w:tcW w:w="622" w:type="dxa"/>
            <w:tcBorders>
              <w:top w:val="nil"/>
              <w:left w:val="nil"/>
              <w:bottom w:val="single" w:sz="4" w:space="0" w:color="auto"/>
              <w:right w:val="single" w:sz="4" w:space="0" w:color="auto"/>
            </w:tcBorders>
            <w:shd w:val="clear" w:color="000000" w:fill="C6E0B4"/>
            <w:hideMark/>
          </w:tcPr>
          <w:p w14:paraId="4942127A"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06CBAFE9"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F282C1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330AC9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D5A4A8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BEA6B9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B2F844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8F2AFF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155B9ED"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0CA844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4406C3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068408B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8C56184"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29AFF05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Guolo_2022</w:t>
            </w:r>
          </w:p>
        </w:tc>
        <w:tc>
          <w:tcPr>
            <w:tcW w:w="622" w:type="dxa"/>
            <w:tcBorders>
              <w:top w:val="nil"/>
              <w:left w:val="nil"/>
              <w:bottom w:val="single" w:sz="4" w:space="0" w:color="auto"/>
              <w:right w:val="single" w:sz="4" w:space="0" w:color="auto"/>
            </w:tcBorders>
            <w:shd w:val="clear" w:color="000000" w:fill="C6E0B4"/>
            <w:hideMark/>
          </w:tcPr>
          <w:p w14:paraId="5DA3038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51CB436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DE5E62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7BBBCF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84E06C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64661A04"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C00E7B1"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9C53BC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E93304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FAF548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44B99B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0355AC7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0FB144F1" w14:textId="77777777" w:rsidTr="0042136E">
        <w:trPr>
          <w:trHeight w:val="301"/>
        </w:trPr>
        <w:tc>
          <w:tcPr>
            <w:tcW w:w="2638" w:type="dxa"/>
            <w:tcBorders>
              <w:top w:val="nil"/>
              <w:left w:val="single" w:sz="8" w:space="0" w:color="auto"/>
              <w:bottom w:val="single" w:sz="4" w:space="0" w:color="auto"/>
              <w:right w:val="single" w:sz="4" w:space="0" w:color="auto"/>
            </w:tcBorders>
            <w:hideMark/>
          </w:tcPr>
          <w:p w14:paraId="173ABF1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Hinchliffe_Alguacil_2023</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43C1FA1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3A5618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A9AA7C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A24025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27ABD8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9C538B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4E1E5EBC"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E25355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47C9C7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6B8BEBF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1E8D92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nil"/>
              <w:bottom w:val="single" w:sz="4" w:space="0" w:color="auto"/>
              <w:right w:val="single" w:sz="8" w:space="0" w:color="auto"/>
            </w:tcBorders>
            <w:shd w:val="clear" w:color="000000" w:fill="C6E0B4"/>
            <w:hideMark/>
          </w:tcPr>
          <w:p w14:paraId="0CE0308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r>
      <w:tr w:rsidR="005E1386" w:rsidRPr="00A53C0D" w14:paraId="6A855BCE" w14:textId="77777777" w:rsidTr="0042136E">
        <w:trPr>
          <w:trHeight w:val="301"/>
        </w:trPr>
        <w:tc>
          <w:tcPr>
            <w:tcW w:w="2638" w:type="dxa"/>
            <w:tcBorders>
              <w:top w:val="nil"/>
              <w:left w:val="single" w:sz="8" w:space="0" w:color="auto"/>
              <w:bottom w:val="single" w:sz="4" w:space="0" w:color="auto"/>
              <w:right w:val="single" w:sz="4" w:space="0" w:color="auto"/>
            </w:tcBorders>
            <w:hideMark/>
          </w:tcPr>
          <w:p w14:paraId="1EAE8BF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Hinchliffe_Kogevinas_2023</w:t>
            </w:r>
          </w:p>
        </w:tc>
        <w:tc>
          <w:tcPr>
            <w:tcW w:w="622" w:type="dxa"/>
            <w:tcBorders>
              <w:top w:val="nil"/>
              <w:left w:val="nil"/>
              <w:bottom w:val="single" w:sz="4" w:space="0" w:color="auto"/>
              <w:right w:val="single" w:sz="4" w:space="0" w:color="auto"/>
            </w:tcBorders>
            <w:shd w:val="clear" w:color="000000" w:fill="C6E0B4"/>
            <w:hideMark/>
          </w:tcPr>
          <w:p w14:paraId="293D833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7DEA23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3016F9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1922F7B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6D868EC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5E20844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08011F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C3E90C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7448D1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5BE575C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0CE37B7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nil"/>
              <w:bottom w:val="single" w:sz="4" w:space="0" w:color="auto"/>
              <w:right w:val="single" w:sz="8" w:space="0" w:color="auto"/>
            </w:tcBorders>
            <w:shd w:val="clear" w:color="000000" w:fill="C6E0B4"/>
            <w:hideMark/>
          </w:tcPr>
          <w:p w14:paraId="0E04D5A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r>
      <w:tr w:rsidR="005E1386" w:rsidRPr="00A53C0D" w14:paraId="13F98436"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191FDC8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Ragettli_2023</w:t>
            </w:r>
          </w:p>
        </w:tc>
        <w:tc>
          <w:tcPr>
            <w:tcW w:w="622" w:type="dxa"/>
            <w:tcBorders>
              <w:top w:val="nil"/>
              <w:left w:val="nil"/>
              <w:bottom w:val="single" w:sz="4" w:space="0" w:color="auto"/>
              <w:right w:val="single" w:sz="4" w:space="0" w:color="auto"/>
            </w:tcBorders>
            <w:shd w:val="clear" w:color="000000" w:fill="C6E0B4"/>
            <w:hideMark/>
          </w:tcPr>
          <w:p w14:paraId="765B259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1BD0A50"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6C41626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369AE6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853EE3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36E5D30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9DD655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D86BF5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567073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7C8C423C"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single" w:sz="4" w:space="0" w:color="auto"/>
              <w:right w:val="single" w:sz="4" w:space="0" w:color="auto"/>
            </w:tcBorders>
            <w:shd w:val="clear" w:color="000000" w:fill="FFC7CE"/>
            <w:hideMark/>
          </w:tcPr>
          <w:p w14:paraId="2BD5EAA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single" w:sz="4" w:space="0" w:color="auto"/>
              <w:right w:val="single" w:sz="8" w:space="0" w:color="auto"/>
            </w:tcBorders>
            <w:shd w:val="clear" w:color="000000" w:fill="FFC7CE"/>
            <w:hideMark/>
          </w:tcPr>
          <w:p w14:paraId="489840C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79CE0AE3" w14:textId="77777777" w:rsidTr="0042136E">
        <w:trPr>
          <w:trHeight w:val="301"/>
        </w:trPr>
        <w:tc>
          <w:tcPr>
            <w:tcW w:w="2638" w:type="dxa"/>
            <w:tcBorders>
              <w:top w:val="nil"/>
              <w:left w:val="single" w:sz="8" w:space="0" w:color="auto"/>
              <w:bottom w:val="nil"/>
              <w:right w:val="single" w:sz="4" w:space="0" w:color="auto"/>
            </w:tcBorders>
            <w:hideMark/>
          </w:tcPr>
          <w:p w14:paraId="6651B96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Yarza_2023</w:t>
            </w:r>
          </w:p>
        </w:tc>
        <w:tc>
          <w:tcPr>
            <w:tcW w:w="622" w:type="dxa"/>
            <w:tcBorders>
              <w:top w:val="nil"/>
              <w:left w:val="nil"/>
              <w:bottom w:val="nil"/>
              <w:right w:val="single" w:sz="4" w:space="0" w:color="auto"/>
            </w:tcBorders>
            <w:shd w:val="clear" w:color="000000" w:fill="C6E0B4"/>
            <w:hideMark/>
          </w:tcPr>
          <w:p w14:paraId="6842573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nil"/>
              <w:right w:val="single" w:sz="4" w:space="0" w:color="auto"/>
            </w:tcBorders>
            <w:shd w:val="clear" w:color="000000" w:fill="C6E0B4"/>
            <w:hideMark/>
          </w:tcPr>
          <w:p w14:paraId="5418DF07"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5930E7A8"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nil"/>
              <w:right w:val="single" w:sz="4" w:space="0" w:color="auto"/>
            </w:tcBorders>
            <w:shd w:val="clear" w:color="000000" w:fill="C6E0B4"/>
            <w:hideMark/>
          </w:tcPr>
          <w:p w14:paraId="4434093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1B53A15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726125D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13F5EC3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5C73F9E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68462F4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6790073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nil"/>
              <w:right w:val="single" w:sz="4" w:space="0" w:color="auto"/>
            </w:tcBorders>
            <w:shd w:val="clear" w:color="000000" w:fill="C6E0B4"/>
            <w:hideMark/>
          </w:tcPr>
          <w:p w14:paraId="1B7195B6"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4" w:type="dxa"/>
            <w:tcBorders>
              <w:top w:val="single" w:sz="4" w:space="0" w:color="auto"/>
              <w:left w:val="single" w:sz="4" w:space="0" w:color="auto"/>
              <w:bottom w:val="nil"/>
              <w:right w:val="single" w:sz="8" w:space="0" w:color="auto"/>
            </w:tcBorders>
            <w:shd w:val="clear" w:color="000000" w:fill="FFC7CE"/>
            <w:hideMark/>
          </w:tcPr>
          <w:p w14:paraId="6F891A9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2BEF4063" w14:textId="77777777" w:rsidTr="0042136E">
        <w:trPr>
          <w:trHeight w:val="301"/>
        </w:trPr>
        <w:tc>
          <w:tcPr>
            <w:tcW w:w="10104" w:type="dxa"/>
            <w:gridSpan w:val="13"/>
            <w:tcBorders>
              <w:top w:val="single" w:sz="8" w:space="0" w:color="auto"/>
              <w:left w:val="single" w:sz="8" w:space="0" w:color="auto"/>
              <w:bottom w:val="single" w:sz="8" w:space="0" w:color="auto"/>
              <w:right w:val="single" w:sz="8" w:space="0" w:color="000000"/>
            </w:tcBorders>
            <w:shd w:val="clear" w:color="000000" w:fill="D9D9D9"/>
            <w:hideMark/>
          </w:tcPr>
          <w:p w14:paraId="7084A65D"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 xml:space="preserve">Cross-sectional </w:t>
            </w:r>
            <w:r>
              <w:rPr>
                <w:rFonts w:ascii="Calibri" w:eastAsia="Times New Roman" w:hAnsi="Calibri" w:cs="Calibri"/>
                <w:b/>
                <w:bCs/>
                <w:color w:val="auto"/>
                <w:sz w:val="22"/>
                <w:szCs w:val="22"/>
                <w:lang w:val="en-GB" w:eastAsia="en-GB"/>
              </w:rPr>
              <w:t>studies</w:t>
            </w:r>
          </w:p>
        </w:tc>
      </w:tr>
      <w:tr w:rsidR="005E1386" w:rsidRPr="00A53C0D" w14:paraId="31E14536" w14:textId="77777777" w:rsidTr="0042136E">
        <w:trPr>
          <w:trHeight w:val="291"/>
        </w:trPr>
        <w:tc>
          <w:tcPr>
            <w:tcW w:w="2638" w:type="dxa"/>
            <w:tcBorders>
              <w:top w:val="nil"/>
              <w:left w:val="single" w:sz="8" w:space="0" w:color="auto"/>
              <w:bottom w:val="single" w:sz="4" w:space="0" w:color="auto"/>
              <w:right w:val="single" w:sz="4" w:space="0" w:color="auto"/>
            </w:tcBorders>
            <w:hideMark/>
          </w:tcPr>
          <w:p w14:paraId="1485E08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Darabi_2023</w:t>
            </w:r>
          </w:p>
        </w:tc>
        <w:tc>
          <w:tcPr>
            <w:tcW w:w="622" w:type="dxa"/>
            <w:tcBorders>
              <w:top w:val="nil"/>
              <w:left w:val="nil"/>
              <w:bottom w:val="single" w:sz="4" w:space="0" w:color="auto"/>
              <w:right w:val="single" w:sz="4" w:space="0" w:color="auto"/>
            </w:tcBorders>
            <w:shd w:val="clear" w:color="000000" w:fill="C6E0B4"/>
            <w:hideMark/>
          </w:tcPr>
          <w:p w14:paraId="6F031DE3"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659E89EB"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0E1DF15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2DC0387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424357B1"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C88040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7910765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0799892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4" w:space="0" w:color="auto"/>
              <w:right w:val="single" w:sz="4" w:space="0" w:color="auto"/>
            </w:tcBorders>
            <w:shd w:val="clear" w:color="000000" w:fill="C6E0B4"/>
            <w:hideMark/>
          </w:tcPr>
          <w:p w14:paraId="282E8B6F"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2" w:type="dxa"/>
            <w:tcBorders>
              <w:top w:val="nil"/>
              <w:left w:val="single" w:sz="4" w:space="0" w:color="auto"/>
              <w:bottom w:val="single" w:sz="4" w:space="0" w:color="auto"/>
              <w:right w:val="single" w:sz="4" w:space="0" w:color="auto"/>
            </w:tcBorders>
            <w:shd w:val="clear" w:color="000000" w:fill="FFC7CE"/>
            <w:hideMark/>
          </w:tcPr>
          <w:p w14:paraId="1CA7F00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4" w:space="0" w:color="auto"/>
              <w:right w:val="single" w:sz="4" w:space="0" w:color="auto"/>
            </w:tcBorders>
            <w:shd w:val="clear" w:color="000000" w:fill="C6E0B4"/>
            <w:hideMark/>
          </w:tcPr>
          <w:p w14:paraId="71AEFF32" w14:textId="77777777" w:rsidR="005E1386" w:rsidRPr="00A53C0D" w:rsidRDefault="005E1386" w:rsidP="0042136E">
            <w:pPr>
              <w:spacing w:before="0" w:after="0" w:line="240" w:lineRule="auto"/>
              <w:rPr>
                <w:rFonts w:ascii="Calibri" w:eastAsia="Times New Roman" w:hAnsi="Calibri" w:cs="Calibri"/>
                <w:color w:val="000000"/>
                <w:sz w:val="22"/>
                <w:szCs w:val="22"/>
                <w:lang w:val="en-GB" w:eastAsia="en-GB"/>
              </w:rPr>
            </w:pPr>
            <w:r w:rsidRPr="00A53C0D">
              <w:rPr>
                <w:rFonts w:ascii="Calibri" w:eastAsia="Times New Roman" w:hAnsi="Calibri" w:cs="Calibri"/>
                <w:color w:val="000000"/>
                <w:sz w:val="22"/>
                <w:szCs w:val="22"/>
                <w:lang w:val="en-GB" w:eastAsia="en-GB"/>
              </w:rPr>
              <w:t>yes</w:t>
            </w:r>
          </w:p>
        </w:tc>
        <w:tc>
          <w:tcPr>
            <w:tcW w:w="624" w:type="dxa"/>
            <w:tcBorders>
              <w:top w:val="nil"/>
              <w:left w:val="single" w:sz="4" w:space="0" w:color="auto"/>
              <w:bottom w:val="single" w:sz="4" w:space="0" w:color="auto"/>
              <w:right w:val="single" w:sz="8" w:space="0" w:color="auto"/>
            </w:tcBorders>
            <w:shd w:val="clear" w:color="000000" w:fill="FFC7CE"/>
            <w:hideMark/>
          </w:tcPr>
          <w:p w14:paraId="61812124"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63C67C08" w14:textId="77777777" w:rsidTr="0042136E">
        <w:trPr>
          <w:trHeight w:val="301"/>
        </w:trPr>
        <w:tc>
          <w:tcPr>
            <w:tcW w:w="2638" w:type="dxa"/>
            <w:tcBorders>
              <w:top w:val="nil"/>
              <w:left w:val="single" w:sz="8" w:space="0" w:color="auto"/>
              <w:bottom w:val="nil"/>
              <w:right w:val="single" w:sz="4" w:space="0" w:color="auto"/>
            </w:tcBorders>
            <w:hideMark/>
          </w:tcPr>
          <w:p w14:paraId="2A28E802"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Zeren_2023</w:t>
            </w:r>
          </w:p>
        </w:tc>
        <w:tc>
          <w:tcPr>
            <w:tcW w:w="622" w:type="dxa"/>
            <w:tcBorders>
              <w:top w:val="single" w:sz="4" w:space="0" w:color="auto"/>
              <w:left w:val="single" w:sz="4" w:space="0" w:color="auto"/>
              <w:bottom w:val="nil"/>
              <w:right w:val="single" w:sz="4" w:space="0" w:color="auto"/>
            </w:tcBorders>
            <w:shd w:val="clear" w:color="000000" w:fill="FFC7CE"/>
            <w:hideMark/>
          </w:tcPr>
          <w:p w14:paraId="7E5961D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460AD85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291A184F"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692369F6"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0EA4E55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nil"/>
              <w:right w:val="single" w:sz="4" w:space="0" w:color="auto"/>
            </w:tcBorders>
            <w:shd w:val="clear" w:color="000000" w:fill="C6E0B4"/>
            <w:hideMark/>
          </w:tcPr>
          <w:p w14:paraId="66FF5F2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6DF20A25"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nil"/>
              <w:right w:val="single" w:sz="4" w:space="0" w:color="auto"/>
            </w:tcBorders>
            <w:shd w:val="clear" w:color="000000" w:fill="C6E0B4"/>
            <w:hideMark/>
          </w:tcPr>
          <w:p w14:paraId="797C295F"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single" w:sz="4" w:space="0" w:color="auto"/>
              <w:left w:val="single" w:sz="4" w:space="0" w:color="auto"/>
              <w:bottom w:val="nil"/>
              <w:right w:val="single" w:sz="4" w:space="0" w:color="auto"/>
            </w:tcBorders>
            <w:shd w:val="clear" w:color="000000" w:fill="FFC7CE"/>
            <w:hideMark/>
          </w:tcPr>
          <w:p w14:paraId="2B4C0C2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1F7A607A"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single" w:sz="4" w:space="0" w:color="auto"/>
              <w:left w:val="single" w:sz="4" w:space="0" w:color="auto"/>
              <w:bottom w:val="nil"/>
              <w:right w:val="single" w:sz="4" w:space="0" w:color="auto"/>
            </w:tcBorders>
            <w:shd w:val="clear" w:color="000000" w:fill="FFC7CE"/>
            <w:hideMark/>
          </w:tcPr>
          <w:p w14:paraId="34D3DFE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single" w:sz="4" w:space="0" w:color="auto"/>
              <w:left w:val="single" w:sz="4" w:space="0" w:color="auto"/>
              <w:bottom w:val="nil"/>
              <w:right w:val="single" w:sz="8" w:space="0" w:color="auto"/>
            </w:tcBorders>
            <w:shd w:val="clear" w:color="000000" w:fill="FFC7CE"/>
            <w:hideMark/>
          </w:tcPr>
          <w:p w14:paraId="3F420BAB"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r w:rsidR="005E1386" w:rsidRPr="00A53C0D" w14:paraId="6AC8198A" w14:textId="77777777" w:rsidTr="0042136E">
        <w:trPr>
          <w:trHeight w:val="301"/>
        </w:trPr>
        <w:tc>
          <w:tcPr>
            <w:tcW w:w="10104" w:type="dxa"/>
            <w:gridSpan w:val="13"/>
            <w:tcBorders>
              <w:top w:val="single" w:sz="8" w:space="0" w:color="auto"/>
              <w:left w:val="single" w:sz="8" w:space="0" w:color="auto"/>
              <w:bottom w:val="single" w:sz="8" w:space="0" w:color="auto"/>
              <w:right w:val="single" w:sz="8" w:space="0" w:color="000000"/>
            </w:tcBorders>
            <w:shd w:val="clear" w:color="000000" w:fill="D9D9D9"/>
            <w:hideMark/>
          </w:tcPr>
          <w:p w14:paraId="509121BC" w14:textId="77777777" w:rsidR="005E1386" w:rsidRPr="00A53C0D" w:rsidRDefault="005E1386" w:rsidP="0042136E">
            <w:pPr>
              <w:spacing w:before="0" w:after="0" w:line="240" w:lineRule="auto"/>
              <w:jc w:val="center"/>
              <w:rPr>
                <w:rFonts w:ascii="Calibri" w:eastAsia="Times New Roman" w:hAnsi="Calibri" w:cs="Calibri"/>
                <w:b/>
                <w:bCs/>
                <w:color w:val="auto"/>
                <w:sz w:val="22"/>
                <w:szCs w:val="22"/>
                <w:lang w:val="en-GB" w:eastAsia="en-GB"/>
              </w:rPr>
            </w:pPr>
            <w:r w:rsidRPr="00A53C0D">
              <w:rPr>
                <w:rFonts w:ascii="Calibri" w:eastAsia="Times New Roman" w:hAnsi="Calibri" w:cs="Calibri"/>
                <w:b/>
                <w:bCs/>
                <w:color w:val="auto"/>
                <w:sz w:val="22"/>
                <w:szCs w:val="22"/>
                <w:lang w:val="en-GB" w:eastAsia="en-GB"/>
              </w:rPr>
              <w:t xml:space="preserve">Qualitative </w:t>
            </w:r>
            <w:r>
              <w:rPr>
                <w:rFonts w:ascii="Calibri" w:eastAsia="Times New Roman" w:hAnsi="Calibri" w:cs="Calibri"/>
                <w:b/>
                <w:bCs/>
                <w:color w:val="auto"/>
                <w:sz w:val="22"/>
                <w:szCs w:val="22"/>
                <w:lang w:val="en-GB" w:eastAsia="en-GB"/>
              </w:rPr>
              <w:t>studies</w:t>
            </w:r>
          </w:p>
        </w:tc>
      </w:tr>
      <w:tr w:rsidR="005E1386" w:rsidRPr="00A53C0D" w14:paraId="31C82428" w14:textId="77777777" w:rsidTr="0042136E">
        <w:trPr>
          <w:trHeight w:val="301"/>
        </w:trPr>
        <w:tc>
          <w:tcPr>
            <w:tcW w:w="2638" w:type="dxa"/>
            <w:tcBorders>
              <w:top w:val="nil"/>
              <w:left w:val="single" w:sz="8" w:space="0" w:color="auto"/>
              <w:bottom w:val="single" w:sz="8" w:space="0" w:color="auto"/>
              <w:right w:val="single" w:sz="4" w:space="0" w:color="auto"/>
            </w:tcBorders>
            <w:hideMark/>
          </w:tcPr>
          <w:p w14:paraId="1988A0B9"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Brooks_2023</w:t>
            </w:r>
          </w:p>
        </w:tc>
        <w:tc>
          <w:tcPr>
            <w:tcW w:w="622" w:type="dxa"/>
            <w:tcBorders>
              <w:top w:val="nil"/>
              <w:left w:val="nil"/>
              <w:bottom w:val="single" w:sz="8" w:space="0" w:color="auto"/>
              <w:right w:val="single" w:sz="4" w:space="0" w:color="auto"/>
            </w:tcBorders>
            <w:shd w:val="clear" w:color="000000" w:fill="C6E0B4"/>
            <w:hideMark/>
          </w:tcPr>
          <w:p w14:paraId="298A87BD"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8" w:space="0" w:color="auto"/>
              <w:right w:val="single" w:sz="4" w:space="0" w:color="auto"/>
            </w:tcBorders>
            <w:shd w:val="clear" w:color="000000" w:fill="C6E0B4"/>
            <w:hideMark/>
          </w:tcPr>
          <w:p w14:paraId="42862FC8"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8" w:space="0" w:color="auto"/>
              <w:right w:val="single" w:sz="4" w:space="0" w:color="auto"/>
            </w:tcBorders>
            <w:shd w:val="clear" w:color="000000" w:fill="FFC7CE"/>
            <w:hideMark/>
          </w:tcPr>
          <w:p w14:paraId="30E3E87E"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8" w:space="0" w:color="auto"/>
              <w:right w:val="single" w:sz="4" w:space="0" w:color="auto"/>
            </w:tcBorders>
            <w:shd w:val="clear" w:color="000000" w:fill="FFC7CE"/>
            <w:hideMark/>
          </w:tcPr>
          <w:p w14:paraId="325B05A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8" w:space="0" w:color="auto"/>
              <w:right w:val="single" w:sz="4" w:space="0" w:color="auto"/>
            </w:tcBorders>
            <w:shd w:val="clear" w:color="000000" w:fill="FFC7CE"/>
            <w:hideMark/>
          </w:tcPr>
          <w:p w14:paraId="68F40C37"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single" w:sz="4" w:space="0" w:color="auto"/>
              <w:bottom w:val="single" w:sz="8" w:space="0" w:color="auto"/>
              <w:right w:val="single" w:sz="4" w:space="0" w:color="auto"/>
            </w:tcBorders>
            <w:shd w:val="clear" w:color="000000" w:fill="FFC7CE"/>
            <w:hideMark/>
          </w:tcPr>
          <w:p w14:paraId="75857730"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8" w:space="0" w:color="auto"/>
              <w:right w:val="single" w:sz="4" w:space="0" w:color="auto"/>
            </w:tcBorders>
            <w:shd w:val="clear" w:color="000000" w:fill="C6E0B4"/>
            <w:hideMark/>
          </w:tcPr>
          <w:p w14:paraId="1C3A6B25"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nil"/>
              <w:bottom w:val="single" w:sz="8" w:space="0" w:color="auto"/>
              <w:right w:val="single" w:sz="4" w:space="0" w:color="auto"/>
            </w:tcBorders>
            <w:shd w:val="clear" w:color="000000" w:fill="C6E0B4"/>
            <w:hideMark/>
          </w:tcPr>
          <w:p w14:paraId="082D23EA"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8" w:space="0" w:color="auto"/>
              <w:right w:val="single" w:sz="4" w:space="0" w:color="auto"/>
            </w:tcBorders>
            <w:shd w:val="clear" w:color="000000" w:fill="FFC7CE"/>
            <w:hideMark/>
          </w:tcPr>
          <w:p w14:paraId="46C787B2"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2" w:type="dxa"/>
            <w:tcBorders>
              <w:top w:val="nil"/>
              <w:left w:val="nil"/>
              <w:bottom w:val="single" w:sz="8" w:space="0" w:color="auto"/>
              <w:right w:val="single" w:sz="4" w:space="0" w:color="auto"/>
            </w:tcBorders>
            <w:shd w:val="clear" w:color="000000" w:fill="C6E0B4"/>
            <w:hideMark/>
          </w:tcPr>
          <w:p w14:paraId="6FADA0A3" w14:textId="77777777" w:rsidR="005E1386" w:rsidRPr="00A53C0D" w:rsidRDefault="005E1386" w:rsidP="0042136E">
            <w:pPr>
              <w:spacing w:before="0" w:after="0" w:line="240" w:lineRule="auto"/>
              <w:rPr>
                <w:rFonts w:ascii="Calibri" w:eastAsia="Times New Roman" w:hAnsi="Calibri" w:cs="Calibri"/>
                <w:color w:val="auto"/>
                <w:sz w:val="22"/>
                <w:szCs w:val="22"/>
                <w:lang w:val="en-GB" w:eastAsia="en-GB"/>
              </w:rPr>
            </w:pPr>
            <w:r w:rsidRPr="00A53C0D">
              <w:rPr>
                <w:rFonts w:ascii="Calibri" w:eastAsia="Times New Roman" w:hAnsi="Calibri" w:cs="Calibri"/>
                <w:color w:val="auto"/>
                <w:sz w:val="22"/>
                <w:szCs w:val="22"/>
                <w:lang w:val="en-GB" w:eastAsia="en-GB"/>
              </w:rPr>
              <w:t>yes</w:t>
            </w:r>
          </w:p>
        </w:tc>
        <w:tc>
          <w:tcPr>
            <w:tcW w:w="622" w:type="dxa"/>
            <w:tcBorders>
              <w:top w:val="nil"/>
              <w:left w:val="single" w:sz="4" w:space="0" w:color="auto"/>
              <w:bottom w:val="single" w:sz="8" w:space="0" w:color="auto"/>
              <w:right w:val="single" w:sz="4" w:space="0" w:color="auto"/>
            </w:tcBorders>
            <w:shd w:val="clear" w:color="000000" w:fill="FFC7CE"/>
            <w:hideMark/>
          </w:tcPr>
          <w:p w14:paraId="72F87969"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c>
          <w:tcPr>
            <w:tcW w:w="624" w:type="dxa"/>
            <w:tcBorders>
              <w:top w:val="nil"/>
              <w:left w:val="single" w:sz="4" w:space="0" w:color="auto"/>
              <w:bottom w:val="single" w:sz="8" w:space="0" w:color="auto"/>
              <w:right w:val="single" w:sz="8" w:space="0" w:color="auto"/>
            </w:tcBorders>
            <w:shd w:val="clear" w:color="000000" w:fill="FFC7CE"/>
            <w:hideMark/>
          </w:tcPr>
          <w:p w14:paraId="41569613" w14:textId="77777777" w:rsidR="005E1386" w:rsidRPr="00A53C0D" w:rsidRDefault="005E1386" w:rsidP="0042136E">
            <w:pPr>
              <w:spacing w:before="0" w:after="0" w:line="240" w:lineRule="auto"/>
              <w:rPr>
                <w:rFonts w:ascii="Calibri" w:eastAsia="Times New Roman" w:hAnsi="Calibri" w:cs="Calibri"/>
                <w:color w:val="9C0006"/>
                <w:sz w:val="22"/>
                <w:szCs w:val="22"/>
                <w:lang w:val="en-GB" w:eastAsia="en-GB"/>
              </w:rPr>
            </w:pPr>
            <w:r w:rsidRPr="00A53C0D">
              <w:rPr>
                <w:rFonts w:ascii="Calibri" w:eastAsia="Times New Roman" w:hAnsi="Calibri" w:cs="Calibri"/>
                <w:color w:val="9C0006"/>
                <w:sz w:val="22"/>
                <w:szCs w:val="22"/>
                <w:lang w:val="en-GB" w:eastAsia="en-GB"/>
              </w:rPr>
              <w:t>nr</w:t>
            </w:r>
          </w:p>
        </w:tc>
      </w:tr>
    </w:tbl>
    <w:p w14:paraId="661FD06C" w14:textId="77777777" w:rsidR="005E1386" w:rsidRPr="006F2708" w:rsidRDefault="005E1386" w:rsidP="005E1386">
      <w:pPr>
        <w:jc w:val="both"/>
        <w:rPr>
          <w:color w:val="000000" w:themeColor="text1"/>
          <w:sz w:val="18"/>
          <w:szCs w:val="16"/>
          <w:lang w:val="en-US"/>
        </w:rPr>
      </w:pPr>
      <w:r w:rsidRPr="006F2708">
        <w:rPr>
          <w:b/>
          <w:color w:val="000000" w:themeColor="text1"/>
          <w:sz w:val="18"/>
          <w:szCs w:val="16"/>
          <w:lang w:val="en-US"/>
        </w:rPr>
        <w:t>Legend</w:t>
      </w:r>
      <w:r w:rsidRPr="006F2708">
        <w:rPr>
          <w:color w:val="000000" w:themeColor="text1"/>
          <w:sz w:val="18"/>
          <w:szCs w:val="16"/>
          <w:lang w:val="en-US"/>
        </w:rPr>
        <w:t xml:space="preserve">: nr = not reported, *work including employment status, (un)employment rate, working environment, </w:t>
      </w:r>
      <w:r w:rsidRPr="006F2708">
        <w:rPr>
          <w:color w:val="000000" w:themeColor="text1"/>
          <w:sz w:val="18"/>
          <w:szCs w:val="16"/>
          <w:vertAlign w:val="superscript"/>
          <w:lang w:val="en-US"/>
        </w:rPr>
        <w:t>1</w:t>
      </w:r>
      <w:r w:rsidRPr="006F2708">
        <w:rPr>
          <w:color w:val="000000" w:themeColor="text1"/>
          <w:sz w:val="18"/>
          <w:szCs w:val="16"/>
          <w:lang w:val="en-US"/>
        </w:rPr>
        <w:t>These studies only reported outcomes for one subpopulation (with no comparison).</w:t>
      </w:r>
    </w:p>
    <w:p w14:paraId="359626C3" w14:textId="77777777" w:rsidR="007B2335" w:rsidRDefault="007B2335"/>
    <w:sectPr w:rsidR="007B2335" w:rsidSect="00C864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9A6B" w14:textId="77777777" w:rsidR="005E1386" w:rsidRDefault="005E1386">
    <w:pPr>
      <w:pStyle w:val="Fuzeile1"/>
    </w:pPr>
    <w:r>
      <w:t xml:space="preserve">Seite </w:t>
    </w:r>
    <w:r>
      <w:fldChar w:fldCharType="begin"/>
    </w:r>
    <w:r>
      <w:instrText xml:space="preserve"> page </w:instrText>
    </w:r>
    <w:r>
      <w:fldChar w:fldCharType="separate"/>
    </w:r>
    <w:r>
      <w:rPr>
        <w:noProof/>
      </w:rPr>
      <w:t>22</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9C2"/>
    <w:multiLevelType w:val="hybridMultilevel"/>
    <w:tmpl w:val="0809001D"/>
    <w:lvl w:ilvl="0" w:tplc="95C411A0">
      <w:start w:val="1"/>
      <w:numFmt w:val="decimal"/>
      <w:lvlText w:val="%1)"/>
      <w:lvlJc w:val="left"/>
      <w:pPr>
        <w:ind w:left="360" w:hanging="360"/>
      </w:pPr>
    </w:lvl>
    <w:lvl w:ilvl="1" w:tplc="6C00BE86">
      <w:start w:val="1"/>
      <w:numFmt w:val="lowerLetter"/>
      <w:lvlText w:val="%2)"/>
      <w:lvlJc w:val="left"/>
      <w:pPr>
        <w:ind w:left="720" w:hanging="360"/>
      </w:pPr>
    </w:lvl>
    <w:lvl w:ilvl="2" w:tplc="A04CF43A">
      <w:start w:val="1"/>
      <w:numFmt w:val="lowerRoman"/>
      <w:lvlText w:val="%3)"/>
      <w:lvlJc w:val="left"/>
      <w:pPr>
        <w:ind w:left="1080" w:hanging="360"/>
      </w:pPr>
    </w:lvl>
    <w:lvl w:ilvl="3" w:tplc="1A549020">
      <w:start w:val="1"/>
      <w:numFmt w:val="decimal"/>
      <w:lvlText w:val="(%4)"/>
      <w:lvlJc w:val="left"/>
      <w:pPr>
        <w:ind w:left="1440" w:hanging="360"/>
      </w:pPr>
    </w:lvl>
    <w:lvl w:ilvl="4" w:tplc="A948CB98">
      <w:start w:val="1"/>
      <w:numFmt w:val="lowerLetter"/>
      <w:lvlText w:val="(%5)"/>
      <w:lvlJc w:val="left"/>
      <w:pPr>
        <w:ind w:left="1800" w:hanging="360"/>
      </w:pPr>
    </w:lvl>
    <w:lvl w:ilvl="5" w:tplc="3F365F30">
      <w:start w:val="1"/>
      <w:numFmt w:val="lowerRoman"/>
      <w:lvlText w:val="(%6)"/>
      <w:lvlJc w:val="left"/>
      <w:pPr>
        <w:ind w:left="2160" w:hanging="360"/>
      </w:pPr>
    </w:lvl>
    <w:lvl w:ilvl="6" w:tplc="19DECF44">
      <w:start w:val="1"/>
      <w:numFmt w:val="decimal"/>
      <w:lvlText w:val="%7."/>
      <w:lvlJc w:val="left"/>
      <w:pPr>
        <w:ind w:left="2520" w:hanging="360"/>
      </w:pPr>
    </w:lvl>
    <w:lvl w:ilvl="7" w:tplc="F81CEBA0">
      <w:start w:val="1"/>
      <w:numFmt w:val="lowerLetter"/>
      <w:lvlText w:val="%8."/>
      <w:lvlJc w:val="left"/>
      <w:pPr>
        <w:ind w:left="2880" w:hanging="360"/>
      </w:pPr>
    </w:lvl>
    <w:lvl w:ilvl="8" w:tplc="08B215DE">
      <w:start w:val="1"/>
      <w:numFmt w:val="lowerRoman"/>
      <w:lvlText w:val="%9."/>
      <w:lvlJc w:val="left"/>
      <w:pPr>
        <w:ind w:left="3240" w:hanging="360"/>
      </w:pPr>
    </w:lvl>
  </w:abstractNum>
  <w:abstractNum w:abstractNumId="1" w15:restartNumberingAfterBreak="0">
    <w:nsid w:val="04235186"/>
    <w:multiLevelType w:val="multilevel"/>
    <w:tmpl w:val="93C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26F52"/>
    <w:multiLevelType w:val="hybridMultilevel"/>
    <w:tmpl w:val="EEFAA75A"/>
    <w:lvl w:ilvl="0" w:tplc="DBB06CBA">
      <w:start w:val="1"/>
      <w:numFmt w:val="decimal"/>
      <w:lvlText w:val="%1."/>
      <w:lvlJc w:val="left"/>
      <w:pPr>
        <w:tabs>
          <w:tab w:val="num" w:pos="1440"/>
        </w:tabs>
        <w:ind w:left="1440" w:hanging="360"/>
      </w:pPr>
    </w:lvl>
    <w:lvl w:ilvl="1" w:tplc="B64ACA42">
      <w:start w:val="1"/>
      <w:numFmt w:val="bullet"/>
      <w:lvlText w:val="o"/>
      <w:lvlJc w:val="left"/>
      <w:pPr>
        <w:ind w:left="1440" w:hanging="360"/>
      </w:pPr>
      <w:rPr>
        <w:rFonts w:ascii="Courier New" w:eastAsia="Courier New" w:hAnsi="Courier New" w:cs="Courier New" w:hint="default"/>
      </w:rPr>
    </w:lvl>
    <w:lvl w:ilvl="2" w:tplc="BF444D42">
      <w:start w:val="1"/>
      <w:numFmt w:val="bullet"/>
      <w:lvlText w:val="§"/>
      <w:lvlJc w:val="left"/>
      <w:pPr>
        <w:ind w:left="2160" w:hanging="360"/>
      </w:pPr>
      <w:rPr>
        <w:rFonts w:ascii="Wingdings" w:eastAsia="Wingdings" w:hAnsi="Wingdings" w:cs="Wingdings" w:hint="default"/>
      </w:rPr>
    </w:lvl>
    <w:lvl w:ilvl="3" w:tplc="2DA09FBC">
      <w:start w:val="1"/>
      <w:numFmt w:val="bullet"/>
      <w:lvlText w:val="·"/>
      <w:lvlJc w:val="left"/>
      <w:pPr>
        <w:ind w:left="2880" w:hanging="360"/>
      </w:pPr>
      <w:rPr>
        <w:rFonts w:ascii="Symbol" w:eastAsia="Symbol" w:hAnsi="Symbol" w:cs="Symbol" w:hint="default"/>
      </w:rPr>
    </w:lvl>
    <w:lvl w:ilvl="4" w:tplc="7F7E6A54">
      <w:start w:val="1"/>
      <w:numFmt w:val="bullet"/>
      <w:lvlText w:val="o"/>
      <w:lvlJc w:val="left"/>
      <w:pPr>
        <w:ind w:left="3600" w:hanging="360"/>
      </w:pPr>
      <w:rPr>
        <w:rFonts w:ascii="Courier New" w:eastAsia="Courier New" w:hAnsi="Courier New" w:cs="Courier New" w:hint="default"/>
      </w:rPr>
    </w:lvl>
    <w:lvl w:ilvl="5" w:tplc="A454C944">
      <w:start w:val="1"/>
      <w:numFmt w:val="bullet"/>
      <w:lvlText w:val="§"/>
      <w:lvlJc w:val="left"/>
      <w:pPr>
        <w:ind w:left="4320" w:hanging="360"/>
      </w:pPr>
      <w:rPr>
        <w:rFonts w:ascii="Wingdings" w:eastAsia="Wingdings" w:hAnsi="Wingdings" w:cs="Wingdings" w:hint="default"/>
      </w:rPr>
    </w:lvl>
    <w:lvl w:ilvl="6" w:tplc="AE162E32">
      <w:start w:val="1"/>
      <w:numFmt w:val="bullet"/>
      <w:lvlText w:val="·"/>
      <w:lvlJc w:val="left"/>
      <w:pPr>
        <w:ind w:left="5040" w:hanging="360"/>
      </w:pPr>
      <w:rPr>
        <w:rFonts w:ascii="Symbol" w:eastAsia="Symbol" w:hAnsi="Symbol" w:cs="Symbol" w:hint="default"/>
      </w:rPr>
    </w:lvl>
    <w:lvl w:ilvl="7" w:tplc="AC606B9E">
      <w:start w:val="1"/>
      <w:numFmt w:val="bullet"/>
      <w:lvlText w:val="o"/>
      <w:lvlJc w:val="left"/>
      <w:pPr>
        <w:ind w:left="5760" w:hanging="360"/>
      </w:pPr>
      <w:rPr>
        <w:rFonts w:ascii="Courier New" w:eastAsia="Courier New" w:hAnsi="Courier New" w:cs="Courier New" w:hint="default"/>
      </w:rPr>
    </w:lvl>
    <w:lvl w:ilvl="8" w:tplc="2592BF76">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93B481C"/>
    <w:multiLevelType w:val="hybridMultilevel"/>
    <w:tmpl w:val="2F205674"/>
    <w:lvl w:ilvl="0" w:tplc="08D633C4">
      <w:start w:val="1"/>
      <w:numFmt w:val="decimal"/>
      <w:lvlText w:val="%1."/>
      <w:lvlJc w:val="left"/>
      <w:pPr>
        <w:tabs>
          <w:tab w:val="num" w:pos="360"/>
        </w:tabs>
        <w:ind w:left="360" w:hanging="360"/>
      </w:pPr>
    </w:lvl>
    <w:lvl w:ilvl="1" w:tplc="410CC2DE">
      <w:start w:val="1"/>
      <w:numFmt w:val="bullet"/>
      <w:lvlText w:val="o"/>
      <w:lvlJc w:val="left"/>
      <w:pPr>
        <w:ind w:left="1440" w:hanging="360"/>
      </w:pPr>
      <w:rPr>
        <w:rFonts w:ascii="Courier New" w:eastAsia="Courier New" w:hAnsi="Courier New" w:cs="Courier New" w:hint="default"/>
      </w:rPr>
    </w:lvl>
    <w:lvl w:ilvl="2" w:tplc="77F4676E">
      <w:start w:val="1"/>
      <w:numFmt w:val="bullet"/>
      <w:lvlText w:val="§"/>
      <w:lvlJc w:val="left"/>
      <w:pPr>
        <w:ind w:left="2160" w:hanging="360"/>
      </w:pPr>
      <w:rPr>
        <w:rFonts w:ascii="Wingdings" w:eastAsia="Wingdings" w:hAnsi="Wingdings" w:cs="Wingdings" w:hint="default"/>
      </w:rPr>
    </w:lvl>
    <w:lvl w:ilvl="3" w:tplc="66B48C36">
      <w:start w:val="1"/>
      <w:numFmt w:val="bullet"/>
      <w:lvlText w:val="·"/>
      <w:lvlJc w:val="left"/>
      <w:pPr>
        <w:ind w:left="2880" w:hanging="360"/>
      </w:pPr>
      <w:rPr>
        <w:rFonts w:ascii="Symbol" w:eastAsia="Symbol" w:hAnsi="Symbol" w:cs="Symbol" w:hint="default"/>
      </w:rPr>
    </w:lvl>
    <w:lvl w:ilvl="4" w:tplc="920ECD2C">
      <w:start w:val="1"/>
      <w:numFmt w:val="bullet"/>
      <w:lvlText w:val="o"/>
      <w:lvlJc w:val="left"/>
      <w:pPr>
        <w:ind w:left="3600" w:hanging="360"/>
      </w:pPr>
      <w:rPr>
        <w:rFonts w:ascii="Courier New" w:eastAsia="Courier New" w:hAnsi="Courier New" w:cs="Courier New" w:hint="default"/>
      </w:rPr>
    </w:lvl>
    <w:lvl w:ilvl="5" w:tplc="873C9886">
      <w:start w:val="1"/>
      <w:numFmt w:val="bullet"/>
      <w:lvlText w:val="§"/>
      <w:lvlJc w:val="left"/>
      <w:pPr>
        <w:ind w:left="4320" w:hanging="360"/>
      </w:pPr>
      <w:rPr>
        <w:rFonts w:ascii="Wingdings" w:eastAsia="Wingdings" w:hAnsi="Wingdings" w:cs="Wingdings" w:hint="default"/>
      </w:rPr>
    </w:lvl>
    <w:lvl w:ilvl="6" w:tplc="B868237A">
      <w:start w:val="1"/>
      <w:numFmt w:val="bullet"/>
      <w:lvlText w:val="·"/>
      <w:lvlJc w:val="left"/>
      <w:pPr>
        <w:ind w:left="5040" w:hanging="360"/>
      </w:pPr>
      <w:rPr>
        <w:rFonts w:ascii="Symbol" w:eastAsia="Symbol" w:hAnsi="Symbol" w:cs="Symbol" w:hint="default"/>
      </w:rPr>
    </w:lvl>
    <w:lvl w:ilvl="7" w:tplc="5C9AD4CC">
      <w:start w:val="1"/>
      <w:numFmt w:val="bullet"/>
      <w:lvlText w:val="o"/>
      <w:lvlJc w:val="left"/>
      <w:pPr>
        <w:ind w:left="5760" w:hanging="360"/>
      </w:pPr>
      <w:rPr>
        <w:rFonts w:ascii="Courier New" w:eastAsia="Courier New" w:hAnsi="Courier New" w:cs="Courier New" w:hint="default"/>
      </w:rPr>
    </w:lvl>
    <w:lvl w:ilvl="8" w:tplc="56A66FB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FA01FBD"/>
    <w:multiLevelType w:val="hybridMultilevel"/>
    <w:tmpl w:val="89D2D34C"/>
    <w:lvl w:ilvl="0" w:tplc="C3C846A4">
      <w:start w:val="1"/>
      <w:numFmt w:val="decimal"/>
      <w:lvlText w:val="%1."/>
      <w:lvlJc w:val="left"/>
      <w:pPr>
        <w:tabs>
          <w:tab w:val="num" w:pos="720"/>
        </w:tabs>
        <w:ind w:left="720" w:hanging="360"/>
      </w:pPr>
    </w:lvl>
    <w:lvl w:ilvl="1" w:tplc="97F06C80">
      <w:start w:val="1"/>
      <w:numFmt w:val="bullet"/>
      <w:lvlText w:val="o"/>
      <w:lvlJc w:val="left"/>
      <w:pPr>
        <w:ind w:left="1440" w:hanging="360"/>
      </w:pPr>
      <w:rPr>
        <w:rFonts w:ascii="Courier New" w:eastAsia="Courier New" w:hAnsi="Courier New" w:cs="Courier New" w:hint="default"/>
      </w:rPr>
    </w:lvl>
    <w:lvl w:ilvl="2" w:tplc="002257CE">
      <w:start w:val="1"/>
      <w:numFmt w:val="bullet"/>
      <w:lvlText w:val="§"/>
      <w:lvlJc w:val="left"/>
      <w:pPr>
        <w:ind w:left="2160" w:hanging="360"/>
      </w:pPr>
      <w:rPr>
        <w:rFonts w:ascii="Wingdings" w:eastAsia="Wingdings" w:hAnsi="Wingdings" w:cs="Wingdings" w:hint="default"/>
      </w:rPr>
    </w:lvl>
    <w:lvl w:ilvl="3" w:tplc="DAA465FC">
      <w:start w:val="1"/>
      <w:numFmt w:val="bullet"/>
      <w:lvlText w:val="·"/>
      <w:lvlJc w:val="left"/>
      <w:pPr>
        <w:ind w:left="2880" w:hanging="360"/>
      </w:pPr>
      <w:rPr>
        <w:rFonts w:ascii="Symbol" w:eastAsia="Symbol" w:hAnsi="Symbol" w:cs="Symbol" w:hint="default"/>
      </w:rPr>
    </w:lvl>
    <w:lvl w:ilvl="4" w:tplc="12EE892C">
      <w:start w:val="1"/>
      <w:numFmt w:val="bullet"/>
      <w:lvlText w:val="o"/>
      <w:lvlJc w:val="left"/>
      <w:pPr>
        <w:ind w:left="3600" w:hanging="360"/>
      </w:pPr>
      <w:rPr>
        <w:rFonts w:ascii="Courier New" w:eastAsia="Courier New" w:hAnsi="Courier New" w:cs="Courier New" w:hint="default"/>
      </w:rPr>
    </w:lvl>
    <w:lvl w:ilvl="5" w:tplc="C040DBC4">
      <w:start w:val="1"/>
      <w:numFmt w:val="bullet"/>
      <w:lvlText w:val="§"/>
      <w:lvlJc w:val="left"/>
      <w:pPr>
        <w:ind w:left="4320" w:hanging="360"/>
      </w:pPr>
      <w:rPr>
        <w:rFonts w:ascii="Wingdings" w:eastAsia="Wingdings" w:hAnsi="Wingdings" w:cs="Wingdings" w:hint="default"/>
      </w:rPr>
    </w:lvl>
    <w:lvl w:ilvl="6" w:tplc="670A676E">
      <w:start w:val="1"/>
      <w:numFmt w:val="bullet"/>
      <w:lvlText w:val="·"/>
      <w:lvlJc w:val="left"/>
      <w:pPr>
        <w:ind w:left="5040" w:hanging="360"/>
      </w:pPr>
      <w:rPr>
        <w:rFonts w:ascii="Symbol" w:eastAsia="Symbol" w:hAnsi="Symbol" w:cs="Symbol" w:hint="default"/>
      </w:rPr>
    </w:lvl>
    <w:lvl w:ilvl="7" w:tplc="82627066">
      <w:start w:val="1"/>
      <w:numFmt w:val="bullet"/>
      <w:lvlText w:val="o"/>
      <w:lvlJc w:val="left"/>
      <w:pPr>
        <w:ind w:left="5760" w:hanging="360"/>
      </w:pPr>
      <w:rPr>
        <w:rFonts w:ascii="Courier New" w:eastAsia="Courier New" w:hAnsi="Courier New" w:cs="Courier New" w:hint="default"/>
      </w:rPr>
    </w:lvl>
    <w:lvl w:ilvl="8" w:tplc="8E3AB074">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9A46F46"/>
    <w:multiLevelType w:val="multilevel"/>
    <w:tmpl w:val="26341E5C"/>
    <w:styleLink w:val="Jahresbericht"/>
    <w:lvl w:ilvl="0">
      <w:start w:val="1"/>
      <w:numFmt w:val="decimal"/>
      <w:pStyle w:val="Jahresbericht"/>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830E75"/>
    <w:multiLevelType w:val="hybridMultilevel"/>
    <w:tmpl w:val="64A0ED42"/>
    <w:lvl w:ilvl="0" w:tplc="8558273A">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6C04201"/>
    <w:multiLevelType w:val="hybridMultilevel"/>
    <w:tmpl w:val="D59EA36E"/>
    <w:lvl w:ilvl="0" w:tplc="50B6E938">
      <w:start w:val="1"/>
      <w:numFmt w:val="bullet"/>
      <w:lvlText w:val="-"/>
      <w:lvlJc w:val="left"/>
      <w:pPr>
        <w:tabs>
          <w:tab w:val="num" w:pos="936"/>
        </w:tabs>
        <w:ind w:left="936" w:hanging="216"/>
      </w:pPr>
      <w:rPr>
        <w:rFonts w:ascii="Cambria" w:hAnsi="Cambria" w:hint="default"/>
      </w:rPr>
    </w:lvl>
    <w:lvl w:ilvl="1" w:tplc="C4FEC5F6">
      <w:start w:val="1"/>
      <w:numFmt w:val="bullet"/>
      <w:lvlText w:val="o"/>
      <w:lvlJc w:val="left"/>
      <w:pPr>
        <w:ind w:left="1440" w:hanging="360"/>
      </w:pPr>
      <w:rPr>
        <w:rFonts w:ascii="Courier New" w:hAnsi="Courier New" w:cs="Courier New" w:hint="default"/>
      </w:rPr>
    </w:lvl>
    <w:lvl w:ilvl="2" w:tplc="17740812">
      <w:start w:val="1"/>
      <w:numFmt w:val="bullet"/>
      <w:lvlText w:val=""/>
      <w:lvlJc w:val="left"/>
      <w:pPr>
        <w:ind w:left="2160" w:hanging="360"/>
      </w:pPr>
      <w:rPr>
        <w:rFonts w:ascii="Wingdings" w:hAnsi="Wingdings" w:hint="default"/>
      </w:rPr>
    </w:lvl>
    <w:lvl w:ilvl="3" w:tplc="0F9072A4">
      <w:start w:val="1"/>
      <w:numFmt w:val="bullet"/>
      <w:lvlText w:val=""/>
      <w:lvlJc w:val="left"/>
      <w:pPr>
        <w:ind w:left="2880" w:hanging="360"/>
      </w:pPr>
      <w:rPr>
        <w:rFonts w:ascii="Symbol" w:hAnsi="Symbol" w:hint="default"/>
      </w:rPr>
    </w:lvl>
    <w:lvl w:ilvl="4" w:tplc="76BEBED8">
      <w:start w:val="1"/>
      <w:numFmt w:val="bullet"/>
      <w:lvlText w:val="o"/>
      <w:lvlJc w:val="left"/>
      <w:pPr>
        <w:ind w:left="3600" w:hanging="360"/>
      </w:pPr>
      <w:rPr>
        <w:rFonts w:ascii="Courier New" w:hAnsi="Courier New" w:cs="Courier New" w:hint="default"/>
      </w:rPr>
    </w:lvl>
    <w:lvl w:ilvl="5" w:tplc="E1923672">
      <w:start w:val="1"/>
      <w:numFmt w:val="bullet"/>
      <w:lvlText w:val=""/>
      <w:lvlJc w:val="left"/>
      <w:pPr>
        <w:ind w:left="4320" w:hanging="360"/>
      </w:pPr>
      <w:rPr>
        <w:rFonts w:ascii="Wingdings" w:hAnsi="Wingdings" w:hint="default"/>
      </w:rPr>
    </w:lvl>
    <w:lvl w:ilvl="6" w:tplc="1DC2F712">
      <w:start w:val="1"/>
      <w:numFmt w:val="bullet"/>
      <w:lvlText w:val=""/>
      <w:lvlJc w:val="left"/>
      <w:pPr>
        <w:ind w:left="5040" w:hanging="360"/>
      </w:pPr>
      <w:rPr>
        <w:rFonts w:ascii="Symbol" w:hAnsi="Symbol" w:hint="default"/>
      </w:rPr>
    </w:lvl>
    <w:lvl w:ilvl="7" w:tplc="2CDC6B30">
      <w:start w:val="1"/>
      <w:numFmt w:val="bullet"/>
      <w:lvlText w:val="o"/>
      <w:lvlJc w:val="left"/>
      <w:pPr>
        <w:ind w:left="5760" w:hanging="360"/>
      </w:pPr>
      <w:rPr>
        <w:rFonts w:ascii="Courier New" w:hAnsi="Courier New" w:cs="Courier New" w:hint="default"/>
      </w:rPr>
    </w:lvl>
    <w:lvl w:ilvl="8" w:tplc="A79ED3B2">
      <w:start w:val="1"/>
      <w:numFmt w:val="bullet"/>
      <w:lvlText w:val=""/>
      <w:lvlJc w:val="left"/>
      <w:pPr>
        <w:ind w:left="6480" w:hanging="360"/>
      </w:pPr>
      <w:rPr>
        <w:rFonts w:ascii="Wingdings" w:hAnsi="Wingdings" w:hint="default"/>
      </w:rPr>
    </w:lvl>
  </w:abstractNum>
  <w:abstractNum w:abstractNumId="8" w15:restartNumberingAfterBreak="0">
    <w:nsid w:val="280A5452"/>
    <w:multiLevelType w:val="hybridMultilevel"/>
    <w:tmpl w:val="0CBA7FD4"/>
    <w:lvl w:ilvl="0" w:tplc="A78C56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034E15"/>
    <w:multiLevelType w:val="hybridMultilevel"/>
    <w:tmpl w:val="96A4BE12"/>
    <w:lvl w:ilvl="0" w:tplc="5CDA9BF8">
      <w:start w:val="1"/>
      <w:numFmt w:val="bullet"/>
      <w:pStyle w:val="Aufzhlungszeichen1"/>
      <w:lvlText w:val="•"/>
      <w:lvlJc w:val="left"/>
      <w:pPr>
        <w:ind w:left="360" w:hanging="360"/>
      </w:pPr>
      <w:rPr>
        <w:rFonts w:ascii="Cambria" w:hAnsi="Cambria" w:hint="default"/>
        <w:color w:val="156082" w:themeColor="accent1"/>
      </w:rPr>
    </w:lvl>
    <w:lvl w:ilvl="1" w:tplc="FA262F32">
      <w:start w:val="1"/>
      <w:numFmt w:val="bullet"/>
      <w:lvlText w:val="o"/>
      <w:lvlJc w:val="left"/>
      <w:pPr>
        <w:ind w:left="1440" w:hanging="360"/>
      </w:pPr>
      <w:rPr>
        <w:rFonts w:ascii="Courier New" w:eastAsia="Courier New" w:hAnsi="Courier New" w:cs="Courier New" w:hint="default"/>
      </w:rPr>
    </w:lvl>
    <w:lvl w:ilvl="2" w:tplc="DC62166A">
      <w:start w:val="1"/>
      <w:numFmt w:val="bullet"/>
      <w:lvlText w:val="§"/>
      <w:lvlJc w:val="left"/>
      <w:pPr>
        <w:ind w:left="2160" w:hanging="360"/>
      </w:pPr>
      <w:rPr>
        <w:rFonts w:ascii="Wingdings" w:eastAsia="Wingdings" w:hAnsi="Wingdings" w:cs="Wingdings" w:hint="default"/>
      </w:rPr>
    </w:lvl>
    <w:lvl w:ilvl="3" w:tplc="4C722C72">
      <w:start w:val="1"/>
      <w:numFmt w:val="bullet"/>
      <w:lvlText w:val="·"/>
      <w:lvlJc w:val="left"/>
      <w:pPr>
        <w:ind w:left="2880" w:hanging="360"/>
      </w:pPr>
      <w:rPr>
        <w:rFonts w:ascii="Symbol" w:eastAsia="Symbol" w:hAnsi="Symbol" w:cs="Symbol" w:hint="default"/>
      </w:rPr>
    </w:lvl>
    <w:lvl w:ilvl="4" w:tplc="7F66F0B6">
      <w:start w:val="1"/>
      <w:numFmt w:val="bullet"/>
      <w:lvlText w:val="o"/>
      <w:lvlJc w:val="left"/>
      <w:pPr>
        <w:ind w:left="3600" w:hanging="360"/>
      </w:pPr>
      <w:rPr>
        <w:rFonts w:ascii="Courier New" w:eastAsia="Courier New" w:hAnsi="Courier New" w:cs="Courier New" w:hint="default"/>
      </w:rPr>
    </w:lvl>
    <w:lvl w:ilvl="5" w:tplc="FCDAF6B0">
      <w:start w:val="1"/>
      <w:numFmt w:val="bullet"/>
      <w:lvlText w:val="§"/>
      <w:lvlJc w:val="left"/>
      <w:pPr>
        <w:ind w:left="4320" w:hanging="360"/>
      </w:pPr>
      <w:rPr>
        <w:rFonts w:ascii="Wingdings" w:eastAsia="Wingdings" w:hAnsi="Wingdings" w:cs="Wingdings" w:hint="default"/>
      </w:rPr>
    </w:lvl>
    <w:lvl w:ilvl="6" w:tplc="6902FE60">
      <w:start w:val="1"/>
      <w:numFmt w:val="bullet"/>
      <w:lvlText w:val="·"/>
      <w:lvlJc w:val="left"/>
      <w:pPr>
        <w:ind w:left="5040" w:hanging="360"/>
      </w:pPr>
      <w:rPr>
        <w:rFonts w:ascii="Symbol" w:eastAsia="Symbol" w:hAnsi="Symbol" w:cs="Symbol" w:hint="default"/>
      </w:rPr>
    </w:lvl>
    <w:lvl w:ilvl="7" w:tplc="30A0D5EC">
      <w:start w:val="1"/>
      <w:numFmt w:val="bullet"/>
      <w:lvlText w:val="o"/>
      <w:lvlJc w:val="left"/>
      <w:pPr>
        <w:ind w:left="5760" w:hanging="360"/>
      </w:pPr>
      <w:rPr>
        <w:rFonts w:ascii="Courier New" w:eastAsia="Courier New" w:hAnsi="Courier New" w:cs="Courier New" w:hint="default"/>
      </w:rPr>
    </w:lvl>
    <w:lvl w:ilvl="8" w:tplc="4D52BA9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380C6AE5"/>
    <w:multiLevelType w:val="hybridMultilevel"/>
    <w:tmpl w:val="2D7EA9C2"/>
    <w:lvl w:ilvl="0" w:tplc="FE06CC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702ACB"/>
    <w:multiLevelType w:val="hybridMultilevel"/>
    <w:tmpl w:val="0809001D"/>
    <w:lvl w:ilvl="0" w:tplc="E8AA6F96">
      <w:start w:val="1"/>
      <w:numFmt w:val="decimal"/>
      <w:lvlText w:val="%1)"/>
      <w:lvlJc w:val="left"/>
      <w:pPr>
        <w:ind w:left="360" w:hanging="360"/>
      </w:pPr>
    </w:lvl>
    <w:lvl w:ilvl="1" w:tplc="5FC8EE14">
      <w:start w:val="1"/>
      <w:numFmt w:val="lowerLetter"/>
      <w:lvlText w:val="%2)"/>
      <w:lvlJc w:val="left"/>
      <w:pPr>
        <w:ind w:left="720" w:hanging="360"/>
      </w:pPr>
    </w:lvl>
    <w:lvl w:ilvl="2" w:tplc="1F4CED98">
      <w:start w:val="1"/>
      <w:numFmt w:val="lowerRoman"/>
      <w:lvlText w:val="%3)"/>
      <w:lvlJc w:val="left"/>
      <w:pPr>
        <w:ind w:left="1080" w:hanging="360"/>
      </w:pPr>
    </w:lvl>
    <w:lvl w:ilvl="3" w:tplc="5E56A834">
      <w:start w:val="1"/>
      <w:numFmt w:val="decimal"/>
      <w:lvlText w:val="(%4)"/>
      <w:lvlJc w:val="left"/>
      <w:pPr>
        <w:ind w:left="1440" w:hanging="360"/>
      </w:pPr>
    </w:lvl>
    <w:lvl w:ilvl="4" w:tplc="4E5A41D4">
      <w:start w:val="1"/>
      <w:numFmt w:val="lowerLetter"/>
      <w:lvlText w:val="(%5)"/>
      <w:lvlJc w:val="left"/>
      <w:pPr>
        <w:ind w:left="1800" w:hanging="360"/>
      </w:pPr>
    </w:lvl>
    <w:lvl w:ilvl="5" w:tplc="C3B81BEE">
      <w:start w:val="1"/>
      <w:numFmt w:val="lowerRoman"/>
      <w:lvlText w:val="(%6)"/>
      <w:lvlJc w:val="left"/>
      <w:pPr>
        <w:ind w:left="2160" w:hanging="360"/>
      </w:pPr>
    </w:lvl>
    <w:lvl w:ilvl="6" w:tplc="CFB25688">
      <w:start w:val="1"/>
      <w:numFmt w:val="decimal"/>
      <w:lvlText w:val="%7."/>
      <w:lvlJc w:val="left"/>
      <w:pPr>
        <w:ind w:left="2520" w:hanging="360"/>
      </w:pPr>
    </w:lvl>
    <w:lvl w:ilvl="7" w:tplc="3654C56A">
      <w:start w:val="1"/>
      <w:numFmt w:val="lowerLetter"/>
      <w:lvlText w:val="%8."/>
      <w:lvlJc w:val="left"/>
      <w:pPr>
        <w:ind w:left="2880" w:hanging="360"/>
      </w:pPr>
    </w:lvl>
    <w:lvl w:ilvl="8" w:tplc="048CA8C2">
      <w:start w:val="1"/>
      <w:numFmt w:val="lowerRoman"/>
      <w:lvlText w:val="%9."/>
      <w:lvlJc w:val="left"/>
      <w:pPr>
        <w:ind w:left="3240" w:hanging="360"/>
      </w:pPr>
    </w:lvl>
  </w:abstractNum>
  <w:abstractNum w:abstractNumId="12" w15:restartNumberingAfterBreak="0">
    <w:nsid w:val="4196546B"/>
    <w:multiLevelType w:val="hybridMultilevel"/>
    <w:tmpl w:val="9C446DE2"/>
    <w:lvl w:ilvl="0" w:tplc="03B82416">
      <w:start w:val="1"/>
      <w:numFmt w:val="decimal"/>
      <w:lvlText w:val="%1."/>
      <w:lvlJc w:val="left"/>
      <w:pPr>
        <w:tabs>
          <w:tab w:val="num" w:pos="1080"/>
        </w:tabs>
        <w:ind w:left="1080" w:hanging="360"/>
      </w:pPr>
    </w:lvl>
    <w:lvl w:ilvl="1" w:tplc="B560C59A">
      <w:start w:val="1"/>
      <w:numFmt w:val="bullet"/>
      <w:lvlText w:val="o"/>
      <w:lvlJc w:val="left"/>
      <w:pPr>
        <w:ind w:left="1440" w:hanging="360"/>
      </w:pPr>
      <w:rPr>
        <w:rFonts w:ascii="Courier New" w:eastAsia="Courier New" w:hAnsi="Courier New" w:cs="Courier New" w:hint="default"/>
      </w:rPr>
    </w:lvl>
    <w:lvl w:ilvl="2" w:tplc="32FE8926">
      <w:start w:val="1"/>
      <w:numFmt w:val="bullet"/>
      <w:lvlText w:val="§"/>
      <w:lvlJc w:val="left"/>
      <w:pPr>
        <w:ind w:left="2160" w:hanging="360"/>
      </w:pPr>
      <w:rPr>
        <w:rFonts w:ascii="Wingdings" w:eastAsia="Wingdings" w:hAnsi="Wingdings" w:cs="Wingdings" w:hint="default"/>
      </w:rPr>
    </w:lvl>
    <w:lvl w:ilvl="3" w:tplc="053ACAF4">
      <w:start w:val="1"/>
      <w:numFmt w:val="bullet"/>
      <w:lvlText w:val="·"/>
      <w:lvlJc w:val="left"/>
      <w:pPr>
        <w:ind w:left="2880" w:hanging="360"/>
      </w:pPr>
      <w:rPr>
        <w:rFonts w:ascii="Symbol" w:eastAsia="Symbol" w:hAnsi="Symbol" w:cs="Symbol" w:hint="default"/>
      </w:rPr>
    </w:lvl>
    <w:lvl w:ilvl="4" w:tplc="83E67FB0">
      <w:start w:val="1"/>
      <w:numFmt w:val="bullet"/>
      <w:lvlText w:val="o"/>
      <w:lvlJc w:val="left"/>
      <w:pPr>
        <w:ind w:left="3600" w:hanging="360"/>
      </w:pPr>
      <w:rPr>
        <w:rFonts w:ascii="Courier New" w:eastAsia="Courier New" w:hAnsi="Courier New" w:cs="Courier New" w:hint="default"/>
      </w:rPr>
    </w:lvl>
    <w:lvl w:ilvl="5" w:tplc="E604EBE2">
      <w:start w:val="1"/>
      <w:numFmt w:val="bullet"/>
      <w:lvlText w:val="§"/>
      <w:lvlJc w:val="left"/>
      <w:pPr>
        <w:ind w:left="4320" w:hanging="360"/>
      </w:pPr>
      <w:rPr>
        <w:rFonts w:ascii="Wingdings" w:eastAsia="Wingdings" w:hAnsi="Wingdings" w:cs="Wingdings" w:hint="default"/>
      </w:rPr>
    </w:lvl>
    <w:lvl w:ilvl="6" w:tplc="01964F04">
      <w:start w:val="1"/>
      <w:numFmt w:val="bullet"/>
      <w:lvlText w:val="·"/>
      <w:lvlJc w:val="left"/>
      <w:pPr>
        <w:ind w:left="5040" w:hanging="360"/>
      </w:pPr>
      <w:rPr>
        <w:rFonts w:ascii="Symbol" w:eastAsia="Symbol" w:hAnsi="Symbol" w:cs="Symbol" w:hint="default"/>
      </w:rPr>
    </w:lvl>
    <w:lvl w:ilvl="7" w:tplc="9F74CC9E">
      <w:start w:val="1"/>
      <w:numFmt w:val="bullet"/>
      <w:lvlText w:val="o"/>
      <w:lvlJc w:val="left"/>
      <w:pPr>
        <w:ind w:left="5760" w:hanging="360"/>
      </w:pPr>
      <w:rPr>
        <w:rFonts w:ascii="Courier New" w:eastAsia="Courier New" w:hAnsi="Courier New" w:cs="Courier New" w:hint="default"/>
      </w:rPr>
    </w:lvl>
    <w:lvl w:ilvl="8" w:tplc="615C7C32">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43FB3D9A"/>
    <w:multiLevelType w:val="hybridMultilevel"/>
    <w:tmpl w:val="DB8ACED0"/>
    <w:lvl w:ilvl="0" w:tplc="8C6A64F0">
      <w:start w:val="1"/>
      <w:numFmt w:val="bullet"/>
      <w:pStyle w:val="Aufzhlungszeichen31"/>
      <w:lvlText w:val=""/>
      <w:lvlJc w:val="left"/>
      <w:pPr>
        <w:tabs>
          <w:tab w:val="num" w:pos="1080"/>
        </w:tabs>
        <w:ind w:left="1080" w:hanging="360"/>
      </w:pPr>
      <w:rPr>
        <w:rFonts w:ascii="Symbol" w:hAnsi="Symbol" w:hint="default"/>
      </w:rPr>
    </w:lvl>
    <w:lvl w:ilvl="1" w:tplc="A6C8CC0E">
      <w:start w:val="1"/>
      <w:numFmt w:val="bullet"/>
      <w:lvlText w:val="o"/>
      <w:lvlJc w:val="left"/>
      <w:pPr>
        <w:ind w:left="1440" w:hanging="360"/>
      </w:pPr>
      <w:rPr>
        <w:rFonts w:ascii="Courier New" w:eastAsia="Courier New" w:hAnsi="Courier New" w:cs="Courier New" w:hint="default"/>
      </w:rPr>
    </w:lvl>
    <w:lvl w:ilvl="2" w:tplc="E05CD28E">
      <w:start w:val="1"/>
      <w:numFmt w:val="bullet"/>
      <w:lvlText w:val="§"/>
      <w:lvlJc w:val="left"/>
      <w:pPr>
        <w:ind w:left="2160" w:hanging="360"/>
      </w:pPr>
      <w:rPr>
        <w:rFonts w:ascii="Wingdings" w:eastAsia="Wingdings" w:hAnsi="Wingdings" w:cs="Wingdings" w:hint="default"/>
      </w:rPr>
    </w:lvl>
    <w:lvl w:ilvl="3" w:tplc="180A8A90">
      <w:start w:val="1"/>
      <w:numFmt w:val="bullet"/>
      <w:lvlText w:val="·"/>
      <w:lvlJc w:val="left"/>
      <w:pPr>
        <w:ind w:left="2880" w:hanging="360"/>
      </w:pPr>
      <w:rPr>
        <w:rFonts w:ascii="Symbol" w:eastAsia="Symbol" w:hAnsi="Symbol" w:cs="Symbol" w:hint="default"/>
      </w:rPr>
    </w:lvl>
    <w:lvl w:ilvl="4" w:tplc="40FEA604">
      <w:start w:val="1"/>
      <w:numFmt w:val="bullet"/>
      <w:lvlText w:val="o"/>
      <w:lvlJc w:val="left"/>
      <w:pPr>
        <w:ind w:left="3600" w:hanging="360"/>
      </w:pPr>
      <w:rPr>
        <w:rFonts w:ascii="Courier New" w:eastAsia="Courier New" w:hAnsi="Courier New" w:cs="Courier New" w:hint="default"/>
      </w:rPr>
    </w:lvl>
    <w:lvl w:ilvl="5" w:tplc="6C3E047C">
      <w:start w:val="1"/>
      <w:numFmt w:val="bullet"/>
      <w:lvlText w:val="§"/>
      <w:lvlJc w:val="left"/>
      <w:pPr>
        <w:ind w:left="4320" w:hanging="360"/>
      </w:pPr>
      <w:rPr>
        <w:rFonts w:ascii="Wingdings" w:eastAsia="Wingdings" w:hAnsi="Wingdings" w:cs="Wingdings" w:hint="default"/>
      </w:rPr>
    </w:lvl>
    <w:lvl w:ilvl="6" w:tplc="53FAFF36">
      <w:start w:val="1"/>
      <w:numFmt w:val="bullet"/>
      <w:lvlText w:val="·"/>
      <w:lvlJc w:val="left"/>
      <w:pPr>
        <w:ind w:left="5040" w:hanging="360"/>
      </w:pPr>
      <w:rPr>
        <w:rFonts w:ascii="Symbol" w:eastAsia="Symbol" w:hAnsi="Symbol" w:cs="Symbol" w:hint="default"/>
      </w:rPr>
    </w:lvl>
    <w:lvl w:ilvl="7" w:tplc="5B02B416">
      <w:start w:val="1"/>
      <w:numFmt w:val="bullet"/>
      <w:lvlText w:val="o"/>
      <w:lvlJc w:val="left"/>
      <w:pPr>
        <w:ind w:left="5760" w:hanging="360"/>
      </w:pPr>
      <w:rPr>
        <w:rFonts w:ascii="Courier New" w:eastAsia="Courier New" w:hAnsi="Courier New" w:cs="Courier New" w:hint="default"/>
      </w:rPr>
    </w:lvl>
    <w:lvl w:ilvl="8" w:tplc="49F0CF3C">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A6A1A99"/>
    <w:multiLevelType w:val="hybridMultilevel"/>
    <w:tmpl w:val="47063A2A"/>
    <w:lvl w:ilvl="0" w:tplc="1B363C8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BE01A9"/>
    <w:multiLevelType w:val="hybridMultilevel"/>
    <w:tmpl w:val="DEFC2780"/>
    <w:lvl w:ilvl="0" w:tplc="C512BC98">
      <w:start w:val="1"/>
      <w:numFmt w:val="bullet"/>
      <w:pStyle w:val="Aufzhlungszeichen41"/>
      <w:lvlText w:val=""/>
      <w:lvlJc w:val="left"/>
      <w:pPr>
        <w:tabs>
          <w:tab w:val="num" w:pos="1440"/>
        </w:tabs>
        <w:ind w:left="1440" w:hanging="360"/>
      </w:pPr>
      <w:rPr>
        <w:rFonts w:ascii="Symbol" w:hAnsi="Symbol" w:hint="default"/>
      </w:rPr>
    </w:lvl>
    <w:lvl w:ilvl="1" w:tplc="B450E7CC">
      <w:start w:val="1"/>
      <w:numFmt w:val="bullet"/>
      <w:lvlText w:val="o"/>
      <w:lvlJc w:val="left"/>
      <w:pPr>
        <w:ind w:left="1440" w:hanging="360"/>
      </w:pPr>
      <w:rPr>
        <w:rFonts w:ascii="Courier New" w:eastAsia="Courier New" w:hAnsi="Courier New" w:cs="Courier New" w:hint="default"/>
      </w:rPr>
    </w:lvl>
    <w:lvl w:ilvl="2" w:tplc="033C597A">
      <w:start w:val="1"/>
      <w:numFmt w:val="bullet"/>
      <w:lvlText w:val="§"/>
      <w:lvlJc w:val="left"/>
      <w:pPr>
        <w:ind w:left="2160" w:hanging="360"/>
      </w:pPr>
      <w:rPr>
        <w:rFonts w:ascii="Wingdings" w:eastAsia="Wingdings" w:hAnsi="Wingdings" w:cs="Wingdings" w:hint="default"/>
      </w:rPr>
    </w:lvl>
    <w:lvl w:ilvl="3" w:tplc="F344090A">
      <w:start w:val="1"/>
      <w:numFmt w:val="bullet"/>
      <w:lvlText w:val="·"/>
      <w:lvlJc w:val="left"/>
      <w:pPr>
        <w:ind w:left="2880" w:hanging="360"/>
      </w:pPr>
      <w:rPr>
        <w:rFonts w:ascii="Symbol" w:eastAsia="Symbol" w:hAnsi="Symbol" w:cs="Symbol" w:hint="default"/>
      </w:rPr>
    </w:lvl>
    <w:lvl w:ilvl="4" w:tplc="0060B5C8">
      <w:start w:val="1"/>
      <w:numFmt w:val="bullet"/>
      <w:lvlText w:val="o"/>
      <w:lvlJc w:val="left"/>
      <w:pPr>
        <w:ind w:left="3600" w:hanging="360"/>
      </w:pPr>
      <w:rPr>
        <w:rFonts w:ascii="Courier New" w:eastAsia="Courier New" w:hAnsi="Courier New" w:cs="Courier New" w:hint="default"/>
      </w:rPr>
    </w:lvl>
    <w:lvl w:ilvl="5" w:tplc="6660D310">
      <w:start w:val="1"/>
      <w:numFmt w:val="bullet"/>
      <w:lvlText w:val="§"/>
      <w:lvlJc w:val="left"/>
      <w:pPr>
        <w:ind w:left="4320" w:hanging="360"/>
      </w:pPr>
      <w:rPr>
        <w:rFonts w:ascii="Wingdings" w:eastAsia="Wingdings" w:hAnsi="Wingdings" w:cs="Wingdings" w:hint="default"/>
      </w:rPr>
    </w:lvl>
    <w:lvl w:ilvl="6" w:tplc="AD9266D0">
      <w:start w:val="1"/>
      <w:numFmt w:val="bullet"/>
      <w:lvlText w:val="·"/>
      <w:lvlJc w:val="left"/>
      <w:pPr>
        <w:ind w:left="5040" w:hanging="360"/>
      </w:pPr>
      <w:rPr>
        <w:rFonts w:ascii="Symbol" w:eastAsia="Symbol" w:hAnsi="Symbol" w:cs="Symbol" w:hint="default"/>
      </w:rPr>
    </w:lvl>
    <w:lvl w:ilvl="7" w:tplc="B51A2DA0">
      <w:start w:val="1"/>
      <w:numFmt w:val="bullet"/>
      <w:lvlText w:val="o"/>
      <w:lvlJc w:val="left"/>
      <w:pPr>
        <w:ind w:left="5760" w:hanging="360"/>
      </w:pPr>
      <w:rPr>
        <w:rFonts w:ascii="Courier New" w:eastAsia="Courier New" w:hAnsi="Courier New" w:cs="Courier New" w:hint="default"/>
      </w:rPr>
    </w:lvl>
    <w:lvl w:ilvl="8" w:tplc="E0E06B80">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EA54E4F"/>
    <w:multiLevelType w:val="hybridMultilevel"/>
    <w:tmpl w:val="94F02C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04F2D6B"/>
    <w:multiLevelType w:val="hybridMultilevel"/>
    <w:tmpl w:val="2DBE5830"/>
    <w:lvl w:ilvl="0" w:tplc="B7C0BA3E">
      <w:start w:val="1"/>
      <w:numFmt w:val="decimal"/>
      <w:lvlText w:val="%1."/>
      <w:lvlJc w:val="left"/>
      <w:pPr>
        <w:ind w:left="360" w:hanging="360"/>
      </w:pPr>
      <w:rPr>
        <w:rFonts w:hint="default"/>
      </w:rPr>
    </w:lvl>
    <w:lvl w:ilvl="1" w:tplc="4CD4D9B2">
      <w:start w:val="1"/>
      <w:numFmt w:val="lowerLetter"/>
      <w:lvlText w:val="%2."/>
      <w:lvlJc w:val="left"/>
      <w:pPr>
        <w:ind w:left="1080" w:hanging="360"/>
      </w:pPr>
    </w:lvl>
    <w:lvl w:ilvl="2" w:tplc="0A3C020E">
      <w:start w:val="1"/>
      <w:numFmt w:val="lowerRoman"/>
      <w:lvlText w:val="%3."/>
      <w:lvlJc w:val="right"/>
      <w:pPr>
        <w:ind w:left="1800" w:hanging="180"/>
      </w:pPr>
    </w:lvl>
    <w:lvl w:ilvl="3" w:tplc="26F29DC4">
      <w:start w:val="1"/>
      <w:numFmt w:val="decimal"/>
      <w:lvlText w:val="%4."/>
      <w:lvlJc w:val="left"/>
      <w:pPr>
        <w:ind w:left="2520" w:hanging="360"/>
      </w:pPr>
    </w:lvl>
    <w:lvl w:ilvl="4" w:tplc="10D06F98">
      <w:start w:val="1"/>
      <w:numFmt w:val="lowerLetter"/>
      <w:lvlText w:val="%5."/>
      <w:lvlJc w:val="left"/>
      <w:pPr>
        <w:ind w:left="3240" w:hanging="360"/>
      </w:pPr>
    </w:lvl>
    <w:lvl w:ilvl="5" w:tplc="7630B28E">
      <w:start w:val="1"/>
      <w:numFmt w:val="lowerRoman"/>
      <w:lvlText w:val="%6."/>
      <w:lvlJc w:val="right"/>
      <w:pPr>
        <w:ind w:left="3960" w:hanging="180"/>
      </w:pPr>
    </w:lvl>
    <w:lvl w:ilvl="6" w:tplc="7542D118">
      <w:start w:val="1"/>
      <w:numFmt w:val="decimal"/>
      <w:lvlText w:val="%7."/>
      <w:lvlJc w:val="left"/>
      <w:pPr>
        <w:ind w:left="4680" w:hanging="360"/>
      </w:pPr>
    </w:lvl>
    <w:lvl w:ilvl="7" w:tplc="2E2481DA">
      <w:start w:val="1"/>
      <w:numFmt w:val="lowerLetter"/>
      <w:lvlText w:val="%8."/>
      <w:lvlJc w:val="left"/>
      <w:pPr>
        <w:ind w:left="5400" w:hanging="360"/>
      </w:pPr>
    </w:lvl>
    <w:lvl w:ilvl="8" w:tplc="20605258">
      <w:start w:val="1"/>
      <w:numFmt w:val="lowerRoman"/>
      <w:lvlText w:val="%9."/>
      <w:lvlJc w:val="right"/>
      <w:pPr>
        <w:ind w:left="6120" w:hanging="180"/>
      </w:pPr>
    </w:lvl>
  </w:abstractNum>
  <w:abstractNum w:abstractNumId="18" w15:restartNumberingAfterBreak="0">
    <w:nsid w:val="54AF1444"/>
    <w:multiLevelType w:val="hybridMultilevel"/>
    <w:tmpl w:val="6F023BB2"/>
    <w:lvl w:ilvl="0" w:tplc="AF32949A">
      <w:start w:val="1"/>
      <w:numFmt w:val="bullet"/>
      <w:pStyle w:val="Aufzhlungszeichen21"/>
      <w:lvlText w:val=""/>
      <w:lvlJc w:val="left"/>
      <w:pPr>
        <w:tabs>
          <w:tab w:val="num" w:pos="720"/>
        </w:tabs>
        <w:ind w:left="720" w:hanging="360"/>
      </w:pPr>
      <w:rPr>
        <w:rFonts w:ascii="Symbol" w:hAnsi="Symbol" w:hint="default"/>
      </w:rPr>
    </w:lvl>
    <w:lvl w:ilvl="1" w:tplc="6024AC28">
      <w:start w:val="1"/>
      <w:numFmt w:val="bullet"/>
      <w:lvlText w:val="o"/>
      <w:lvlJc w:val="left"/>
      <w:pPr>
        <w:ind w:left="1440" w:hanging="360"/>
      </w:pPr>
      <w:rPr>
        <w:rFonts w:ascii="Courier New" w:eastAsia="Courier New" w:hAnsi="Courier New" w:cs="Courier New" w:hint="default"/>
      </w:rPr>
    </w:lvl>
    <w:lvl w:ilvl="2" w:tplc="F3EE7ABE">
      <w:start w:val="1"/>
      <w:numFmt w:val="bullet"/>
      <w:lvlText w:val="§"/>
      <w:lvlJc w:val="left"/>
      <w:pPr>
        <w:ind w:left="2160" w:hanging="360"/>
      </w:pPr>
      <w:rPr>
        <w:rFonts w:ascii="Wingdings" w:eastAsia="Wingdings" w:hAnsi="Wingdings" w:cs="Wingdings" w:hint="default"/>
      </w:rPr>
    </w:lvl>
    <w:lvl w:ilvl="3" w:tplc="45A2ACA0">
      <w:start w:val="1"/>
      <w:numFmt w:val="bullet"/>
      <w:lvlText w:val="·"/>
      <w:lvlJc w:val="left"/>
      <w:pPr>
        <w:ind w:left="2880" w:hanging="360"/>
      </w:pPr>
      <w:rPr>
        <w:rFonts w:ascii="Symbol" w:eastAsia="Symbol" w:hAnsi="Symbol" w:cs="Symbol" w:hint="default"/>
      </w:rPr>
    </w:lvl>
    <w:lvl w:ilvl="4" w:tplc="05FAA14E">
      <w:start w:val="1"/>
      <w:numFmt w:val="bullet"/>
      <w:lvlText w:val="o"/>
      <w:lvlJc w:val="left"/>
      <w:pPr>
        <w:ind w:left="3600" w:hanging="360"/>
      </w:pPr>
      <w:rPr>
        <w:rFonts w:ascii="Courier New" w:eastAsia="Courier New" w:hAnsi="Courier New" w:cs="Courier New" w:hint="default"/>
      </w:rPr>
    </w:lvl>
    <w:lvl w:ilvl="5" w:tplc="A350B844">
      <w:start w:val="1"/>
      <w:numFmt w:val="bullet"/>
      <w:lvlText w:val="§"/>
      <w:lvlJc w:val="left"/>
      <w:pPr>
        <w:ind w:left="4320" w:hanging="360"/>
      </w:pPr>
      <w:rPr>
        <w:rFonts w:ascii="Wingdings" w:eastAsia="Wingdings" w:hAnsi="Wingdings" w:cs="Wingdings" w:hint="default"/>
      </w:rPr>
    </w:lvl>
    <w:lvl w:ilvl="6" w:tplc="9B7A1A5C">
      <w:start w:val="1"/>
      <w:numFmt w:val="bullet"/>
      <w:lvlText w:val="·"/>
      <w:lvlJc w:val="left"/>
      <w:pPr>
        <w:ind w:left="5040" w:hanging="360"/>
      </w:pPr>
      <w:rPr>
        <w:rFonts w:ascii="Symbol" w:eastAsia="Symbol" w:hAnsi="Symbol" w:cs="Symbol" w:hint="default"/>
      </w:rPr>
    </w:lvl>
    <w:lvl w:ilvl="7" w:tplc="BE4868C6">
      <w:start w:val="1"/>
      <w:numFmt w:val="bullet"/>
      <w:lvlText w:val="o"/>
      <w:lvlJc w:val="left"/>
      <w:pPr>
        <w:ind w:left="5760" w:hanging="360"/>
      </w:pPr>
      <w:rPr>
        <w:rFonts w:ascii="Courier New" w:eastAsia="Courier New" w:hAnsi="Courier New" w:cs="Courier New" w:hint="default"/>
      </w:rPr>
    </w:lvl>
    <w:lvl w:ilvl="8" w:tplc="FFC4B598">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559A2DFE"/>
    <w:multiLevelType w:val="hybridMultilevel"/>
    <w:tmpl w:val="2E2E1BA6"/>
    <w:lvl w:ilvl="0" w:tplc="0B9A618E">
      <w:start w:val="1"/>
      <w:numFmt w:val="decimal"/>
      <w:lvlText w:val="%1."/>
      <w:lvlJc w:val="left"/>
      <w:pPr>
        <w:tabs>
          <w:tab w:val="num" w:pos="1800"/>
        </w:tabs>
        <w:ind w:left="1800" w:hanging="360"/>
      </w:pPr>
    </w:lvl>
    <w:lvl w:ilvl="1" w:tplc="EE1C5B9A">
      <w:start w:val="1"/>
      <w:numFmt w:val="bullet"/>
      <w:lvlText w:val="o"/>
      <w:lvlJc w:val="left"/>
      <w:pPr>
        <w:ind w:left="1440" w:hanging="360"/>
      </w:pPr>
      <w:rPr>
        <w:rFonts w:ascii="Courier New" w:eastAsia="Courier New" w:hAnsi="Courier New" w:cs="Courier New" w:hint="default"/>
      </w:rPr>
    </w:lvl>
    <w:lvl w:ilvl="2" w:tplc="A9022312">
      <w:start w:val="1"/>
      <w:numFmt w:val="bullet"/>
      <w:lvlText w:val="§"/>
      <w:lvlJc w:val="left"/>
      <w:pPr>
        <w:ind w:left="2160" w:hanging="360"/>
      </w:pPr>
      <w:rPr>
        <w:rFonts w:ascii="Wingdings" w:eastAsia="Wingdings" w:hAnsi="Wingdings" w:cs="Wingdings" w:hint="default"/>
      </w:rPr>
    </w:lvl>
    <w:lvl w:ilvl="3" w:tplc="B05E93A0">
      <w:start w:val="1"/>
      <w:numFmt w:val="bullet"/>
      <w:lvlText w:val="·"/>
      <w:lvlJc w:val="left"/>
      <w:pPr>
        <w:ind w:left="2880" w:hanging="360"/>
      </w:pPr>
      <w:rPr>
        <w:rFonts w:ascii="Symbol" w:eastAsia="Symbol" w:hAnsi="Symbol" w:cs="Symbol" w:hint="default"/>
      </w:rPr>
    </w:lvl>
    <w:lvl w:ilvl="4" w:tplc="0D78016E">
      <w:start w:val="1"/>
      <w:numFmt w:val="bullet"/>
      <w:lvlText w:val="o"/>
      <w:lvlJc w:val="left"/>
      <w:pPr>
        <w:ind w:left="3600" w:hanging="360"/>
      </w:pPr>
      <w:rPr>
        <w:rFonts w:ascii="Courier New" w:eastAsia="Courier New" w:hAnsi="Courier New" w:cs="Courier New" w:hint="default"/>
      </w:rPr>
    </w:lvl>
    <w:lvl w:ilvl="5" w:tplc="1B84E4EE">
      <w:start w:val="1"/>
      <w:numFmt w:val="bullet"/>
      <w:lvlText w:val="§"/>
      <w:lvlJc w:val="left"/>
      <w:pPr>
        <w:ind w:left="4320" w:hanging="360"/>
      </w:pPr>
      <w:rPr>
        <w:rFonts w:ascii="Wingdings" w:eastAsia="Wingdings" w:hAnsi="Wingdings" w:cs="Wingdings" w:hint="default"/>
      </w:rPr>
    </w:lvl>
    <w:lvl w:ilvl="6" w:tplc="2E7A662C">
      <w:start w:val="1"/>
      <w:numFmt w:val="bullet"/>
      <w:lvlText w:val="·"/>
      <w:lvlJc w:val="left"/>
      <w:pPr>
        <w:ind w:left="5040" w:hanging="360"/>
      </w:pPr>
      <w:rPr>
        <w:rFonts w:ascii="Symbol" w:eastAsia="Symbol" w:hAnsi="Symbol" w:cs="Symbol" w:hint="default"/>
      </w:rPr>
    </w:lvl>
    <w:lvl w:ilvl="7" w:tplc="34483042">
      <w:start w:val="1"/>
      <w:numFmt w:val="bullet"/>
      <w:lvlText w:val="o"/>
      <w:lvlJc w:val="left"/>
      <w:pPr>
        <w:ind w:left="5760" w:hanging="360"/>
      </w:pPr>
      <w:rPr>
        <w:rFonts w:ascii="Courier New" w:eastAsia="Courier New" w:hAnsi="Courier New" w:cs="Courier New" w:hint="default"/>
      </w:rPr>
    </w:lvl>
    <w:lvl w:ilvl="8" w:tplc="9E9076F4">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5826672D"/>
    <w:multiLevelType w:val="hybridMultilevel"/>
    <w:tmpl w:val="34BC821A"/>
    <w:lvl w:ilvl="0" w:tplc="1B363C8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4640B07"/>
    <w:multiLevelType w:val="hybridMultilevel"/>
    <w:tmpl w:val="72C442B2"/>
    <w:lvl w:ilvl="0" w:tplc="F47E305C">
      <w:start w:val="1"/>
      <w:numFmt w:val="bullet"/>
      <w:lvlText w:val=""/>
      <w:lvlJc w:val="left"/>
      <w:pPr>
        <w:ind w:left="720" w:hanging="360"/>
      </w:pPr>
      <w:rPr>
        <w:rFonts w:ascii="Symbol" w:hAnsi="Symbol" w:hint="default"/>
      </w:rPr>
    </w:lvl>
    <w:lvl w:ilvl="1" w:tplc="C75497F6">
      <w:start w:val="1"/>
      <w:numFmt w:val="bullet"/>
      <w:lvlText w:val="o"/>
      <w:lvlJc w:val="left"/>
      <w:pPr>
        <w:ind w:left="1440" w:hanging="360"/>
      </w:pPr>
      <w:rPr>
        <w:rFonts w:ascii="Courier New" w:hAnsi="Courier New" w:cs="Courier New" w:hint="default"/>
      </w:rPr>
    </w:lvl>
    <w:lvl w:ilvl="2" w:tplc="291A3B72">
      <w:start w:val="1"/>
      <w:numFmt w:val="bullet"/>
      <w:lvlText w:val=""/>
      <w:lvlJc w:val="left"/>
      <w:pPr>
        <w:ind w:left="2160" w:hanging="360"/>
      </w:pPr>
      <w:rPr>
        <w:rFonts w:ascii="Wingdings" w:hAnsi="Wingdings" w:hint="default"/>
      </w:rPr>
    </w:lvl>
    <w:lvl w:ilvl="3" w:tplc="02DC14A6">
      <w:start w:val="1"/>
      <w:numFmt w:val="bullet"/>
      <w:lvlText w:val=""/>
      <w:lvlJc w:val="left"/>
      <w:pPr>
        <w:ind w:left="2880" w:hanging="360"/>
      </w:pPr>
      <w:rPr>
        <w:rFonts w:ascii="Symbol" w:hAnsi="Symbol" w:hint="default"/>
      </w:rPr>
    </w:lvl>
    <w:lvl w:ilvl="4" w:tplc="9EDCD25E">
      <w:start w:val="1"/>
      <w:numFmt w:val="bullet"/>
      <w:lvlText w:val="o"/>
      <w:lvlJc w:val="left"/>
      <w:pPr>
        <w:ind w:left="3600" w:hanging="360"/>
      </w:pPr>
      <w:rPr>
        <w:rFonts w:ascii="Courier New" w:hAnsi="Courier New" w:cs="Courier New" w:hint="default"/>
      </w:rPr>
    </w:lvl>
    <w:lvl w:ilvl="5" w:tplc="D640F81C">
      <w:start w:val="1"/>
      <w:numFmt w:val="bullet"/>
      <w:lvlText w:val=""/>
      <w:lvlJc w:val="left"/>
      <w:pPr>
        <w:ind w:left="4320" w:hanging="360"/>
      </w:pPr>
      <w:rPr>
        <w:rFonts w:ascii="Wingdings" w:hAnsi="Wingdings" w:hint="default"/>
      </w:rPr>
    </w:lvl>
    <w:lvl w:ilvl="6" w:tplc="14EAD31C">
      <w:start w:val="1"/>
      <w:numFmt w:val="bullet"/>
      <w:lvlText w:val=""/>
      <w:lvlJc w:val="left"/>
      <w:pPr>
        <w:ind w:left="5040" w:hanging="360"/>
      </w:pPr>
      <w:rPr>
        <w:rFonts w:ascii="Symbol" w:hAnsi="Symbol" w:hint="default"/>
      </w:rPr>
    </w:lvl>
    <w:lvl w:ilvl="7" w:tplc="58A87CD2">
      <w:start w:val="1"/>
      <w:numFmt w:val="bullet"/>
      <w:lvlText w:val="o"/>
      <w:lvlJc w:val="left"/>
      <w:pPr>
        <w:ind w:left="5760" w:hanging="360"/>
      </w:pPr>
      <w:rPr>
        <w:rFonts w:ascii="Courier New" w:hAnsi="Courier New" w:cs="Courier New" w:hint="default"/>
      </w:rPr>
    </w:lvl>
    <w:lvl w:ilvl="8" w:tplc="2A16F2C2">
      <w:start w:val="1"/>
      <w:numFmt w:val="bullet"/>
      <w:lvlText w:val=""/>
      <w:lvlJc w:val="left"/>
      <w:pPr>
        <w:ind w:left="6480" w:hanging="360"/>
      </w:pPr>
      <w:rPr>
        <w:rFonts w:ascii="Wingdings" w:hAnsi="Wingdings" w:hint="default"/>
      </w:rPr>
    </w:lvl>
  </w:abstractNum>
  <w:abstractNum w:abstractNumId="22" w15:restartNumberingAfterBreak="0">
    <w:nsid w:val="73490D3D"/>
    <w:multiLevelType w:val="multilevel"/>
    <w:tmpl w:val="26341E5C"/>
    <w:numStyleLink w:val="Jahresbericht"/>
  </w:abstractNum>
  <w:abstractNum w:abstractNumId="23" w15:restartNumberingAfterBreak="0">
    <w:nsid w:val="78325A8A"/>
    <w:multiLevelType w:val="multilevel"/>
    <w:tmpl w:val="775EC332"/>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786B64EA"/>
    <w:multiLevelType w:val="hybridMultilevel"/>
    <w:tmpl w:val="4AA8A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A12179"/>
    <w:multiLevelType w:val="hybridMultilevel"/>
    <w:tmpl w:val="CA26BD3C"/>
    <w:lvl w:ilvl="0" w:tplc="237CA90C">
      <w:start w:val="1"/>
      <w:numFmt w:val="bullet"/>
      <w:pStyle w:val="Aufzhlungszeichen51"/>
      <w:lvlText w:val=""/>
      <w:lvlJc w:val="left"/>
      <w:pPr>
        <w:tabs>
          <w:tab w:val="num" w:pos="1800"/>
        </w:tabs>
        <w:ind w:left="1800" w:hanging="360"/>
      </w:pPr>
      <w:rPr>
        <w:rFonts w:ascii="Symbol" w:hAnsi="Symbol" w:hint="default"/>
      </w:rPr>
    </w:lvl>
    <w:lvl w:ilvl="1" w:tplc="BD62F44A">
      <w:start w:val="1"/>
      <w:numFmt w:val="bullet"/>
      <w:lvlText w:val="o"/>
      <w:lvlJc w:val="left"/>
      <w:pPr>
        <w:ind w:left="1440" w:hanging="360"/>
      </w:pPr>
      <w:rPr>
        <w:rFonts w:ascii="Courier New" w:eastAsia="Courier New" w:hAnsi="Courier New" w:cs="Courier New" w:hint="default"/>
      </w:rPr>
    </w:lvl>
    <w:lvl w:ilvl="2" w:tplc="5718CF5E">
      <w:start w:val="1"/>
      <w:numFmt w:val="bullet"/>
      <w:lvlText w:val="§"/>
      <w:lvlJc w:val="left"/>
      <w:pPr>
        <w:ind w:left="2160" w:hanging="360"/>
      </w:pPr>
      <w:rPr>
        <w:rFonts w:ascii="Wingdings" w:eastAsia="Wingdings" w:hAnsi="Wingdings" w:cs="Wingdings" w:hint="default"/>
      </w:rPr>
    </w:lvl>
    <w:lvl w:ilvl="3" w:tplc="BE265DF8">
      <w:start w:val="1"/>
      <w:numFmt w:val="bullet"/>
      <w:lvlText w:val="·"/>
      <w:lvlJc w:val="left"/>
      <w:pPr>
        <w:ind w:left="2880" w:hanging="360"/>
      </w:pPr>
      <w:rPr>
        <w:rFonts w:ascii="Symbol" w:eastAsia="Symbol" w:hAnsi="Symbol" w:cs="Symbol" w:hint="default"/>
      </w:rPr>
    </w:lvl>
    <w:lvl w:ilvl="4" w:tplc="4DEA6EE8">
      <w:start w:val="1"/>
      <w:numFmt w:val="bullet"/>
      <w:lvlText w:val="o"/>
      <w:lvlJc w:val="left"/>
      <w:pPr>
        <w:ind w:left="3600" w:hanging="360"/>
      </w:pPr>
      <w:rPr>
        <w:rFonts w:ascii="Courier New" w:eastAsia="Courier New" w:hAnsi="Courier New" w:cs="Courier New" w:hint="default"/>
      </w:rPr>
    </w:lvl>
    <w:lvl w:ilvl="5" w:tplc="174ABD20">
      <w:start w:val="1"/>
      <w:numFmt w:val="bullet"/>
      <w:lvlText w:val="§"/>
      <w:lvlJc w:val="left"/>
      <w:pPr>
        <w:ind w:left="4320" w:hanging="360"/>
      </w:pPr>
      <w:rPr>
        <w:rFonts w:ascii="Wingdings" w:eastAsia="Wingdings" w:hAnsi="Wingdings" w:cs="Wingdings" w:hint="default"/>
      </w:rPr>
    </w:lvl>
    <w:lvl w:ilvl="6" w:tplc="22101372">
      <w:start w:val="1"/>
      <w:numFmt w:val="bullet"/>
      <w:lvlText w:val="·"/>
      <w:lvlJc w:val="left"/>
      <w:pPr>
        <w:ind w:left="5040" w:hanging="360"/>
      </w:pPr>
      <w:rPr>
        <w:rFonts w:ascii="Symbol" w:eastAsia="Symbol" w:hAnsi="Symbol" w:cs="Symbol" w:hint="default"/>
      </w:rPr>
    </w:lvl>
    <w:lvl w:ilvl="7" w:tplc="7ED8C4B2">
      <w:start w:val="1"/>
      <w:numFmt w:val="bullet"/>
      <w:lvlText w:val="o"/>
      <w:lvlJc w:val="left"/>
      <w:pPr>
        <w:ind w:left="5760" w:hanging="360"/>
      </w:pPr>
      <w:rPr>
        <w:rFonts w:ascii="Courier New" w:eastAsia="Courier New" w:hAnsi="Courier New" w:cs="Courier New" w:hint="default"/>
      </w:rPr>
    </w:lvl>
    <w:lvl w:ilvl="8" w:tplc="9384CF62">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7D03383B"/>
    <w:multiLevelType w:val="multilevel"/>
    <w:tmpl w:val="F3861632"/>
    <w:lvl w:ilvl="0">
      <w:start w:val="1"/>
      <w:numFmt w:val="decimal"/>
      <w:pStyle w:val="Listennummer1"/>
      <w:lvlText w:val="%1."/>
      <w:lvlJc w:val="left"/>
      <w:pPr>
        <w:ind w:left="360" w:hanging="360"/>
      </w:pPr>
      <w:rPr>
        <w:rFonts w:hint="default"/>
      </w:rPr>
    </w:lvl>
    <w:lvl w:ilvl="1">
      <w:start w:val="1"/>
      <w:numFmt w:val="decimal"/>
      <w:pStyle w:val="Listennummer21"/>
      <w:suff w:val="space"/>
      <w:lvlText w:val="%1.%2"/>
      <w:lvlJc w:val="left"/>
      <w:pPr>
        <w:ind w:left="936" w:hanging="576"/>
      </w:pPr>
      <w:rPr>
        <w:rFonts w:hint="default"/>
      </w:rPr>
    </w:lvl>
    <w:lvl w:ilvl="2">
      <w:start w:val="1"/>
      <w:numFmt w:val="lowerLetter"/>
      <w:pStyle w:val="Listennummer31"/>
      <w:lvlText w:val="%3."/>
      <w:lvlJc w:val="left"/>
      <w:pPr>
        <w:ind w:left="720" w:hanging="360"/>
      </w:pPr>
      <w:rPr>
        <w:rFonts w:hint="default"/>
      </w:rPr>
    </w:lvl>
    <w:lvl w:ilvl="3">
      <w:start w:val="1"/>
      <w:numFmt w:val="lowerRoman"/>
      <w:pStyle w:val="Listennummer41"/>
      <w:lvlText w:val="%4."/>
      <w:lvlJc w:val="left"/>
      <w:pPr>
        <w:ind w:left="1080" w:hanging="360"/>
      </w:pPr>
      <w:rPr>
        <w:rFonts w:hint="default"/>
      </w:rPr>
    </w:lvl>
    <w:lvl w:ilvl="4">
      <w:start w:val="1"/>
      <w:numFmt w:val="lowerLetter"/>
      <w:pStyle w:val="Listennummer51"/>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1437533">
    <w:abstractNumId w:val="9"/>
  </w:num>
  <w:num w:numId="2" w16cid:durableId="151336997">
    <w:abstractNumId w:val="18"/>
  </w:num>
  <w:num w:numId="3" w16cid:durableId="1671325918">
    <w:abstractNumId w:val="13"/>
  </w:num>
  <w:num w:numId="4" w16cid:durableId="2026326649">
    <w:abstractNumId w:val="15"/>
  </w:num>
  <w:num w:numId="5" w16cid:durableId="1619600980">
    <w:abstractNumId w:val="25"/>
  </w:num>
  <w:num w:numId="6" w16cid:durableId="67964342">
    <w:abstractNumId w:val="3"/>
  </w:num>
  <w:num w:numId="7" w16cid:durableId="453447128">
    <w:abstractNumId w:val="4"/>
  </w:num>
  <w:num w:numId="8" w16cid:durableId="666055477">
    <w:abstractNumId w:val="12"/>
  </w:num>
  <w:num w:numId="9" w16cid:durableId="1846556428">
    <w:abstractNumId w:val="2"/>
  </w:num>
  <w:num w:numId="10" w16cid:durableId="857933983">
    <w:abstractNumId w:val="19"/>
  </w:num>
  <w:num w:numId="11" w16cid:durableId="551189679">
    <w:abstractNumId w:val="7"/>
  </w:num>
  <w:num w:numId="12" w16cid:durableId="270404637">
    <w:abstractNumId w:val="9"/>
    <w:lvlOverride w:ilvl="0">
      <w:startOverride w:val="1"/>
    </w:lvlOverride>
  </w:num>
  <w:num w:numId="13" w16cid:durableId="657617588">
    <w:abstractNumId w:val="9"/>
    <w:lvlOverride w:ilvl="0">
      <w:startOverride w:val="1"/>
    </w:lvlOverride>
  </w:num>
  <w:num w:numId="14" w16cid:durableId="1084759715">
    <w:abstractNumId w:val="9"/>
    <w:lvlOverride w:ilvl="0">
      <w:startOverride w:val="1"/>
    </w:lvlOverride>
  </w:num>
  <w:num w:numId="15" w16cid:durableId="1726224104">
    <w:abstractNumId w:val="0"/>
  </w:num>
  <w:num w:numId="16" w16cid:durableId="460077524">
    <w:abstractNumId w:val="11"/>
  </w:num>
  <w:num w:numId="17" w16cid:durableId="1388068492">
    <w:abstractNumId w:val="5"/>
  </w:num>
  <w:num w:numId="18" w16cid:durableId="1820801894">
    <w:abstractNumId w:val="22"/>
  </w:num>
  <w:num w:numId="19" w16cid:durableId="1646079005">
    <w:abstractNumId w:val="26"/>
  </w:num>
  <w:num w:numId="20" w16cid:durableId="1977907530">
    <w:abstractNumId w:val="9"/>
    <w:lvlOverride w:ilvl="0">
      <w:startOverride w:val="1"/>
    </w:lvlOverride>
  </w:num>
  <w:num w:numId="21" w16cid:durableId="438110789">
    <w:abstractNumId w:val="9"/>
    <w:lvlOverride w:ilvl="0">
      <w:startOverride w:val="1"/>
    </w:lvlOverride>
  </w:num>
  <w:num w:numId="22" w16cid:durableId="1657103111">
    <w:abstractNumId w:val="21"/>
  </w:num>
  <w:num w:numId="23" w16cid:durableId="196815059">
    <w:abstractNumId w:val="17"/>
  </w:num>
  <w:num w:numId="24" w16cid:durableId="1367289957">
    <w:abstractNumId w:val="20"/>
  </w:num>
  <w:num w:numId="25" w16cid:durableId="31923923">
    <w:abstractNumId w:val="14"/>
  </w:num>
  <w:num w:numId="26" w16cid:durableId="1580820538">
    <w:abstractNumId w:val="24"/>
  </w:num>
  <w:num w:numId="27" w16cid:durableId="1174565202">
    <w:abstractNumId w:val="16"/>
  </w:num>
  <w:num w:numId="28" w16cid:durableId="1889999266">
    <w:abstractNumId w:val="8"/>
  </w:num>
  <w:num w:numId="29" w16cid:durableId="594290835">
    <w:abstractNumId w:val="6"/>
  </w:num>
  <w:num w:numId="30" w16cid:durableId="187186226">
    <w:abstractNumId w:val="1"/>
  </w:num>
  <w:num w:numId="31" w16cid:durableId="2055813887">
    <w:abstractNumId w:val="23"/>
    <w:lvlOverride w:ilvl="0">
      <w:startOverride w:val="1"/>
    </w:lvlOverride>
    <w:lvlOverride w:ilvl="1"/>
    <w:lvlOverride w:ilvl="2"/>
    <w:lvlOverride w:ilvl="3"/>
    <w:lvlOverride w:ilvl="4"/>
    <w:lvlOverride w:ilvl="5"/>
    <w:lvlOverride w:ilvl="6"/>
    <w:lvlOverride w:ilvl="7"/>
    <w:lvlOverride w:ilvl="8"/>
  </w:num>
  <w:num w:numId="32" w16cid:durableId="185215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86"/>
    <w:rsid w:val="002D6C2C"/>
    <w:rsid w:val="005E1386"/>
    <w:rsid w:val="007B2335"/>
    <w:rsid w:val="00881B53"/>
    <w:rsid w:val="009B1BFE"/>
    <w:rsid w:val="00BB7F2D"/>
    <w:rsid w:val="00C8647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FC79"/>
  <w15:chartTrackingRefBased/>
  <w15:docId w15:val="{029F733C-ACEA-42F1-A536-846FA00B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386"/>
    <w:pPr>
      <w:spacing w:before="40" w:line="288" w:lineRule="auto"/>
    </w:pPr>
    <w:rPr>
      <w:color w:val="595959" w:themeColor="text1" w:themeTint="A6"/>
      <w:sz w:val="20"/>
      <w:szCs w:val="20"/>
      <w:lang w:val="de-DE"/>
      <w14:ligatures w14:val="none"/>
    </w:rPr>
  </w:style>
  <w:style w:type="paragraph" w:styleId="Heading1">
    <w:name w:val="heading 1"/>
    <w:basedOn w:val="Normal"/>
    <w:next w:val="Normal"/>
    <w:link w:val="Heading1Char"/>
    <w:uiPriority w:val="9"/>
    <w:qFormat/>
    <w:rsid w:val="005E1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E1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5E1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5E1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E1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E1386"/>
    <w:pPr>
      <w:keepNext/>
      <w:keepLines/>
      <w:spacing w:after="0"/>
      <w:outlineLvl w:val="5"/>
    </w:pPr>
    <w:rPr>
      <w:rFonts w:eastAsiaTheme="majorEastAsia" w:cstheme="majorBidi"/>
      <w:i/>
      <w:iCs/>
    </w:rPr>
  </w:style>
  <w:style w:type="paragraph" w:styleId="Heading7">
    <w:name w:val="heading 7"/>
    <w:basedOn w:val="Normal"/>
    <w:next w:val="Normal"/>
    <w:link w:val="Heading7Char"/>
    <w:uiPriority w:val="9"/>
    <w:unhideWhenUsed/>
    <w:qFormat/>
    <w:rsid w:val="005E1386"/>
    <w:pPr>
      <w:keepNext/>
      <w:keepLines/>
      <w:spacing w:after="0"/>
      <w:outlineLvl w:val="6"/>
    </w:pPr>
    <w:rPr>
      <w:rFonts w:eastAsiaTheme="majorEastAsia" w:cstheme="majorBidi"/>
    </w:rPr>
  </w:style>
  <w:style w:type="paragraph" w:styleId="Heading8">
    <w:name w:val="heading 8"/>
    <w:basedOn w:val="Normal"/>
    <w:next w:val="Normal"/>
    <w:link w:val="Heading8Char"/>
    <w:uiPriority w:val="9"/>
    <w:unhideWhenUsed/>
    <w:qFormat/>
    <w:rsid w:val="005E1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5E13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1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E1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E1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E1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E1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E138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E1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5E1386"/>
    <w:rPr>
      <w:rFonts w:eastAsiaTheme="majorEastAsia" w:cstheme="majorBidi"/>
      <w:color w:val="272727" w:themeColor="text1" w:themeTint="D8"/>
    </w:rPr>
  </w:style>
  <w:style w:type="paragraph" w:styleId="Title">
    <w:name w:val="Title"/>
    <w:basedOn w:val="Normal"/>
    <w:next w:val="Normal"/>
    <w:link w:val="TitleChar"/>
    <w:uiPriority w:val="10"/>
    <w:qFormat/>
    <w:rsid w:val="005E1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386"/>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5E1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386"/>
    <w:pPr>
      <w:spacing w:before="160"/>
      <w:jc w:val="center"/>
    </w:pPr>
    <w:rPr>
      <w:i/>
      <w:iCs/>
      <w:color w:val="404040" w:themeColor="text1" w:themeTint="BF"/>
    </w:rPr>
  </w:style>
  <w:style w:type="character" w:customStyle="1" w:styleId="QuoteChar">
    <w:name w:val="Quote Char"/>
    <w:basedOn w:val="DefaultParagraphFont"/>
    <w:link w:val="Quote"/>
    <w:uiPriority w:val="29"/>
    <w:rsid w:val="005E1386"/>
    <w:rPr>
      <w:i/>
      <w:iCs/>
      <w:color w:val="404040" w:themeColor="text1" w:themeTint="BF"/>
    </w:rPr>
  </w:style>
  <w:style w:type="paragraph" w:styleId="ListParagraph">
    <w:name w:val="List Paragraph"/>
    <w:basedOn w:val="Normal"/>
    <w:uiPriority w:val="34"/>
    <w:qFormat/>
    <w:rsid w:val="005E1386"/>
    <w:pPr>
      <w:ind w:left="720"/>
      <w:contextualSpacing/>
    </w:pPr>
  </w:style>
  <w:style w:type="character" w:styleId="IntenseEmphasis">
    <w:name w:val="Intense Emphasis"/>
    <w:basedOn w:val="DefaultParagraphFont"/>
    <w:uiPriority w:val="21"/>
    <w:qFormat/>
    <w:rsid w:val="005E1386"/>
    <w:rPr>
      <w:i/>
      <w:iCs/>
      <w:color w:val="0F4761" w:themeColor="accent1" w:themeShade="BF"/>
    </w:rPr>
  </w:style>
  <w:style w:type="paragraph" w:styleId="IntenseQuote">
    <w:name w:val="Intense Quote"/>
    <w:basedOn w:val="Normal"/>
    <w:next w:val="Normal"/>
    <w:link w:val="IntenseQuoteChar"/>
    <w:uiPriority w:val="30"/>
    <w:qFormat/>
    <w:rsid w:val="005E1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386"/>
    <w:rPr>
      <w:i/>
      <w:iCs/>
      <w:color w:val="0F4761" w:themeColor="accent1" w:themeShade="BF"/>
    </w:rPr>
  </w:style>
  <w:style w:type="character" w:styleId="IntenseReference">
    <w:name w:val="Intense Reference"/>
    <w:basedOn w:val="DefaultParagraphFont"/>
    <w:uiPriority w:val="32"/>
    <w:qFormat/>
    <w:rsid w:val="005E1386"/>
    <w:rPr>
      <w:b/>
      <w:bCs/>
      <w:smallCaps/>
      <w:color w:val="0F4761" w:themeColor="accent1" w:themeShade="BF"/>
      <w:spacing w:val="5"/>
    </w:rPr>
  </w:style>
  <w:style w:type="paragraph" w:styleId="NoSpacing">
    <w:name w:val="No Spacing"/>
    <w:uiPriority w:val="1"/>
    <w:qFormat/>
    <w:rsid w:val="005E1386"/>
    <w:pPr>
      <w:spacing w:after="0" w:line="240" w:lineRule="auto"/>
    </w:pPr>
    <w:rPr>
      <w:color w:val="595959" w:themeColor="text1" w:themeTint="A6"/>
      <w:sz w:val="20"/>
      <w:szCs w:val="20"/>
      <w:lang w:val="de-DE"/>
      <w14:ligatures w14:val="none"/>
    </w:rPr>
  </w:style>
  <w:style w:type="character" w:customStyle="1" w:styleId="HeaderChar">
    <w:name w:val="Header Char"/>
    <w:basedOn w:val="DefaultParagraphFont"/>
    <w:uiPriority w:val="99"/>
    <w:rsid w:val="005E1386"/>
  </w:style>
  <w:style w:type="character" w:customStyle="1" w:styleId="FooterChar">
    <w:name w:val="Footer Char"/>
    <w:basedOn w:val="DefaultParagraphFont"/>
    <w:uiPriority w:val="99"/>
    <w:rsid w:val="005E1386"/>
  </w:style>
  <w:style w:type="character" w:customStyle="1" w:styleId="CaptionChar">
    <w:name w:val="Caption Char"/>
    <w:uiPriority w:val="99"/>
    <w:rsid w:val="005E1386"/>
  </w:style>
  <w:style w:type="table" w:styleId="TableGrid">
    <w:name w:val="Table Grid"/>
    <w:basedOn w:val="TableNormal"/>
    <w:uiPriority w:val="59"/>
    <w:rsid w:val="005E1386"/>
    <w:pPr>
      <w:spacing w:before="40" w:after="0" w:line="240" w:lineRule="auto"/>
    </w:pPr>
    <w:rPr>
      <w:color w:val="595959" w:themeColor="text1" w:themeTint="A6"/>
      <w:sz w:val="20"/>
      <w:szCs w:val="20"/>
      <w:lang w:val="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5E1386"/>
    <w:pPr>
      <w:spacing w:before="40" w:after="0" w:line="240" w:lineRule="auto"/>
    </w:pPr>
    <w:rPr>
      <w:color w:val="595959" w:themeColor="text1" w:themeTint="A6"/>
      <w:sz w:val="20"/>
      <w:szCs w:val="20"/>
      <w:lang w:val="de-DE"/>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5E1386"/>
    <w:pPr>
      <w:spacing w:before="40" w:after="0" w:line="240" w:lineRule="auto"/>
    </w:pPr>
    <w:rPr>
      <w:color w:val="595959" w:themeColor="text1" w:themeTint="A6"/>
      <w:sz w:val="20"/>
      <w:szCs w:val="20"/>
      <w:lang w:val="de-DE"/>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5E1386"/>
    <w:pPr>
      <w:spacing w:before="40" w:after="0" w:line="240" w:lineRule="auto"/>
    </w:pPr>
    <w:rPr>
      <w:color w:val="595959" w:themeColor="text1" w:themeTint="A6"/>
      <w:sz w:val="20"/>
      <w:szCs w:val="20"/>
      <w:lang w:val="de-DE"/>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1">
    <w:name w:val="Grid Table 1 Light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1">
    <w:name w:val="Grid Table 1 Light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1">
    <w:name w:val="Grid Table 1 Light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1">
    <w:name w:val="Grid Table 1 Light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1">
    <w:name w:val="Grid Table 1 Light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1">
    <w:name w:val="Grid Table 2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1">
    <w:name w:val="Grid Table 2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1">
    <w:name w:val="Grid Table 2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1">
    <w:name w:val="Grid Table 2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1">
    <w:name w:val="Grid Table 2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1">
    <w:name w:val="Grid Table 3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1">
    <w:name w:val="Grid Table 3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1">
    <w:name w:val="Grid Table 3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1">
    <w:name w:val="Grid Table 3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1">
    <w:name w:val="Grid Table 3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1">
    <w:name w:val="Grid Table 4 - Accent 2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1">
    <w:name w:val="Grid Table 4 - Accent 3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1">
    <w:name w:val="Grid Table 4 - Accent 4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1">
    <w:name w:val="Grid Table 4 - Accent 5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1">
    <w:name w:val="Grid Table 4 - Accent 61"/>
    <w:basedOn w:val="TableNormal"/>
    <w:uiPriority w:val="5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1">
    <w:name w:val="Grid Table 5 Dark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1">
    <w:name w:val="Grid Table 5 Dark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1">
    <w:name w:val="Grid Table 5 Dark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1">
    <w:name w:val="Grid Table 5 Dark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1">
    <w:name w:val="Grid Table 6 Colorful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1">
    <w:name w:val="Grid Table 6 Colorful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1">
    <w:name w:val="Grid Table 6 Colorful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1">
    <w:name w:val="Grid Table 6 Colorful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1">
    <w:name w:val="Grid Table 6 Colorful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1">
    <w:name w:val="Grid Table 7 Colorful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1">
    <w:name w:val="Grid Table 7 Colorful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1">
    <w:name w:val="Grid Table 7 Colorful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1">
    <w:name w:val="Grid Table 7 Colorful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1">
    <w:name w:val="Grid Table 7 Colorful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1">
    <w:name w:val="List Table 1 Light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1">
    <w:name w:val="List Table 1 Light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1">
    <w:name w:val="List Table 1 Light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1">
    <w:name w:val="List Table 1 Light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1">
    <w:name w:val="List Table 1 Light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1">
    <w:name w:val="List Table 2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1">
    <w:name w:val="List Table 2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1">
    <w:name w:val="List Table 2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1">
    <w:name w:val="List Table 2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1">
    <w:name w:val="List Table 2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1">
    <w:name w:val="List Table 3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1">
    <w:name w:val="List Table 3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1">
    <w:name w:val="List Table 3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1">
    <w:name w:val="List Table 3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1">
    <w:name w:val="List Table 3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1">
    <w:name w:val="List Table 4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1">
    <w:name w:val="List Table 4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1">
    <w:name w:val="List Table 4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1">
    <w:name w:val="List Table 4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1">
    <w:name w:val="List Table 4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1">
    <w:name w:val="List Table 5 Dark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1">
    <w:name w:val="List Table 5 Dark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1">
    <w:name w:val="List Table 5 Dark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1">
    <w:name w:val="List Table 5 Dark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1">
    <w:name w:val="List Table 5 Dark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1">
    <w:name w:val="List Table 6 Colorful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1">
    <w:name w:val="List Table 6 Colorful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1">
    <w:name w:val="List Table 6 Colorful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1">
    <w:name w:val="List Table 6 Colorful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1">
    <w:name w:val="List Table 6 Colorful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1">
    <w:name w:val="List Table 7 Colorful - Accent 2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1">
    <w:name w:val="List Table 7 Colorful - Accent 3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1">
    <w:name w:val="List Table 7 Colorful - Accent 4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1">
    <w:name w:val="List Table 7 Colorful - Accent 5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1">
    <w:name w:val="List Table 7 Colorful - Accent 6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5E1386"/>
    <w:pPr>
      <w:spacing w:before="40" w:after="0" w:line="240" w:lineRule="auto"/>
    </w:pPr>
    <w:rPr>
      <w:color w:val="404040"/>
      <w:sz w:val="20"/>
      <w:szCs w:val="20"/>
      <w:lang w:eastAsia="en-GB"/>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semiHidden/>
    <w:unhideWhenUsed/>
    <w:rsid w:val="005E1386"/>
    <w:pPr>
      <w:spacing w:after="40" w:line="240" w:lineRule="auto"/>
    </w:pPr>
    <w:rPr>
      <w:sz w:val="18"/>
    </w:rPr>
  </w:style>
  <w:style w:type="character" w:customStyle="1" w:styleId="FootnoteTextChar">
    <w:name w:val="Footnote Text Char"/>
    <w:basedOn w:val="DefaultParagraphFont"/>
    <w:link w:val="FootnoteText"/>
    <w:uiPriority w:val="99"/>
    <w:semiHidden/>
    <w:rsid w:val="005E1386"/>
    <w:rPr>
      <w:color w:val="595959" w:themeColor="text1" w:themeTint="A6"/>
      <w:sz w:val="18"/>
      <w:szCs w:val="20"/>
      <w:lang w:val="de-DE"/>
      <w14:ligatures w14:val="none"/>
    </w:rPr>
  </w:style>
  <w:style w:type="character" w:styleId="FootnoteReference">
    <w:name w:val="footnote reference"/>
    <w:basedOn w:val="DefaultParagraphFont"/>
    <w:uiPriority w:val="99"/>
    <w:unhideWhenUsed/>
    <w:rsid w:val="005E1386"/>
    <w:rPr>
      <w:vertAlign w:val="superscript"/>
    </w:rPr>
  </w:style>
  <w:style w:type="paragraph" w:styleId="EndnoteText">
    <w:name w:val="endnote text"/>
    <w:basedOn w:val="Normal"/>
    <w:link w:val="EndnoteTextChar"/>
    <w:uiPriority w:val="99"/>
    <w:semiHidden/>
    <w:unhideWhenUsed/>
    <w:rsid w:val="005E1386"/>
    <w:pPr>
      <w:spacing w:after="0" w:line="240" w:lineRule="auto"/>
    </w:pPr>
  </w:style>
  <w:style w:type="character" w:customStyle="1" w:styleId="EndnoteTextChar">
    <w:name w:val="Endnote Text Char"/>
    <w:basedOn w:val="DefaultParagraphFont"/>
    <w:link w:val="EndnoteText"/>
    <w:uiPriority w:val="99"/>
    <w:semiHidden/>
    <w:rsid w:val="005E1386"/>
    <w:rPr>
      <w:color w:val="595959" w:themeColor="text1" w:themeTint="A6"/>
      <w:sz w:val="20"/>
      <w:szCs w:val="20"/>
      <w:lang w:val="de-DE"/>
      <w14:ligatures w14:val="none"/>
    </w:rPr>
  </w:style>
  <w:style w:type="character" w:styleId="EndnoteReference">
    <w:name w:val="endnote reference"/>
    <w:basedOn w:val="DefaultParagraphFont"/>
    <w:uiPriority w:val="99"/>
    <w:semiHidden/>
    <w:unhideWhenUsed/>
    <w:rsid w:val="005E1386"/>
    <w:rPr>
      <w:vertAlign w:val="superscript"/>
    </w:rPr>
  </w:style>
  <w:style w:type="paragraph" w:styleId="TOC3">
    <w:name w:val="toc 3"/>
    <w:basedOn w:val="Normal"/>
    <w:next w:val="Normal"/>
    <w:uiPriority w:val="39"/>
    <w:unhideWhenUsed/>
    <w:rsid w:val="005E1386"/>
    <w:pPr>
      <w:spacing w:after="57"/>
      <w:ind w:left="567"/>
    </w:pPr>
  </w:style>
  <w:style w:type="paragraph" w:styleId="TOC4">
    <w:name w:val="toc 4"/>
    <w:basedOn w:val="Normal"/>
    <w:next w:val="Normal"/>
    <w:uiPriority w:val="39"/>
    <w:unhideWhenUsed/>
    <w:rsid w:val="005E1386"/>
    <w:pPr>
      <w:spacing w:after="57"/>
      <w:ind w:left="850"/>
    </w:pPr>
  </w:style>
  <w:style w:type="paragraph" w:styleId="TOC5">
    <w:name w:val="toc 5"/>
    <w:basedOn w:val="Normal"/>
    <w:next w:val="Normal"/>
    <w:uiPriority w:val="39"/>
    <w:unhideWhenUsed/>
    <w:rsid w:val="005E1386"/>
    <w:pPr>
      <w:spacing w:after="57"/>
      <w:ind w:left="1134"/>
    </w:pPr>
  </w:style>
  <w:style w:type="paragraph" w:styleId="TOC6">
    <w:name w:val="toc 6"/>
    <w:basedOn w:val="Normal"/>
    <w:next w:val="Normal"/>
    <w:uiPriority w:val="39"/>
    <w:unhideWhenUsed/>
    <w:rsid w:val="005E1386"/>
    <w:pPr>
      <w:spacing w:after="57"/>
      <w:ind w:left="1417"/>
    </w:pPr>
  </w:style>
  <w:style w:type="paragraph" w:styleId="TOC7">
    <w:name w:val="toc 7"/>
    <w:basedOn w:val="Normal"/>
    <w:next w:val="Normal"/>
    <w:uiPriority w:val="39"/>
    <w:unhideWhenUsed/>
    <w:rsid w:val="005E1386"/>
    <w:pPr>
      <w:spacing w:after="57"/>
      <w:ind w:left="1701"/>
    </w:pPr>
  </w:style>
  <w:style w:type="paragraph" w:styleId="TOC8">
    <w:name w:val="toc 8"/>
    <w:basedOn w:val="Normal"/>
    <w:next w:val="Normal"/>
    <w:uiPriority w:val="39"/>
    <w:unhideWhenUsed/>
    <w:rsid w:val="005E1386"/>
    <w:pPr>
      <w:spacing w:after="57"/>
      <w:ind w:left="1984"/>
    </w:pPr>
  </w:style>
  <w:style w:type="paragraph" w:styleId="TOC9">
    <w:name w:val="toc 9"/>
    <w:basedOn w:val="Normal"/>
    <w:next w:val="Normal"/>
    <w:uiPriority w:val="39"/>
    <w:unhideWhenUsed/>
    <w:rsid w:val="005E1386"/>
    <w:pPr>
      <w:spacing w:after="57"/>
      <w:ind w:left="2268"/>
    </w:pPr>
  </w:style>
  <w:style w:type="paragraph" w:styleId="TableofFigures">
    <w:name w:val="table of figures"/>
    <w:basedOn w:val="Normal"/>
    <w:next w:val="Normal"/>
    <w:uiPriority w:val="99"/>
    <w:unhideWhenUsed/>
    <w:rsid w:val="005E1386"/>
    <w:pPr>
      <w:spacing w:after="0"/>
    </w:pPr>
  </w:style>
  <w:style w:type="paragraph" w:customStyle="1" w:styleId="berschrift11">
    <w:name w:val="Überschrift 11"/>
    <w:basedOn w:val="Normal"/>
    <w:next w:val="Normal"/>
    <w:link w:val="berschrift1-Zeichen"/>
    <w:uiPriority w:val="1"/>
    <w:qFormat/>
    <w:rsid w:val="005E1386"/>
    <w:pPr>
      <w:pageBreakBefore/>
      <w:spacing w:before="0" w:after="360" w:line="240" w:lineRule="auto"/>
      <w:ind w:left="-360" w:right="-360"/>
      <w:outlineLvl w:val="0"/>
    </w:pPr>
    <w:rPr>
      <w:sz w:val="36"/>
    </w:rPr>
  </w:style>
  <w:style w:type="paragraph" w:customStyle="1" w:styleId="berschrift21">
    <w:name w:val="Überschrift 21"/>
    <w:basedOn w:val="Normal"/>
    <w:next w:val="Normal"/>
    <w:link w:val="berschrift2-Zeichen"/>
    <w:uiPriority w:val="1"/>
    <w:unhideWhenUsed/>
    <w:qFormat/>
    <w:rsid w:val="005E1386"/>
    <w:pPr>
      <w:keepNext/>
      <w:keepLines/>
      <w:spacing w:before="360" w:after="60" w:line="240" w:lineRule="auto"/>
      <w:outlineLvl w:val="1"/>
    </w:pPr>
    <w:rPr>
      <w:rFonts w:asciiTheme="majorHAnsi" w:eastAsiaTheme="majorEastAsia" w:hAnsiTheme="majorHAnsi" w:cstheme="majorBidi"/>
      <w:caps/>
      <w:color w:val="0F4761" w:themeColor="accent1" w:themeShade="BF"/>
      <w:sz w:val="24"/>
      <w14:ligatures w14:val="standardContextual"/>
    </w:rPr>
  </w:style>
  <w:style w:type="paragraph" w:customStyle="1" w:styleId="berschrift31">
    <w:name w:val="Überschrift 31"/>
    <w:basedOn w:val="Normal"/>
    <w:next w:val="Normal"/>
    <w:link w:val="berschrift3-Zeichen"/>
    <w:uiPriority w:val="1"/>
    <w:unhideWhenUsed/>
    <w:qFormat/>
    <w:rsid w:val="005E1386"/>
    <w:pPr>
      <w:keepNext/>
      <w:keepLines/>
      <w:spacing w:before="200" w:after="0"/>
      <w:outlineLvl w:val="2"/>
    </w:pPr>
    <w:rPr>
      <w:rFonts w:asciiTheme="majorHAnsi" w:eastAsiaTheme="majorEastAsia" w:hAnsiTheme="majorHAnsi" w:cstheme="majorBidi"/>
      <w:b/>
      <w:bCs/>
      <w:color w:val="156082" w:themeColor="accent1"/>
      <w14:ligatures w14:val="standardContextual"/>
    </w:rPr>
  </w:style>
  <w:style w:type="paragraph" w:customStyle="1" w:styleId="berschrift41">
    <w:name w:val="Überschrift 41"/>
    <w:basedOn w:val="Normal"/>
    <w:next w:val="Normal"/>
    <w:link w:val="berschrift4-Zeichen"/>
    <w:uiPriority w:val="18"/>
    <w:semiHidden/>
    <w:unhideWhenUsed/>
    <w:qFormat/>
    <w:rsid w:val="005E1386"/>
    <w:pPr>
      <w:keepNext/>
      <w:keepLines/>
      <w:spacing w:before="200" w:after="0"/>
      <w:outlineLvl w:val="3"/>
    </w:pPr>
    <w:rPr>
      <w:rFonts w:asciiTheme="majorHAnsi" w:eastAsiaTheme="majorEastAsia" w:hAnsiTheme="majorHAnsi" w:cstheme="majorBidi"/>
      <w:b/>
      <w:bCs/>
      <w:i/>
      <w:iCs/>
      <w:color w:val="156082" w:themeColor="accent1"/>
    </w:rPr>
  </w:style>
  <w:style w:type="paragraph" w:customStyle="1" w:styleId="berschrift51">
    <w:name w:val="Überschrift 51"/>
    <w:basedOn w:val="Normal"/>
    <w:next w:val="Normal"/>
    <w:link w:val="berschrift5-Zeichen"/>
    <w:uiPriority w:val="18"/>
    <w:semiHidden/>
    <w:unhideWhenUsed/>
    <w:qFormat/>
    <w:rsid w:val="005E1386"/>
    <w:pPr>
      <w:keepNext/>
      <w:keepLines/>
      <w:spacing w:before="200" w:after="0"/>
      <w:outlineLvl w:val="4"/>
    </w:pPr>
    <w:rPr>
      <w:rFonts w:asciiTheme="majorHAnsi" w:eastAsiaTheme="majorEastAsia" w:hAnsiTheme="majorHAnsi" w:cstheme="majorBidi"/>
      <w:color w:val="0A2F40" w:themeColor="accent1" w:themeShade="7F"/>
    </w:rPr>
  </w:style>
  <w:style w:type="paragraph" w:customStyle="1" w:styleId="berschrift61">
    <w:name w:val="Überschrift 61"/>
    <w:basedOn w:val="Normal"/>
    <w:next w:val="Normal"/>
    <w:link w:val="berschrift6-Zeichen"/>
    <w:uiPriority w:val="18"/>
    <w:semiHidden/>
    <w:unhideWhenUsed/>
    <w:qFormat/>
    <w:rsid w:val="005E1386"/>
    <w:pPr>
      <w:keepNext/>
      <w:keepLines/>
      <w:spacing w:before="200" w:after="0"/>
      <w:outlineLvl w:val="5"/>
    </w:pPr>
    <w:rPr>
      <w:rFonts w:asciiTheme="majorHAnsi" w:eastAsiaTheme="majorEastAsia" w:hAnsiTheme="majorHAnsi" w:cstheme="majorBidi"/>
      <w:i/>
      <w:iCs/>
      <w:color w:val="0A2F40" w:themeColor="accent1" w:themeShade="7F"/>
    </w:rPr>
  </w:style>
  <w:style w:type="paragraph" w:customStyle="1" w:styleId="berschrift71">
    <w:name w:val="Überschrift 71"/>
    <w:basedOn w:val="Normal"/>
    <w:next w:val="Normal"/>
    <w:link w:val="berschrift7-Zeichen"/>
    <w:uiPriority w:val="18"/>
    <w:semiHidden/>
    <w:unhideWhenUsed/>
    <w:qFormat/>
    <w:rsid w:val="005E1386"/>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berschrift81">
    <w:name w:val="Überschrift 81"/>
    <w:basedOn w:val="Normal"/>
    <w:next w:val="Normal"/>
    <w:link w:val="berschrift8-Zeichen"/>
    <w:uiPriority w:val="18"/>
    <w:semiHidden/>
    <w:unhideWhenUsed/>
    <w:qFormat/>
    <w:rsid w:val="005E1386"/>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berschrift91">
    <w:name w:val="Überschrift 91"/>
    <w:basedOn w:val="Normal"/>
    <w:next w:val="Normal"/>
    <w:link w:val="berschrift9-Zeichen"/>
    <w:uiPriority w:val="18"/>
    <w:semiHidden/>
    <w:unhideWhenUsed/>
    <w:qFormat/>
    <w:rsid w:val="005E1386"/>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Kopfzeile1">
    <w:name w:val="Kopfzeile1"/>
    <w:basedOn w:val="Normal"/>
    <w:link w:val="Kopfzeilenzeichen"/>
    <w:uiPriority w:val="99"/>
    <w:unhideWhenUsed/>
    <w:rsid w:val="005E1386"/>
    <w:pPr>
      <w:tabs>
        <w:tab w:val="center" w:pos="4680"/>
        <w:tab w:val="right" w:pos="9360"/>
      </w:tabs>
      <w:spacing w:before="0" w:after="0" w:line="240" w:lineRule="auto"/>
    </w:pPr>
  </w:style>
  <w:style w:type="character" w:customStyle="1" w:styleId="Kopfzeilenzeichen">
    <w:name w:val="Kopfzeilenzeichen"/>
    <w:basedOn w:val="DefaultParagraphFont"/>
    <w:link w:val="Kopfzeile1"/>
    <w:uiPriority w:val="99"/>
    <w:rsid w:val="005E1386"/>
    <w:rPr>
      <w:color w:val="595959" w:themeColor="text1" w:themeTint="A6"/>
      <w:sz w:val="20"/>
      <w:szCs w:val="20"/>
      <w:lang w:val="de-DE"/>
      <w14:ligatures w14:val="none"/>
    </w:rPr>
  </w:style>
  <w:style w:type="paragraph" w:customStyle="1" w:styleId="Fuzeile1">
    <w:name w:val="Fußzeile1"/>
    <w:basedOn w:val="Normal"/>
    <w:link w:val="Fuzeilenzeichen"/>
    <w:uiPriority w:val="99"/>
    <w:unhideWhenUsed/>
    <w:rsid w:val="005E1386"/>
    <w:pPr>
      <w:pBdr>
        <w:top w:val="single" w:sz="4" w:space="6" w:color="45B0E1" w:themeColor="accent1" w:themeTint="99"/>
        <w:left w:val="single" w:sz="2" w:space="4" w:color="FFFFFF" w:themeColor="background1"/>
      </w:pBdr>
      <w:spacing w:after="0" w:line="240" w:lineRule="auto"/>
      <w:ind w:left="-360" w:right="-360"/>
    </w:pPr>
  </w:style>
  <w:style w:type="character" w:customStyle="1" w:styleId="Fuzeilenzeichen">
    <w:name w:val="Fußzeilenzeichen"/>
    <w:basedOn w:val="DefaultParagraphFont"/>
    <w:link w:val="Fuzeile1"/>
    <w:uiPriority w:val="99"/>
    <w:rsid w:val="005E1386"/>
    <w:rPr>
      <w:color w:val="595959" w:themeColor="text1" w:themeTint="A6"/>
      <w:sz w:val="20"/>
      <w:szCs w:val="20"/>
      <w:lang w:val="de-DE"/>
      <w14:ligatures w14:val="none"/>
    </w:rPr>
  </w:style>
  <w:style w:type="table" w:customStyle="1" w:styleId="Tabellengitternetz">
    <w:name w:val="Tabellengitternetz"/>
    <w:basedOn w:val="TableNormal"/>
    <w:uiPriority w:val="59"/>
    <w:rsid w:val="005E1386"/>
    <w:pPr>
      <w:spacing w:before="40" w:after="0" w:line="240" w:lineRule="auto"/>
    </w:pPr>
    <w:rPr>
      <w:color w:val="595959" w:themeColor="text1" w:themeTint="A6"/>
      <w:sz w:val="20"/>
      <w:szCs w:val="20"/>
      <w:lang w:val="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inLeerraum1">
    <w:name w:val="Kein Leerraum1"/>
    <w:link w:val="KeinLeerraum-Zeichen"/>
    <w:uiPriority w:val="1"/>
    <w:qFormat/>
    <w:rsid w:val="005E1386"/>
    <w:pPr>
      <w:spacing w:before="40" w:after="0" w:line="240" w:lineRule="auto"/>
    </w:pPr>
    <w:rPr>
      <w:color w:val="595959" w:themeColor="text1" w:themeTint="A6"/>
      <w:sz w:val="20"/>
      <w:szCs w:val="20"/>
      <w:lang w:val="de-DE"/>
      <w14:ligatures w14:val="none"/>
    </w:rPr>
  </w:style>
  <w:style w:type="paragraph" w:customStyle="1" w:styleId="Sprechblasentext1">
    <w:name w:val="Sprechblasentext1"/>
    <w:basedOn w:val="Normal"/>
    <w:link w:val="Sprechblasentext-Zeichen"/>
    <w:uiPriority w:val="99"/>
    <w:semiHidden/>
    <w:unhideWhenUsed/>
    <w:rsid w:val="005E1386"/>
    <w:pPr>
      <w:spacing w:after="0" w:line="240" w:lineRule="auto"/>
    </w:pPr>
    <w:rPr>
      <w:rFonts w:ascii="Tahoma" w:hAnsi="Tahoma" w:cs="Tahoma"/>
      <w:sz w:val="16"/>
    </w:rPr>
  </w:style>
  <w:style w:type="character" w:customStyle="1" w:styleId="Sprechblasentext-Zeichen">
    <w:name w:val="Sprechblasentext - Zeichen"/>
    <w:basedOn w:val="DefaultParagraphFont"/>
    <w:link w:val="Sprechblasentext1"/>
    <w:uiPriority w:val="99"/>
    <w:semiHidden/>
    <w:rsid w:val="005E1386"/>
    <w:rPr>
      <w:rFonts w:ascii="Tahoma" w:hAnsi="Tahoma" w:cs="Tahoma"/>
      <w:color w:val="595959" w:themeColor="text1" w:themeTint="A6"/>
      <w:sz w:val="16"/>
      <w:szCs w:val="20"/>
      <w:lang w:val="de-DE"/>
      <w14:ligatures w14:val="none"/>
    </w:rPr>
  </w:style>
  <w:style w:type="character" w:customStyle="1" w:styleId="berschrift1-Zeichen">
    <w:name w:val="Überschrift 1 - Zeichen"/>
    <w:basedOn w:val="DefaultParagraphFont"/>
    <w:link w:val="berschrift11"/>
    <w:uiPriority w:val="1"/>
    <w:rsid w:val="005E1386"/>
    <w:rPr>
      <w:color w:val="595959" w:themeColor="text1" w:themeTint="A6"/>
      <w:sz w:val="36"/>
      <w:szCs w:val="20"/>
      <w:lang w:val="de-DE"/>
      <w14:ligatures w14:val="none"/>
    </w:rPr>
  </w:style>
  <w:style w:type="character" w:customStyle="1" w:styleId="berschrift2-Zeichen">
    <w:name w:val="Überschrift 2 - Zeichen"/>
    <w:basedOn w:val="DefaultParagraphFont"/>
    <w:link w:val="berschrift21"/>
    <w:uiPriority w:val="1"/>
    <w:rsid w:val="005E1386"/>
    <w:rPr>
      <w:rFonts w:asciiTheme="majorHAnsi" w:eastAsiaTheme="majorEastAsia" w:hAnsiTheme="majorHAnsi" w:cstheme="majorBidi"/>
      <w:caps/>
      <w:color w:val="0F4761" w:themeColor="accent1" w:themeShade="BF"/>
      <w:sz w:val="24"/>
      <w:szCs w:val="20"/>
      <w:lang w:val="de-DE"/>
    </w:rPr>
  </w:style>
  <w:style w:type="character" w:customStyle="1" w:styleId="Platzhaltertext1">
    <w:name w:val="Platzhaltertext1"/>
    <w:basedOn w:val="DefaultParagraphFont"/>
    <w:uiPriority w:val="99"/>
    <w:semiHidden/>
    <w:rsid w:val="005E1386"/>
    <w:rPr>
      <w:color w:val="808080"/>
    </w:rPr>
  </w:style>
  <w:style w:type="paragraph" w:customStyle="1" w:styleId="Zitat1">
    <w:name w:val="Zitat1"/>
    <w:basedOn w:val="Normal"/>
    <w:next w:val="Normal"/>
    <w:link w:val="Zitatzeichen"/>
    <w:uiPriority w:val="9"/>
    <w:unhideWhenUsed/>
    <w:qFormat/>
    <w:rsid w:val="005E1386"/>
    <w:pPr>
      <w:spacing w:before="240" w:after="240"/>
      <w:ind w:left="720" w:right="720"/>
    </w:pPr>
    <w:rPr>
      <w:i/>
      <w:iCs/>
      <w:color w:val="156082" w:themeColor="accent1"/>
      <w:sz w:val="28"/>
    </w:rPr>
  </w:style>
  <w:style w:type="character" w:customStyle="1" w:styleId="Zitatzeichen">
    <w:name w:val="Zitatzeichen"/>
    <w:basedOn w:val="DefaultParagraphFont"/>
    <w:link w:val="Zitat1"/>
    <w:uiPriority w:val="9"/>
    <w:rsid w:val="005E1386"/>
    <w:rPr>
      <w:i/>
      <w:iCs/>
      <w:color w:val="156082" w:themeColor="accent1"/>
      <w:sz w:val="28"/>
      <w:szCs w:val="20"/>
      <w:lang w:val="de-DE"/>
      <w14:ligatures w14:val="none"/>
    </w:rPr>
  </w:style>
  <w:style w:type="paragraph" w:customStyle="1" w:styleId="Literaturverzeichnis1">
    <w:name w:val="Literaturverzeichnis1"/>
    <w:basedOn w:val="Normal"/>
    <w:next w:val="Normal"/>
    <w:uiPriority w:val="37"/>
    <w:semiHidden/>
    <w:unhideWhenUsed/>
    <w:rsid w:val="005E1386"/>
  </w:style>
  <w:style w:type="paragraph" w:customStyle="1" w:styleId="Blocktext1">
    <w:name w:val="Blocktext1"/>
    <w:basedOn w:val="Normal"/>
    <w:uiPriority w:val="99"/>
    <w:semiHidden/>
    <w:unhideWhenUsed/>
    <w:rsid w:val="005E1386"/>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customStyle="1" w:styleId="Textkrper1">
    <w:name w:val="Textkörper1"/>
    <w:basedOn w:val="Normal"/>
    <w:link w:val="Textkrperzeichen"/>
    <w:uiPriority w:val="99"/>
    <w:semiHidden/>
    <w:unhideWhenUsed/>
    <w:rsid w:val="005E1386"/>
    <w:pPr>
      <w:spacing w:after="120"/>
    </w:pPr>
  </w:style>
  <w:style w:type="character" w:customStyle="1" w:styleId="Textkrperzeichen">
    <w:name w:val="Textkörperzeichen"/>
    <w:basedOn w:val="DefaultParagraphFont"/>
    <w:link w:val="Textkrper1"/>
    <w:uiPriority w:val="99"/>
    <w:semiHidden/>
    <w:rsid w:val="005E1386"/>
    <w:rPr>
      <w:color w:val="595959" w:themeColor="text1" w:themeTint="A6"/>
      <w:sz w:val="20"/>
      <w:szCs w:val="20"/>
      <w:lang w:val="de-DE"/>
      <w14:ligatures w14:val="none"/>
    </w:rPr>
  </w:style>
  <w:style w:type="paragraph" w:customStyle="1" w:styleId="Textkrper21">
    <w:name w:val="Textkörper 21"/>
    <w:basedOn w:val="Normal"/>
    <w:link w:val="Textkrper2-Zeichen"/>
    <w:uiPriority w:val="99"/>
    <w:semiHidden/>
    <w:unhideWhenUsed/>
    <w:rsid w:val="005E1386"/>
    <w:pPr>
      <w:spacing w:after="120" w:line="480" w:lineRule="auto"/>
    </w:pPr>
  </w:style>
  <w:style w:type="character" w:customStyle="1" w:styleId="Textkrper2-Zeichen">
    <w:name w:val="Textkörper 2 - Zeichen"/>
    <w:basedOn w:val="DefaultParagraphFont"/>
    <w:link w:val="Textkrper21"/>
    <w:uiPriority w:val="99"/>
    <w:semiHidden/>
    <w:rsid w:val="005E1386"/>
    <w:rPr>
      <w:color w:val="595959" w:themeColor="text1" w:themeTint="A6"/>
      <w:sz w:val="20"/>
      <w:szCs w:val="20"/>
      <w:lang w:val="de-DE"/>
      <w14:ligatures w14:val="none"/>
    </w:rPr>
  </w:style>
  <w:style w:type="paragraph" w:customStyle="1" w:styleId="Textkrper31">
    <w:name w:val="Textkörper 31"/>
    <w:basedOn w:val="Normal"/>
    <w:link w:val="Textkrper3-Zeichen"/>
    <w:uiPriority w:val="99"/>
    <w:semiHidden/>
    <w:unhideWhenUsed/>
    <w:rsid w:val="005E1386"/>
    <w:pPr>
      <w:spacing w:after="120"/>
    </w:pPr>
    <w:rPr>
      <w:sz w:val="16"/>
    </w:rPr>
  </w:style>
  <w:style w:type="character" w:customStyle="1" w:styleId="Textkrper3-Zeichen">
    <w:name w:val="Textkörper 3 - Zeichen"/>
    <w:basedOn w:val="DefaultParagraphFont"/>
    <w:link w:val="Textkrper31"/>
    <w:uiPriority w:val="99"/>
    <w:semiHidden/>
    <w:rsid w:val="005E1386"/>
    <w:rPr>
      <w:color w:val="595959" w:themeColor="text1" w:themeTint="A6"/>
      <w:sz w:val="16"/>
      <w:szCs w:val="20"/>
      <w:lang w:val="de-DE"/>
      <w14:ligatures w14:val="none"/>
    </w:rPr>
  </w:style>
  <w:style w:type="paragraph" w:customStyle="1" w:styleId="Textkrper-Erstzeileneinzug1">
    <w:name w:val="Textkörper-Erstzeileneinzug1"/>
    <w:basedOn w:val="Textkrper1"/>
    <w:link w:val="Textkrper-Erstzeileneinzug-Zeichen"/>
    <w:uiPriority w:val="99"/>
    <w:semiHidden/>
    <w:unhideWhenUsed/>
    <w:rsid w:val="005E1386"/>
    <w:pPr>
      <w:spacing w:after="200"/>
      <w:ind w:firstLine="360"/>
    </w:pPr>
  </w:style>
  <w:style w:type="character" w:customStyle="1" w:styleId="Textkrper-Erstzeileneinzug-Zeichen">
    <w:name w:val="Textkörper-Erstzeileneinzug - Zeichen"/>
    <w:basedOn w:val="Textkrperzeichen"/>
    <w:link w:val="Textkrper-Erstzeileneinzug1"/>
    <w:uiPriority w:val="99"/>
    <w:semiHidden/>
    <w:rsid w:val="005E1386"/>
    <w:rPr>
      <w:color w:val="595959" w:themeColor="text1" w:themeTint="A6"/>
      <w:sz w:val="20"/>
      <w:szCs w:val="20"/>
      <w:lang w:val="de-DE"/>
      <w14:ligatures w14:val="none"/>
    </w:rPr>
  </w:style>
  <w:style w:type="paragraph" w:customStyle="1" w:styleId="Textkrper-Zeileneinzug1">
    <w:name w:val="Textkörper-Zeileneinzug1"/>
    <w:basedOn w:val="Normal"/>
    <w:link w:val="Textkrper-Zeileneinzug-Zeichen"/>
    <w:uiPriority w:val="99"/>
    <w:semiHidden/>
    <w:unhideWhenUsed/>
    <w:rsid w:val="005E1386"/>
    <w:pPr>
      <w:spacing w:after="120"/>
      <w:ind w:left="360"/>
    </w:pPr>
  </w:style>
  <w:style w:type="character" w:customStyle="1" w:styleId="Textkrper-Zeileneinzug-Zeichen">
    <w:name w:val="Textkörper-Zeileneinzug - Zeichen"/>
    <w:basedOn w:val="DefaultParagraphFont"/>
    <w:link w:val="Textkrper-Zeileneinzug1"/>
    <w:uiPriority w:val="99"/>
    <w:semiHidden/>
    <w:rsid w:val="005E1386"/>
    <w:rPr>
      <w:color w:val="595959" w:themeColor="text1" w:themeTint="A6"/>
      <w:sz w:val="20"/>
      <w:szCs w:val="20"/>
      <w:lang w:val="de-DE"/>
      <w14:ligatures w14:val="none"/>
    </w:rPr>
  </w:style>
  <w:style w:type="paragraph" w:customStyle="1" w:styleId="Textkrper-Erstzeileneinzug21">
    <w:name w:val="Textkörper-Erstzeileneinzug 21"/>
    <w:basedOn w:val="Textkrper-Zeileneinzug1"/>
    <w:link w:val="Textkrper-Erstzeileneinzug2-Zeichen"/>
    <w:uiPriority w:val="99"/>
    <w:semiHidden/>
    <w:unhideWhenUsed/>
    <w:rsid w:val="005E1386"/>
    <w:pPr>
      <w:spacing w:after="200"/>
      <w:ind w:firstLine="360"/>
    </w:pPr>
  </w:style>
  <w:style w:type="character" w:customStyle="1" w:styleId="Textkrper-Erstzeileneinzug2-Zeichen">
    <w:name w:val="Textkörper-Erstzeileneinzug 2 - Zeichen"/>
    <w:basedOn w:val="Textkrper-Zeileneinzug-Zeichen"/>
    <w:link w:val="Textkrper-Erstzeileneinzug21"/>
    <w:uiPriority w:val="99"/>
    <w:semiHidden/>
    <w:rsid w:val="005E1386"/>
    <w:rPr>
      <w:color w:val="595959" w:themeColor="text1" w:themeTint="A6"/>
      <w:sz w:val="20"/>
      <w:szCs w:val="20"/>
      <w:lang w:val="de-DE"/>
      <w14:ligatures w14:val="none"/>
    </w:rPr>
  </w:style>
  <w:style w:type="paragraph" w:customStyle="1" w:styleId="Textkrper-Einzug21">
    <w:name w:val="Textkörper-Einzug 21"/>
    <w:basedOn w:val="Normal"/>
    <w:link w:val="Textkrper-Einzug2-Zeichen"/>
    <w:uiPriority w:val="99"/>
    <w:semiHidden/>
    <w:unhideWhenUsed/>
    <w:rsid w:val="005E1386"/>
    <w:pPr>
      <w:spacing w:after="120" w:line="480" w:lineRule="auto"/>
      <w:ind w:left="360"/>
    </w:pPr>
  </w:style>
  <w:style w:type="character" w:customStyle="1" w:styleId="Textkrper-Einzug2-Zeichen">
    <w:name w:val="Textkörper-Einzug 2 - Zeichen"/>
    <w:basedOn w:val="DefaultParagraphFont"/>
    <w:link w:val="Textkrper-Einzug21"/>
    <w:uiPriority w:val="99"/>
    <w:semiHidden/>
    <w:rsid w:val="005E1386"/>
    <w:rPr>
      <w:color w:val="595959" w:themeColor="text1" w:themeTint="A6"/>
      <w:sz w:val="20"/>
      <w:szCs w:val="20"/>
      <w:lang w:val="de-DE"/>
      <w14:ligatures w14:val="none"/>
    </w:rPr>
  </w:style>
  <w:style w:type="paragraph" w:customStyle="1" w:styleId="Textkrper-Einzug31">
    <w:name w:val="Textkörper-Einzug 31"/>
    <w:basedOn w:val="Normal"/>
    <w:link w:val="Textkrper-Einzug3-Zeichen"/>
    <w:uiPriority w:val="99"/>
    <w:semiHidden/>
    <w:unhideWhenUsed/>
    <w:rsid w:val="005E1386"/>
    <w:pPr>
      <w:spacing w:after="120"/>
      <w:ind w:left="360"/>
    </w:pPr>
    <w:rPr>
      <w:sz w:val="16"/>
    </w:rPr>
  </w:style>
  <w:style w:type="character" w:customStyle="1" w:styleId="Textkrper-Einzug3-Zeichen">
    <w:name w:val="Textkörper-Einzug 3 - Zeichen"/>
    <w:basedOn w:val="DefaultParagraphFont"/>
    <w:link w:val="Textkrper-Einzug31"/>
    <w:uiPriority w:val="99"/>
    <w:semiHidden/>
    <w:rsid w:val="005E1386"/>
    <w:rPr>
      <w:color w:val="595959" w:themeColor="text1" w:themeTint="A6"/>
      <w:sz w:val="16"/>
      <w:szCs w:val="20"/>
      <w:lang w:val="de-DE"/>
      <w14:ligatures w14:val="none"/>
    </w:rPr>
  </w:style>
  <w:style w:type="character" w:customStyle="1" w:styleId="Buchtitel1">
    <w:name w:val="Buchtitel1"/>
    <w:basedOn w:val="DefaultParagraphFont"/>
    <w:uiPriority w:val="33"/>
    <w:semiHidden/>
    <w:unhideWhenUsed/>
    <w:rsid w:val="005E1386"/>
    <w:rPr>
      <w:b/>
      <w:bCs/>
      <w:smallCaps/>
      <w:spacing w:val="5"/>
    </w:rPr>
  </w:style>
  <w:style w:type="paragraph" w:customStyle="1" w:styleId="Beschriftung1">
    <w:name w:val="Beschriftung1"/>
    <w:basedOn w:val="Normal"/>
    <w:next w:val="Normal"/>
    <w:uiPriority w:val="35"/>
    <w:semiHidden/>
    <w:unhideWhenUsed/>
    <w:qFormat/>
    <w:rsid w:val="005E1386"/>
    <w:pPr>
      <w:spacing w:line="240" w:lineRule="auto"/>
    </w:pPr>
    <w:rPr>
      <w:b/>
      <w:bCs/>
      <w:color w:val="156082" w:themeColor="accent1"/>
      <w:sz w:val="18"/>
    </w:rPr>
  </w:style>
  <w:style w:type="paragraph" w:customStyle="1" w:styleId="Gruformel1">
    <w:name w:val="Grußformel1"/>
    <w:basedOn w:val="Normal"/>
    <w:link w:val="Gruformelzeichen"/>
    <w:uiPriority w:val="99"/>
    <w:semiHidden/>
    <w:unhideWhenUsed/>
    <w:rsid w:val="005E1386"/>
    <w:pPr>
      <w:spacing w:after="0" w:line="240" w:lineRule="auto"/>
      <w:ind w:left="4320"/>
    </w:pPr>
  </w:style>
  <w:style w:type="character" w:customStyle="1" w:styleId="Gruformelzeichen">
    <w:name w:val="Grußformelzeichen"/>
    <w:basedOn w:val="DefaultParagraphFont"/>
    <w:link w:val="Gruformel1"/>
    <w:uiPriority w:val="99"/>
    <w:semiHidden/>
    <w:rsid w:val="005E1386"/>
    <w:rPr>
      <w:color w:val="595959" w:themeColor="text1" w:themeTint="A6"/>
      <w:sz w:val="20"/>
      <w:szCs w:val="20"/>
      <w:lang w:val="de-DE"/>
      <w14:ligatures w14:val="none"/>
    </w:rPr>
  </w:style>
  <w:style w:type="table" w:customStyle="1" w:styleId="FarbigesGitternetz">
    <w:name w:val="Farbiges Gitternetz"/>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FarbigesGitternetz-Akzent1">
    <w:name w:val="Farbiges Gitternetz - Akzent 1"/>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customStyle="1" w:styleId="FarbigesGitternetz-Akzent2">
    <w:name w:val="Farbiges Gitternetz - Akzent 2"/>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customStyle="1" w:styleId="FarbigesGitternetz-Akzent3">
    <w:name w:val="Farbiges Gitternetz - Akzent 3"/>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customStyle="1" w:styleId="FarbigesGitternetz-Akzent4">
    <w:name w:val="Farbiges Gitternetz - Akzent 4"/>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customStyle="1" w:styleId="FarbigesGitternetz-Akzent5">
    <w:name w:val="Farbiges Gitternetz - Akzent 5"/>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customStyle="1" w:styleId="FarbigesGitternetz-Akzent6">
    <w:name w:val="Farbiges Gitternetz - Akzent 6"/>
    <w:basedOn w:val="TableNormal"/>
    <w:uiPriority w:val="73"/>
    <w:rsid w:val="005E1386"/>
    <w:pPr>
      <w:spacing w:before="40" w:after="0" w:line="240" w:lineRule="auto"/>
    </w:pPr>
    <w:rPr>
      <w:color w:val="000000" w:themeColor="text1"/>
      <w:sz w:val="20"/>
      <w:szCs w:val="20"/>
      <w:lang w:val="de-DE"/>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FarbigeListe1">
    <w:name w:val="Farbige Liste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customStyle="1" w:styleId="FarbigeListe-Akzent11">
    <w:name w:val="Farbige Liste - Akzent 1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B2DEF2" w:themeFill="accent1" w:themeFillTint="3F"/>
      </w:tcPr>
    </w:tblStylePr>
    <w:tblStylePr w:type="band1Horz">
      <w:tblPr/>
      <w:tcPr>
        <w:shd w:val="clear" w:color="auto" w:fill="C1E4F5" w:themeFill="accent1" w:themeFillTint="33"/>
      </w:tcPr>
    </w:tblStylePr>
  </w:style>
  <w:style w:type="table" w:customStyle="1" w:styleId="FarbigeListe-Akzent21">
    <w:name w:val="Farbige Liste - Akzent 2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9DBCC" w:themeFill="accent2" w:themeFillTint="3F"/>
      </w:tcPr>
    </w:tblStylePr>
    <w:tblStylePr w:type="band1Horz">
      <w:tblPr/>
      <w:tcPr>
        <w:shd w:val="clear" w:color="auto" w:fill="FAE2D5" w:themeFill="accent2" w:themeFillTint="33"/>
      </w:tcPr>
    </w:tblStylePr>
  </w:style>
  <w:style w:type="table" w:customStyle="1" w:styleId="FarbigeListe-Akzent31">
    <w:name w:val="Farbige Liste - Akzent 3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B3EDBA" w:themeFill="accent3" w:themeFillTint="3F"/>
      </w:tcPr>
    </w:tblStylePr>
    <w:tblStylePr w:type="band1Horz">
      <w:tblPr/>
      <w:tcPr>
        <w:shd w:val="clear" w:color="auto" w:fill="C1F0C7" w:themeFill="accent3" w:themeFillTint="33"/>
      </w:tcPr>
    </w:tblStylePr>
  </w:style>
  <w:style w:type="table" w:customStyle="1" w:styleId="FarbigeListe-Akzent41">
    <w:name w:val="Farbige Liste - Akzent 4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BDE9FA" w:themeFill="accent4" w:themeFillTint="3F"/>
      </w:tcPr>
    </w:tblStylePr>
    <w:tblStylePr w:type="band1Horz">
      <w:tblPr/>
      <w:tcPr>
        <w:shd w:val="clear" w:color="auto" w:fill="CAEDFB" w:themeFill="accent4" w:themeFillTint="33"/>
      </w:tcPr>
    </w:tblStylePr>
  </w:style>
  <w:style w:type="table" w:customStyle="1" w:styleId="FarbigeListe-Akzent51">
    <w:name w:val="Farbige Liste - Akzent 5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EFC3E9" w:themeFill="accent5" w:themeFillTint="3F"/>
      </w:tcPr>
    </w:tblStylePr>
    <w:tblStylePr w:type="band1Horz">
      <w:tblPr/>
      <w:tcPr>
        <w:shd w:val="clear" w:color="auto" w:fill="F2CEED" w:themeFill="accent5" w:themeFillTint="33"/>
      </w:tcPr>
    </w:tblStylePr>
  </w:style>
  <w:style w:type="table" w:customStyle="1" w:styleId="FarbigeListe-Akzent61">
    <w:name w:val="Farbige Liste - Akzent 61"/>
    <w:basedOn w:val="TableNormal"/>
    <w:uiPriority w:val="72"/>
    <w:rsid w:val="005E1386"/>
    <w:pPr>
      <w:spacing w:before="40" w:after="0" w:line="240" w:lineRule="auto"/>
    </w:pPr>
    <w:rPr>
      <w:color w:val="000000" w:themeColor="text1"/>
      <w:sz w:val="20"/>
      <w:szCs w:val="20"/>
      <w:lang w:val="de-DE"/>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FarbigeSchattierung1">
    <w:name w:val="Farbige Schattierung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E97132" w:themeColor="accent2"/>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000000" w:themeColor="text1" w:themeShade="99"/>
          <w:insideV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FarbigeSchattierung-Akzent11">
    <w:name w:val="Farbige Schattierung - Akzent 1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one" w:sz="4" w:space="0" w:color="000000"/>
          <w:left w:val="none" w:sz="4" w:space="0" w:color="000000"/>
          <w:bottom w:val="single" w:sz="24" w:space="0" w:color="E97132" w:themeColor="accent2"/>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0C394D" w:themeColor="accent1" w:themeShade="99"/>
          <w:insideV w:val="none" w:sz="4" w:space="0" w:color="000000"/>
        </w:tcBorders>
        <w:shd w:val="clear" w:color="auto" w:fill="0C394D"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customStyle="1" w:styleId="FarbigeSchattierung-Akzent21">
    <w:name w:val="Farbige Schattierung - Akzent 2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one" w:sz="4" w:space="0" w:color="000000"/>
          <w:left w:val="none" w:sz="4" w:space="0" w:color="000000"/>
          <w:bottom w:val="single" w:sz="24" w:space="0" w:color="E97132" w:themeColor="accent2"/>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993F10" w:themeColor="accent2" w:themeShade="99"/>
          <w:insideV w:val="none" w:sz="4" w:space="0" w:color="000000"/>
        </w:tcBorders>
        <w:shd w:val="clear" w:color="auto" w:fill="993F10"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customStyle="1" w:styleId="FarbigeSchattierung-Akzent31">
    <w:name w:val="Farbige Schattierung - Akzent 3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one" w:sz="4" w:space="0" w:color="000000"/>
          <w:left w:val="none" w:sz="4" w:space="0" w:color="000000"/>
          <w:bottom w:val="single" w:sz="24" w:space="0" w:color="0F9ED5" w:themeColor="accent4"/>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0F4015" w:themeColor="accent3" w:themeShade="99"/>
          <w:insideV w:val="none" w:sz="4" w:space="0" w:color="000000"/>
        </w:tcBorders>
        <w:shd w:val="clear" w:color="auto" w:fill="0F4015"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customStyle="1" w:styleId="FarbigeSchattierung-Akzent41">
    <w:name w:val="Farbige Schattierung - Akzent 4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one" w:sz="4" w:space="0" w:color="000000"/>
          <w:left w:val="none" w:sz="4" w:space="0" w:color="000000"/>
          <w:bottom w:val="single" w:sz="24" w:space="0" w:color="196B24" w:themeColor="accent3"/>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095E7F" w:themeColor="accent4" w:themeShade="99"/>
          <w:insideV w:val="none" w:sz="4" w:space="0" w:color="000000"/>
        </w:tcBorders>
        <w:shd w:val="clear" w:color="auto" w:fill="095E7F"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customStyle="1" w:styleId="FarbigeSchattierung-Akzent51">
    <w:name w:val="Farbige Schattierung - Akzent 5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one" w:sz="4" w:space="0" w:color="000000"/>
          <w:left w:val="none" w:sz="4" w:space="0" w:color="000000"/>
          <w:bottom w:val="single" w:sz="24" w:space="0" w:color="4EA72E" w:themeColor="accent6"/>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5F1957" w:themeColor="accent5" w:themeShade="99"/>
          <w:insideV w:val="none" w:sz="4" w:space="0" w:color="000000"/>
        </w:tcBorders>
        <w:shd w:val="clear" w:color="auto" w:fill="5F1957"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customStyle="1" w:styleId="FarbigeSchattierung-Akzent61">
    <w:name w:val="Farbige Schattierung - Akzent 61"/>
    <w:basedOn w:val="TableNormal"/>
    <w:uiPriority w:val="71"/>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one" w:sz="4" w:space="0" w:color="000000"/>
          <w:left w:val="none" w:sz="4" w:space="0" w:color="000000"/>
          <w:bottom w:val="single" w:sz="24" w:space="0" w:color="A02B93" w:themeColor="accent5"/>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2E641B" w:themeColor="accent6" w:themeShade="99"/>
          <w:insideV w:val="none" w:sz="4" w:space="0" w:color="000000"/>
        </w:tcBorders>
        <w:shd w:val="clear" w:color="auto" w:fill="2E641B"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customStyle="1" w:styleId="Anmerkungsreferenz">
    <w:name w:val="Anmerkungsreferenz"/>
    <w:basedOn w:val="DefaultParagraphFont"/>
    <w:uiPriority w:val="99"/>
    <w:semiHidden/>
    <w:unhideWhenUsed/>
    <w:rsid w:val="005E1386"/>
    <w:rPr>
      <w:sz w:val="16"/>
    </w:rPr>
  </w:style>
  <w:style w:type="paragraph" w:customStyle="1" w:styleId="Anmerkungstext">
    <w:name w:val="Anmerkungstext"/>
    <w:basedOn w:val="Normal"/>
    <w:link w:val="Kommentartextzeichen"/>
    <w:uiPriority w:val="99"/>
    <w:semiHidden/>
    <w:unhideWhenUsed/>
    <w:rsid w:val="005E1386"/>
    <w:pPr>
      <w:spacing w:line="240" w:lineRule="auto"/>
    </w:pPr>
  </w:style>
  <w:style w:type="character" w:customStyle="1" w:styleId="Kommentartextzeichen">
    <w:name w:val="Kommentartextzeichen"/>
    <w:basedOn w:val="DefaultParagraphFont"/>
    <w:link w:val="Anmerkungstext"/>
    <w:uiPriority w:val="99"/>
    <w:semiHidden/>
    <w:rsid w:val="005E1386"/>
    <w:rPr>
      <w:color w:val="595959" w:themeColor="text1" w:themeTint="A6"/>
      <w:sz w:val="20"/>
      <w:szCs w:val="20"/>
      <w:lang w:val="de-DE"/>
      <w14:ligatures w14:val="none"/>
    </w:rPr>
  </w:style>
  <w:style w:type="paragraph" w:customStyle="1" w:styleId="Anmerkungsthema">
    <w:name w:val="Anmerkungsthema"/>
    <w:basedOn w:val="Anmerkungstext"/>
    <w:next w:val="Anmerkungstext"/>
    <w:link w:val="Kommentarthemazeichen"/>
    <w:uiPriority w:val="99"/>
    <w:semiHidden/>
    <w:unhideWhenUsed/>
    <w:rsid w:val="005E1386"/>
    <w:rPr>
      <w:b/>
      <w:bCs/>
    </w:rPr>
  </w:style>
  <w:style w:type="character" w:customStyle="1" w:styleId="Kommentarthemazeichen">
    <w:name w:val="Kommentarthemazeichen"/>
    <w:basedOn w:val="Kommentartextzeichen"/>
    <w:link w:val="Anmerkungsthema"/>
    <w:uiPriority w:val="99"/>
    <w:semiHidden/>
    <w:rsid w:val="005E1386"/>
    <w:rPr>
      <w:b/>
      <w:bCs/>
      <w:color w:val="595959" w:themeColor="text1" w:themeTint="A6"/>
      <w:sz w:val="20"/>
      <w:szCs w:val="20"/>
      <w:lang w:val="de-DE"/>
      <w14:ligatures w14:val="none"/>
    </w:rPr>
  </w:style>
  <w:style w:type="table" w:customStyle="1" w:styleId="DunkleListe1">
    <w:name w:val="Dunkle Liste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style>
  <w:style w:type="table" w:customStyle="1" w:styleId="DunkleListe-Akzent11">
    <w:name w:val="Dunkle Liste - Akzent 1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156082"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0A2F4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0F476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0F4761" w:themeFill="accent1"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F4761" w:themeFill="accent1"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F4761" w:themeFill="accent1" w:themeFillShade="BF"/>
      </w:tcPr>
    </w:tblStylePr>
  </w:style>
  <w:style w:type="table" w:customStyle="1" w:styleId="DunkleListe-Akzent21">
    <w:name w:val="Dunkle Liste - Akzent 2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E97132"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7F340D"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BF4E1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BF4E14" w:themeFill="accent2"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BF4E14" w:themeFill="accent2"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BF4E14" w:themeFill="accent2" w:themeFillShade="BF"/>
      </w:tcPr>
    </w:tblStylePr>
  </w:style>
  <w:style w:type="table" w:customStyle="1" w:styleId="DunkleListe-Akzent31">
    <w:name w:val="Dunkle Liste - Akzent 3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196B24"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0C3511"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124F1A"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124F1A" w:themeFill="accent3"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124F1A" w:themeFill="accent3"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124F1A" w:themeFill="accent3" w:themeFillShade="BF"/>
      </w:tcPr>
    </w:tblStylePr>
  </w:style>
  <w:style w:type="table" w:customStyle="1" w:styleId="DunkleListe-Akzent41">
    <w:name w:val="Dunkle Liste - Akzent 4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0F9ED5"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074E69"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0B769F"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0B769F" w:themeFill="accent4"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B769F" w:themeFill="accent4"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B769F" w:themeFill="accent4" w:themeFillShade="BF"/>
      </w:tcPr>
    </w:tblStylePr>
  </w:style>
  <w:style w:type="table" w:customStyle="1" w:styleId="DunkleListe-Akzent51">
    <w:name w:val="Dunkle Liste - Akzent 5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A02B93"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4F1548"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77206D"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77206D" w:themeFill="accent5"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77206D" w:themeFill="accent5"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77206D" w:themeFill="accent5" w:themeFillShade="BF"/>
      </w:tcPr>
    </w:tblStylePr>
  </w:style>
  <w:style w:type="table" w:customStyle="1" w:styleId="DunkleListe-Akzent61">
    <w:name w:val="Dunkle Liste - Akzent 61"/>
    <w:basedOn w:val="TableNormal"/>
    <w:uiPriority w:val="70"/>
    <w:rsid w:val="005E1386"/>
    <w:pPr>
      <w:spacing w:before="40" w:after="0" w:line="240" w:lineRule="auto"/>
    </w:pPr>
    <w:rPr>
      <w:color w:val="FFFFFF" w:themeColor="background1"/>
      <w:sz w:val="20"/>
      <w:szCs w:val="20"/>
      <w:lang w:val="de-DE"/>
      <w14:ligatures w14:val="none"/>
    </w:rPr>
    <w:tblPr>
      <w:tblStyleRowBandSize w:val="1"/>
      <w:tblStyleColBandSize w:val="1"/>
    </w:tblPr>
    <w:tcPr>
      <w:shd w:val="clear" w:color="auto" w:fill="4EA72E"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265317"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3A7C22"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3A7C22" w:themeFill="accent6"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3A7C22" w:themeFill="accent6"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3A7C22" w:themeFill="accent6" w:themeFillShade="BF"/>
      </w:tcPr>
    </w:tblStylePr>
  </w:style>
  <w:style w:type="paragraph" w:customStyle="1" w:styleId="Datum1">
    <w:name w:val="Datum1"/>
    <w:basedOn w:val="Normal"/>
    <w:next w:val="Normal"/>
    <w:link w:val="Datumszeichen"/>
    <w:uiPriority w:val="99"/>
    <w:semiHidden/>
    <w:unhideWhenUsed/>
    <w:rsid w:val="005E1386"/>
  </w:style>
  <w:style w:type="character" w:customStyle="1" w:styleId="Datumszeichen">
    <w:name w:val="Datumszeichen"/>
    <w:basedOn w:val="DefaultParagraphFont"/>
    <w:link w:val="Datum1"/>
    <w:uiPriority w:val="99"/>
    <w:semiHidden/>
    <w:rsid w:val="005E1386"/>
    <w:rPr>
      <w:color w:val="595959" w:themeColor="text1" w:themeTint="A6"/>
      <w:sz w:val="20"/>
      <w:szCs w:val="20"/>
      <w:lang w:val="de-DE"/>
      <w14:ligatures w14:val="none"/>
    </w:rPr>
  </w:style>
  <w:style w:type="paragraph" w:customStyle="1" w:styleId="Dokumentstruktur1">
    <w:name w:val="Dokumentstruktur1"/>
    <w:basedOn w:val="Normal"/>
    <w:link w:val="Dokumentstrukturzeichen"/>
    <w:uiPriority w:val="99"/>
    <w:semiHidden/>
    <w:unhideWhenUsed/>
    <w:rsid w:val="005E1386"/>
    <w:pPr>
      <w:spacing w:after="0" w:line="240" w:lineRule="auto"/>
    </w:pPr>
    <w:rPr>
      <w:rFonts w:ascii="Tahoma" w:hAnsi="Tahoma" w:cs="Tahoma"/>
      <w:sz w:val="16"/>
    </w:rPr>
  </w:style>
  <w:style w:type="character" w:customStyle="1" w:styleId="Dokumentstrukturzeichen">
    <w:name w:val="Dokumentstrukturzeichen"/>
    <w:basedOn w:val="DefaultParagraphFont"/>
    <w:link w:val="Dokumentstruktur1"/>
    <w:uiPriority w:val="99"/>
    <w:semiHidden/>
    <w:rsid w:val="005E1386"/>
    <w:rPr>
      <w:rFonts w:ascii="Tahoma" w:hAnsi="Tahoma" w:cs="Tahoma"/>
      <w:color w:val="595959" w:themeColor="text1" w:themeTint="A6"/>
      <w:sz w:val="16"/>
      <w:szCs w:val="20"/>
      <w:lang w:val="de-DE"/>
      <w14:ligatures w14:val="none"/>
    </w:rPr>
  </w:style>
  <w:style w:type="paragraph" w:customStyle="1" w:styleId="E-Mail-Signatur1">
    <w:name w:val="E-Mail-Signatur1"/>
    <w:basedOn w:val="Normal"/>
    <w:link w:val="E-Mail-Signatur-Zeichen"/>
    <w:uiPriority w:val="99"/>
    <w:semiHidden/>
    <w:unhideWhenUsed/>
    <w:rsid w:val="005E1386"/>
    <w:pPr>
      <w:spacing w:after="0" w:line="240" w:lineRule="auto"/>
    </w:pPr>
  </w:style>
  <w:style w:type="character" w:customStyle="1" w:styleId="E-Mail-Signatur-Zeichen">
    <w:name w:val="E-Mail-Signatur - Zeichen"/>
    <w:basedOn w:val="DefaultParagraphFont"/>
    <w:link w:val="E-Mail-Signatur1"/>
    <w:uiPriority w:val="99"/>
    <w:semiHidden/>
    <w:rsid w:val="005E1386"/>
    <w:rPr>
      <w:color w:val="595959" w:themeColor="text1" w:themeTint="A6"/>
      <w:sz w:val="20"/>
      <w:szCs w:val="20"/>
      <w:lang w:val="de-DE"/>
      <w14:ligatures w14:val="none"/>
    </w:rPr>
  </w:style>
  <w:style w:type="character" w:customStyle="1" w:styleId="Hervorhebung1">
    <w:name w:val="Hervorhebung1"/>
    <w:basedOn w:val="DefaultParagraphFont"/>
    <w:uiPriority w:val="20"/>
    <w:semiHidden/>
    <w:unhideWhenUsed/>
    <w:rsid w:val="005E1386"/>
    <w:rPr>
      <w:i/>
      <w:iCs/>
    </w:rPr>
  </w:style>
  <w:style w:type="character" w:customStyle="1" w:styleId="Endnotenzeichen1">
    <w:name w:val="Endnotenzeichen1"/>
    <w:basedOn w:val="DefaultParagraphFont"/>
    <w:uiPriority w:val="99"/>
    <w:semiHidden/>
    <w:unhideWhenUsed/>
    <w:rsid w:val="005E1386"/>
    <w:rPr>
      <w:vertAlign w:val="superscript"/>
    </w:rPr>
  </w:style>
  <w:style w:type="paragraph" w:customStyle="1" w:styleId="Endnotentext1">
    <w:name w:val="Endnotentext1"/>
    <w:basedOn w:val="Normal"/>
    <w:link w:val="Endnotentext-Zeichen"/>
    <w:uiPriority w:val="99"/>
    <w:semiHidden/>
    <w:unhideWhenUsed/>
    <w:rsid w:val="005E1386"/>
    <w:pPr>
      <w:spacing w:after="0" w:line="240" w:lineRule="auto"/>
    </w:pPr>
  </w:style>
  <w:style w:type="character" w:customStyle="1" w:styleId="Endnotentext-Zeichen">
    <w:name w:val="Endnotentext-Zeichen"/>
    <w:basedOn w:val="DefaultParagraphFont"/>
    <w:link w:val="Endnotentext1"/>
    <w:uiPriority w:val="99"/>
    <w:semiHidden/>
    <w:rsid w:val="005E1386"/>
    <w:rPr>
      <w:color w:val="595959" w:themeColor="text1" w:themeTint="A6"/>
      <w:sz w:val="20"/>
      <w:szCs w:val="20"/>
      <w:lang w:val="de-DE"/>
      <w14:ligatures w14:val="none"/>
    </w:rPr>
  </w:style>
  <w:style w:type="paragraph" w:customStyle="1" w:styleId="Umschlagadresse1">
    <w:name w:val="Umschlagadresse1"/>
    <w:basedOn w:val="Normal"/>
    <w:uiPriority w:val="99"/>
    <w:semiHidden/>
    <w:unhideWhenUsed/>
    <w:rsid w:val="005E1386"/>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Umschlagabsenderadresse1">
    <w:name w:val="Umschlagabsenderadresse1"/>
    <w:basedOn w:val="Normal"/>
    <w:uiPriority w:val="99"/>
    <w:semiHidden/>
    <w:unhideWhenUsed/>
    <w:rsid w:val="005E1386"/>
    <w:pPr>
      <w:spacing w:after="0" w:line="240" w:lineRule="auto"/>
    </w:pPr>
    <w:rPr>
      <w:rFonts w:asciiTheme="majorHAnsi" w:eastAsiaTheme="majorEastAsia" w:hAnsiTheme="majorHAnsi" w:cstheme="majorBidi"/>
    </w:rPr>
  </w:style>
  <w:style w:type="character" w:customStyle="1" w:styleId="BesuchterHyperlink">
    <w:name w:val="Besuchter Hyperlink"/>
    <w:basedOn w:val="DefaultParagraphFont"/>
    <w:uiPriority w:val="99"/>
    <w:semiHidden/>
    <w:unhideWhenUsed/>
    <w:rsid w:val="005E1386"/>
    <w:rPr>
      <w:color w:val="96607D" w:themeColor="followedHyperlink"/>
      <w:u w:val="single"/>
    </w:rPr>
  </w:style>
  <w:style w:type="character" w:customStyle="1" w:styleId="Funotenzeichen1">
    <w:name w:val="Fußnotenzeichen1"/>
    <w:basedOn w:val="DefaultParagraphFont"/>
    <w:uiPriority w:val="99"/>
    <w:semiHidden/>
    <w:unhideWhenUsed/>
    <w:rsid w:val="005E1386"/>
    <w:rPr>
      <w:vertAlign w:val="superscript"/>
    </w:rPr>
  </w:style>
  <w:style w:type="paragraph" w:customStyle="1" w:styleId="Funotentext1">
    <w:name w:val="Fußnotentext1"/>
    <w:basedOn w:val="Normal"/>
    <w:link w:val="Funotentext-Zeichen"/>
    <w:uiPriority w:val="99"/>
    <w:semiHidden/>
    <w:unhideWhenUsed/>
    <w:rsid w:val="005E1386"/>
    <w:pPr>
      <w:spacing w:after="0" w:line="240" w:lineRule="auto"/>
    </w:pPr>
  </w:style>
  <w:style w:type="character" w:customStyle="1" w:styleId="Funotentext-Zeichen">
    <w:name w:val="Fußnotentext-Zeichen"/>
    <w:basedOn w:val="DefaultParagraphFont"/>
    <w:link w:val="Funotentext1"/>
    <w:uiPriority w:val="99"/>
    <w:semiHidden/>
    <w:rsid w:val="005E1386"/>
    <w:rPr>
      <w:color w:val="595959" w:themeColor="text1" w:themeTint="A6"/>
      <w:sz w:val="20"/>
      <w:szCs w:val="20"/>
      <w:lang w:val="de-DE"/>
      <w14:ligatures w14:val="none"/>
    </w:rPr>
  </w:style>
  <w:style w:type="character" w:customStyle="1" w:styleId="berschrift3-Zeichen">
    <w:name w:val="Überschrift 3 - Zeichen"/>
    <w:basedOn w:val="DefaultParagraphFont"/>
    <w:link w:val="berschrift31"/>
    <w:uiPriority w:val="1"/>
    <w:rsid w:val="005E1386"/>
    <w:rPr>
      <w:rFonts w:asciiTheme="majorHAnsi" w:eastAsiaTheme="majorEastAsia" w:hAnsiTheme="majorHAnsi" w:cstheme="majorBidi"/>
      <w:b/>
      <w:bCs/>
      <w:color w:val="156082" w:themeColor="accent1"/>
      <w:sz w:val="20"/>
      <w:szCs w:val="20"/>
      <w:lang w:val="de-DE"/>
    </w:rPr>
  </w:style>
  <w:style w:type="character" w:customStyle="1" w:styleId="berschrift4-Zeichen">
    <w:name w:val="Überschrift 4 - Zeichen"/>
    <w:basedOn w:val="DefaultParagraphFont"/>
    <w:link w:val="berschrift41"/>
    <w:uiPriority w:val="18"/>
    <w:semiHidden/>
    <w:rsid w:val="005E1386"/>
    <w:rPr>
      <w:rFonts w:asciiTheme="majorHAnsi" w:eastAsiaTheme="majorEastAsia" w:hAnsiTheme="majorHAnsi" w:cstheme="majorBidi"/>
      <w:b/>
      <w:bCs/>
      <w:i/>
      <w:iCs/>
      <w:color w:val="156082" w:themeColor="accent1"/>
      <w:sz w:val="20"/>
      <w:szCs w:val="20"/>
      <w:lang w:val="de-DE"/>
      <w14:ligatures w14:val="none"/>
    </w:rPr>
  </w:style>
  <w:style w:type="character" w:customStyle="1" w:styleId="berschrift5-Zeichen">
    <w:name w:val="Überschrift 5 - Zeichen"/>
    <w:basedOn w:val="DefaultParagraphFont"/>
    <w:link w:val="berschrift51"/>
    <w:uiPriority w:val="18"/>
    <w:semiHidden/>
    <w:rsid w:val="005E1386"/>
    <w:rPr>
      <w:rFonts w:asciiTheme="majorHAnsi" w:eastAsiaTheme="majorEastAsia" w:hAnsiTheme="majorHAnsi" w:cstheme="majorBidi"/>
      <w:color w:val="0A2F40" w:themeColor="accent1" w:themeShade="7F"/>
      <w:sz w:val="20"/>
      <w:szCs w:val="20"/>
      <w:lang w:val="de-DE"/>
      <w14:ligatures w14:val="none"/>
    </w:rPr>
  </w:style>
  <w:style w:type="character" w:customStyle="1" w:styleId="berschrift6-Zeichen">
    <w:name w:val="Überschrift 6 - Zeichen"/>
    <w:basedOn w:val="DefaultParagraphFont"/>
    <w:link w:val="berschrift61"/>
    <w:uiPriority w:val="18"/>
    <w:semiHidden/>
    <w:rsid w:val="005E1386"/>
    <w:rPr>
      <w:rFonts w:asciiTheme="majorHAnsi" w:eastAsiaTheme="majorEastAsia" w:hAnsiTheme="majorHAnsi" w:cstheme="majorBidi"/>
      <w:i/>
      <w:iCs/>
      <w:color w:val="0A2F40" w:themeColor="accent1" w:themeShade="7F"/>
      <w:sz w:val="20"/>
      <w:szCs w:val="20"/>
      <w:lang w:val="de-DE"/>
      <w14:ligatures w14:val="none"/>
    </w:rPr>
  </w:style>
  <w:style w:type="character" w:customStyle="1" w:styleId="berschrift7-Zeichen">
    <w:name w:val="Überschrift 7 - Zeichen"/>
    <w:basedOn w:val="DefaultParagraphFont"/>
    <w:link w:val="berschrift71"/>
    <w:uiPriority w:val="18"/>
    <w:semiHidden/>
    <w:rsid w:val="005E1386"/>
    <w:rPr>
      <w:rFonts w:asciiTheme="majorHAnsi" w:eastAsiaTheme="majorEastAsia" w:hAnsiTheme="majorHAnsi" w:cstheme="majorBidi"/>
      <w:i/>
      <w:iCs/>
      <w:color w:val="404040" w:themeColor="text1" w:themeTint="BF"/>
      <w:sz w:val="20"/>
      <w:szCs w:val="20"/>
      <w:lang w:val="de-DE"/>
      <w14:ligatures w14:val="none"/>
    </w:rPr>
  </w:style>
  <w:style w:type="character" w:customStyle="1" w:styleId="berschrift8-Zeichen">
    <w:name w:val="Überschrift 8 - Zeichen"/>
    <w:basedOn w:val="DefaultParagraphFont"/>
    <w:link w:val="berschrift81"/>
    <w:uiPriority w:val="18"/>
    <w:semiHidden/>
    <w:rsid w:val="005E1386"/>
    <w:rPr>
      <w:rFonts w:asciiTheme="majorHAnsi" w:eastAsiaTheme="majorEastAsia" w:hAnsiTheme="majorHAnsi" w:cstheme="majorBidi"/>
      <w:color w:val="404040" w:themeColor="text1" w:themeTint="BF"/>
      <w:sz w:val="20"/>
      <w:szCs w:val="20"/>
      <w:lang w:val="de-DE"/>
      <w14:ligatures w14:val="none"/>
    </w:rPr>
  </w:style>
  <w:style w:type="character" w:customStyle="1" w:styleId="berschrift9-Zeichen">
    <w:name w:val="Überschrift 9 - Zeichen"/>
    <w:basedOn w:val="DefaultParagraphFont"/>
    <w:link w:val="berschrift91"/>
    <w:uiPriority w:val="18"/>
    <w:semiHidden/>
    <w:rsid w:val="005E1386"/>
    <w:rPr>
      <w:rFonts w:asciiTheme="majorHAnsi" w:eastAsiaTheme="majorEastAsia" w:hAnsiTheme="majorHAnsi" w:cstheme="majorBidi"/>
      <w:i/>
      <w:iCs/>
      <w:color w:val="404040" w:themeColor="text1" w:themeTint="BF"/>
      <w:sz w:val="20"/>
      <w:szCs w:val="20"/>
      <w:lang w:val="de-DE"/>
      <w14:ligatures w14:val="none"/>
    </w:rPr>
  </w:style>
  <w:style w:type="character" w:customStyle="1" w:styleId="HTMLAkronym1">
    <w:name w:val="HTML Akronym1"/>
    <w:basedOn w:val="DefaultParagraphFont"/>
    <w:uiPriority w:val="99"/>
    <w:semiHidden/>
    <w:unhideWhenUsed/>
    <w:rsid w:val="005E1386"/>
  </w:style>
  <w:style w:type="paragraph" w:customStyle="1" w:styleId="HTMLAdresse1">
    <w:name w:val="HTML Adresse1"/>
    <w:basedOn w:val="Normal"/>
    <w:link w:val="HTMLAdresse-Zeichen"/>
    <w:uiPriority w:val="99"/>
    <w:semiHidden/>
    <w:unhideWhenUsed/>
    <w:rsid w:val="005E1386"/>
    <w:pPr>
      <w:spacing w:after="0" w:line="240" w:lineRule="auto"/>
    </w:pPr>
    <w:rPr>
      <w:i/>
      <w:iCs/>
    </w:rPr>
  </w:style>
  <w:style w:type="character" w:customStyle="1" w:styleId="HTMLAdresse-Zeichen">
    <w:name w:val="HTML Adresse - Zeichen"/>
    <w:basedOn w:val="DefaultParagraphFont"/>
    <w:link w:val="HTMLAdresse1"/>
    <w:uiPriority w:val="99"/>
    <w:semiHidden/>
    <w:rsid w:val="005E1386"/>
    <w:rPr>
      <w:i/>
      <w:iCs/>
      <w:color w:val="595959" w:themeColor="text1" w:themeTint="A6"/>
      <w:sz w:val="20"/>
      <w:szCs w:val="20"/>
      <w:lang w:val="de-DE"/>
      <w14:ligatures w14:val="none"/>
    </w:rPr>
  </w:style>
  <w:style w:type="character" w:customStyle="1" w:styleId="HTMLZitat1">
    <w:name w:val="HTML Zitat1"/>
    <w:basedOn w:val="DefaultParagraphFont"/>
    <w:uiPriority w:val="99"/>
    <w:semiHidden/>
    <w:unhideWhenUsed/>
    <w:rsid w:val="005E1386"/>
    <w:rPr>
      <w:i/>
      <w:iCs/>
    </w:rPr>
  </w:style>
  <w:style w:type="character" w:styleId="HTMLCode">
    <w:name w:val="HTML Code"/>
    <w:basedOn w:val="DefaultParagraphFont"/>
    <w:uiPriority w:val="99"/>
    <w:semiHidden/>
    <w:unhideWhenUsed/>
    <w:rsid w:val="005E1386"/>
    <w:rPr>
      <w:rFonts w:ascii="Consolas" w:hAnsi="Consolas" w:cs="Consolas"/>
      <w:sz w:val="20"/>
    </w:rPr>
  </w:style>
  <w:style w:type="character" w:styleId="HTMLDefinition">
    <w:name w:val="HTML Definition"/>
    <w:basedOn w:val="DefaultParagraphFont"/>
    <w:uiPriority w:val="99"/>
    <w:semiHidden/>
    <w:unhideWhenUsed/>
    <w:rsid w:val="005E1386"/>
    <w:rPr>
      <w:i/>
      <w:iCs/>
    </w:rPr>
  </w:style>
  <w:style w:type="character" w:customStyle="1" w:styleId="HTMLTastatur1">
    <w:name w:val="HTML Tastatur1"/>
    <w:basedOn w:val="DefaultParagraphFont"/>
    <w:uiPriority w:val="99"/>
    <w:semiHidden/>
    <w:unhideWhenUsed/>
    <w:rsid w:val="005E1386"/>
    <w:rPr>
      <w:rFonts w:ascii="Consolas" w:hAnsi="Consolas" w:cs="Consolas"/>
      <w:sz w:val="20"/>
    </w:rPr>
  </w:style>
  <w:style w:type="paragraph" w:customStyle="1" w:styleId="HTMLVorformatiert1">
    <w:name w:val="HTML Vorformatiert1"/>
    <w:basedOn w:val="Normal"/>
    <w:link w:val="HTMLVorformatiert-Zeichen"/>
    <w:uiPriority w:val="99"/>
    <w:semiHidden/>
    <w:unhideWhenUsed/>
    <w:rsid w:val="005E1386"/>
    <w:pPr>
      <w:spacing w:after="0" w:line="240" w:lineRule="auto"/>
    </w:pPr>
    <w:rPr>
      <w:rFonts w:ascii="Consolas" w:hAnsi="Consolas" w:cs="Consolas"/>
    </w:rPr>
  </w:style>
  <w:style w:type="character" w:customStyle="1" w:styleId="HTMLVorformatiert-Zeichen">
    <w:name w:val="HTML Vorformatiert - Zeichen"/>
    <w:basedOn w:val="DefaultParagraphFont"/>
    <w:link w:val="HTMLVorformatiert1"/>
    <w:uiPriority w:val="99"/>
    <w:semiHidden/>
    <w:rsid w:val="005E1386"/>
    <w:rPr>
      <w:rFonts w:ascii="Consolas" w:hAnsi="Consolas" w:cs="Consolas"/>
      <w:color w:val="595959" w:themeColor="text1" w:themeTint="A6"/>
      <w:sz w:val="20"/>
      <w:szCs w:val="20"/>
      <w:lang w:val="de-DE"/>
      <w14:ligatures w14:val="none"/>
    </w:rPr>
  </w:style>
  <w:style w:type="character" w:customStyle="1" w:styleId="HTMLBeispiel1">
    <w:name w:val="HTML Beispiel1"/>
    <w:basedOn w:val="DefaultParagraphFont"/>
    <w:uiPriority w:val="99"/>
    <w:semiHidden/>
    <w:unhideWhenUsed/>
    <w:rsid w:val="005E1386"/>
    <w:rPr>
      <w:rFonts w:ascii="Consolas" w:hAnsi="Consolas" w:cs="Consolas"/>
      <w:sz w:val="24"/>
    </w:rPr>
  </w:style>
  <w:style w:type="character" w:customStyle="1" w:styleId="HTMLSchreibmaschine1">
    <w:name w:val="HTML Schreibmaschine1"/>
    <w:basedOn w:val="DefaultParagraphFont"/>
    <w:uiPriority w:val="99"/>
    <w:semiHidden/>
    <w:unhideWhenUsed/>
    <w:rsid w:val="005E1386"/>
    <w:rPr>
      <w:rFonts w:ascii="Consolas" w:hAnsi="Consolas" w:cs="Consolas"/>
      <w:sz w:val="20"/>
    </w:rPr>
  </w:style>
  <w:style w:type="character" w:styleId="HTMLVariable">
    <w:name w:val="HTML Variable"/>
    <w:basedOn w:val="DefaultParagraphFont"/>
    <w:uiPriority w:val="99"/>
    <w:semiHidden/>
    <w:unhideWhenUsed/>
    <w:rsid w:val="005E1386"/>
    <w:rPr>
      <w:i/>
      <w:iCs/>
    </w:rPr>
  </w:style>
  <w:style w:type="character" w:styleId="Hyperlink">
    <w:name w:val="Hyperlink"/>
    <w:basedOn w:val="DefaultParagraphFont"/>
    <w:uiPriority w:val="99"/>
    <w:unhideWhenUsed/>
    <w:rsid w:val="005E1386"/>
    <w:rPr>
      <w:color w:val="467886" w:themeColor="hyperlink"/>
      <w:u w:val="single"/>
    </w:rPr>
  </w:style>
  <w:style w:type="paragraph" w:styleId="Index1">
    <w:name w:val="index 1"/>
    <w:basedOn w:val="Normal"/>
    <w:next w:val="Normal"/>
    <w:uiPriority w:val="99"/>
    <w:semiHidden/>
    <w:unhideWhenUsed/>
    <w:rsid w:val="005E1386"/>
    <w:pPr>
      <w:spacing w:after="0" w:line="240" w:lineRule="auto"/>
      <w:ind w:left="220" w:hanging="220"/>
    </w:pPr>
  </w:style>
  <w:style w:type="paragraph" w:styleId="Index2">
    <w:name w:val="index 2"/>
    <w:basedOn w:val="Normal"/>
    <w:next w:val="Normal"/>
    <w:uiPriority w:val="99"/>
    <w:semiHidden/>
    <w:unhideWhenUsed/>
    <w:rsid w:val="005E1386"/>
    <w:pPr>
      <w:spacing w:after="0" w:line="240" w:lineRule="auto"/>
      <w:ind w:left="440" w:hanging="220"/>
    </w:pPr>
  </w:style>
  <w:style w:type="paragraph" w:styleId="Index3">
    <w:name w:val="index 3"/>
    <w:basedOn w:val="Normal"/>
    <w:next w:val="Normal"/>
    <w:uiPriority w:val="99"/>
    <w:semiHidden/>
    <w:unhideWhenUsed/>
    <w:rsid w:val="005E1386"/>
    <w:pPr>
      <w:spacing w:after="0" w:line="240" w:lineRule="auto"/>
      <w:ind w:left="660" w:hanging="220"/>
    </w:pPr>
  </w:style>
  <w:style w:type="paragraph" w:styleId="Index4">
    <w:name w:val="index 4"/>
    <w:basedOn w:val="Normal"/>
    <w:next w:val="Normal"/>
    <w:uiPriority w:val="99"/>
    <w:semiHidden/>
    <w:unhideWhenUsed/>
    <w:rsid w:val="005E1386"/>
    <w:pPr>
      <w:spacing w:after="0" w:line="240" w:lineRule="auto"/>
      <w:ind w:left="880" w:hanging="220"/>
    </w:pPr>
  </w:style>
  <w:style w:type="paragraph" w:styleId="Index5">
    <w:name w:val="index 5"/>
    <w:basedOn w:val="Normal"/>
    <w:next w:val="Normal"/>
    <w:uiPriority w:val="99"/>
    <w:semiHidden/>
    <w:unhideWhenUsed/>
    <w:rsid w:val="005E1386"/>
    <w:pPr>
      <w:spacing w:after="0" w:line="240" w:lineRule="auto"/>
      <w:ind w:left="1100" w:hanging="220"/>
    </w:pPr>
  </w:style>
  <w:style w:type="paragraph" w:styleId="Index6">
    <w:name w:val="index 6"/>
    <w:basedOn w:val="Normal"/>
    <w:next w:val="Normal"/>
    <w:uiPriority w:val="99"/>
    <w:semiHidden/>
    <w:unhideWhenUsed/>
    <w:rsid w:val="005E1386"/>
    <w:pPr>
      <w:spacing w:after="0" w:line="240" w:lineRule="auto"/>
      <w:ind w:left="1320" w:hanging="220"/>
    </w:pPr>
  </w:style>
  <w:style w:type="paragraph" w:styleId="Index7">
    <w:name w:val="index 7"/>
    <w:basedOn w:val="Normal"/>
    <w:next w:val="Normal"/>
    <w:uiPriority w:val="99"/>
    <w:semiHidden/>
    <w:unhideWhenUsed/>
    <w:rsid w:val="005E1386"/>
    <w:pPr>
      <w:spacing w:after="0" w:line="240" w:lineRule="auto"/>
      <w:ind w:left="1540" w:hanging="220"/>
    </w:pPr>
  </w:style>
  <w:style w:type="paragraph" w:styleId="Index8">
    <w:name w:val="index 8"/>
    <w:basedOn w:val="Normal"/>
    <w:next w:val="Normal"/>
    <w:uiPriority w:val="99"/>
    <w:semiHidden/>
    <w:unhideWhenUsed/>
    <w:rsid w:val="005E1386"/>
    <w:pPr>
      <w:spacing w:after="0" w:line="240" w:lineRule="auto"/>
      <w:ind w:left="1760" w:hanging="220"/>
    </w:pPr>
  </w:style>
  <w:style w:type="paragraph" w:styleId="Index9">
    <w:name w:val="index 9"/>
    <w:basedOn w:val="Normal"/>
    <w:next w:val="Normal"/>
    <w:uiPriority w:val="99"/>
    <w:semiHidden/>
    <w:unhideWhenUsed/>
    <w:rsid w:val="005E1386"/>
    <w:pPr>
      <w:spacing w:after="0" w:line="240" w:lineRule="auto"/>
      <w:ind w:left="1980" w:hanging="220"/>
    </w:pPr>
  </w:style>
  <w:style w:type="paragraph" w:customStyle="1" w:styleId="Indexberschrift1">
    <w:name w:val="Indexüberschrift1"/>
    <w:basedOn w:val="Normal"/>
    <w:next w:val="Index1"/>
    <w:uiPriority w:val="99"/>
    <w:semiHidden/>
    <w:unhideWhenUsed/>
    <w:rsid w:val="005E1386"/>
    <w:rPr>
      <w:rFonts w:asciiTheme="majorHAnsi" w:eastAsiaTheme="majorEastAsia" w:hAnsiTheme="majorHAnsi" w:cstheme="majorBidi"/>
      <w:b/>
      <w:bCs/>
    </w:rPr>
  </w:style>
  <w:style w:type="character" w:customStyle="1" w:styleId="IntensiveHervorhebung1">
    <w:name w:val="Intensive Hervorhebung1"/>
    <w:basedOn w:val="DefaultParagraphFont"/>
    <w:uiPriority w:val="21"/>
    <w:semiHidden/>
    <w:unhideWhenUsed/>
    <w:rsid w:val="005E1386"/>
    <w:rPr>
      <w:b/>
      <w:bCs/>
      <w:i/>
      <w:iCs/>
      <w:color w:val="156082" w:themeColor="accent1"/>
    </w:rPr>
  </w:style>
  <w:style w:type="paragraph" w:customStyle="1" w:styleId="IntensivesZitat1">
    <w:name w:val="Intensives Zitat1"/>
    <w:basedOn w:val="Normal"/>
    <w:next w:val="Normal"/>
    <w:link w:val="IntensivesZitatzeichen"/>
    <w:uiPriority w:val="30"/>
    <w:semiHidden/>
    <w:unhideWhenUsed/>
    <w:rsid w:val="005E1386"/>
    <w:pPr>
      <w:pBdr>
        <w:bottom w:val="single" w:sz="4" w:space="4" w:color="156082" w:themeColor="accent1"/>
      </w:pBdr>
      <w:spacing w:before="200" w:after="280"/>
      <w:ind w:left="936" w:right="936"/>
    </w:pPr>
    <w:rPr>
      <w:b/>
      <w:bCs/>
      <w:i/>
      <w:iCs/>
      <w:color w:val="156082" w:themeColor="accent1"/>
    </w:rPr>
  </w:style>
  <w:style w:type="character" w:customStyle="1" w:styleId="IntensivesZitatzeichen">
    <w:name w:val="Intensives Zitatzeichen"/>
    <w:basedOn w:val="DefaultParagraphFont"/>
    <w:link w:val="IntensivesZitat1"/>
    <w:uiPriority w:val="30"/>
    <w:semiHidden/>
    <w:rsid w:val="005E1386"/>
    <w:rPr>
      <w:b/>
      <w:bCs/>
      <w:i/>
      <w:iCs/>
      <w:color w:val="156082" w:themeColor="accent1"/>
      <w:sz w:val="20"/>
      <w:szCs w:val="20"/>
      <w:lang w:val="de-DE"/>
      <w14:ligatures w14:val="none"/>
    </w:rPr>
  </w:style>
  <w:style w:type="character" w:customStyle="1" w:styleId="IntensiverVerweis1">
    <w:name w:val="Intensiver Verweis1"/>
    <w:basedOn w:val="DefaultParagraphFont"/>
    <w:uiPriority w:val="32"/>
    <w:semiHidden/>
    <w:unhideWhenUsed/>
    <w:rsid w:val="005E1386"/>
    <w:rPr>
      <w:b/>
      <w:bCs/>
      <w:smallCaps/>
      <w:color w:val="E97132" w:themeColor="accent2"/>
      <w:spacing w:val="5"/>
      <w:u w:val="single"/>
    </w:rPr>
  </w:style>
  <w:style w:type="table" w:customStyle="1" w:styleId="HellesGitternetz">
    <w:name w:val="Helles Gitternetz"/>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one" w:sz="4" w:space="0" w:color="000000"/>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insideH w:val="none" w:sz="4" w:space="0" w:color="000000"/>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HellesGitternetz-Akzent1">
    <w:name w:val="Helles Gitternetz - Akzent 1"/>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one" w:sz="4" w:space="0" w:color="000000"/>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156082" w:themeColor="accent1"/>
          <w:left w:val="single" w:sz="8" w:space="0" w:color="156082" w:themeColor="accent1"/>
          <w:bottom w:val="single" w:sz="8" w:space="0" w:color="156082" w:themeColor="accent1"/>
          <w:right w:val="single" w:sz="8" w:space="0" w:color="156082" w:themeColor="accent1"/>
          <w:insideH w:val="none" w:sz="4" w:space="0" w:color="000000"/>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customStyle="1" w:styleId="HellesGitternetz-Akzent2">
    <w:name w:val="Helles Gitternetz - Akzent 2"/>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one" w:sz="4" w:space="0" w:color="000000"/>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E97132" w:themeColor="accent2"/>
          <w:left w:val="single" w:sz="8" w:space="0" w:color="E97132" w:themeColor="accent2"/>
          <w:bottom w:val="single" w:sz="8" w:space="0" w:color="E97132" w:themeColor="accent2"/>
          <w:right w:val="single" w:sz="8" w:space="0" w:color="E97132" w:themeColor="accent2"/>
          <w:insideH w:val="none" w:sz="4" w:space="0" w:color="000000"/>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customStyle="1" w:styleId="HellesGitternetz-Akzent3">
    <w:name w:val="Helles Gitternetz - Akzent 3"/>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one" w:sz="4" w:space="0" w:color="000000"/>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196B24" w:themeColor="accent3"/>
          <w:left w:val="single" w:sz="8" w:space="0" w:color="196B24" w:themeColor="accent3"/>
          <w:bottom w:val="single" w:sz="8" w:space="0" w:color="196B24" w:themeColor="accent3"/>
          <w:right w:val="single" w:sz="8" w:space="0" w:color="196B24" w:themeColor="accent3"/>
          <w:insideH w:val="none" w:sz="4" w:space="0" w:color="000000"/>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customStyle="1" w:styleId="HellesGitternetz-Akzent4">
    <w:name w:val="Helles Gitternetz - Akzent 4"/>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one" w:sz="4" w:space="0" w:color="000000"/>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F9ED5" w:themeColor="accent4"/>
          <w:left w:val="single" w:sz="8" w:space="0" w:color="0F9ED5" w:themeColor="accent4"/>
          <w:bottom w:val="single" w:sz="8" w:space="0" w:color="0F9ED5" w:themeColor="accent4"/>
          <w:right w:val="single" w:sz="8" w:space="0" w:color="0F9ED5" w:themeColor="accent4"/>
          <w:insideH w:val="none" w:sz="4" w:space="0" w:color="000000"/>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customStyle="1" w:styleId="HellesGitternetz-Akzent5">
    <w:name w:val="Helles Gitternetz - Akzent 5"/>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one" w:sz="4" w:space="0" w:color="000000"/>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A02B93" w:themeColor="accent5"/>
          <w:left w:val="single" w:sz="8" w:space="0" w:color="A02B93" w:themeColor="accent5"/>
          <w:bottom w:val="single" w:sz="8" w:space="0" w:color="A02B93" w:themeColor="accent5"/>
          <w:right w:val="single" w:sz="8" w:space="0" w:color="A02B93" w:themeColor="accent5"/>
          <w:insideH w:val="none" w:sz="4" w:space="0" w:color="000000"/>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customStyle="1" w:styleId="HellesGitternetz-Akzent6">
    <w:name w:val="Helles Gitternetz - Akzent 6"/>
    <w:basedOn w:val="TableNormal"/>
    <w:uiPriority w:val="62"/>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one" w:sz="4" w:space="0" w:color="000000"/>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EA72E" w:themeColor="accent6"/>
          <w:left w:val="single" w:sz="8" w:space="0" w:color="4EA72E" w:themeColor="accent6"/>
          <w:bottom w:val="single" w:sz="8" w:space="0" w:color="4EA72E" w:themeColor="accent6"/>
          <w:right w:val="single" w:sz="8" w:space="0" w:color="4EA72E" w:themeColor="accent6"/>
          <w:insideH w:val="none" w:sz="4" w:space="0" w:color="000000"/>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HelleListe1">
    <w:name w:val="Helle Liste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HelleListe-Akzent11">
    <w:name w:val="Helle Liste - Akzent 1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sing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customStyle="1" w:styleId="HelleListe-Akzent21">
    <w:name w:val="Helle Liste - Akzent 2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sing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customStyle="1" w:styleId="HelleListe-Akzent31">
    <w:name w:val="Helle Liste - Akzent 3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sing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customStyle="1" w:styleId="HelleListe-Akzent41">
    <w:name w:val="Helle Liste - Akzent 4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sing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customStyle="1" w:styleId="HelleListe-Akzent51">
    <w:name w:val="Helle Liste - Akzent 5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sing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customStyle="1" w:styleId="HelleListe-Akzent61">
    <w:name w:val="Helle Liste - Akzent 61"/>
    <w:basedOn w:val="TableNormal"/>
    <w:uiPriority w:val="61"/>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sing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HelleSchattierung1">
    <w:name w:val="Helle Schattierung1"/>
    <w:basedOn w:val="TableNormal"/>
    <w:uiPriority w:val="60"/>
    <w:rsid w:val="005E1386"/>
    <w:pPr>
      <w:spacing w:before="40" w:after="0" w:line="240" w:lineRule="auto"/>
    </w:pPr>
    <w:rPr>
      <w:color w:val="000000" w:themeColor="text1" w:themeShade="BF"/>
      <w:sz w:val="20"/>
      <w:szCs w:val="20"/>
      <w:lang w:val="de-DE"/>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table" w:customStyle="1" w:styleId="HelleSchattierung2">
    <w:name w:val="Helle Schattierung2"/>
    <w:basedOn w:val="TableNormal"/>
    <w:uiPriority w:val="60"/>
    <w:rsid w:val="005E1386"/>
    <w:pPr>
      <w:spacing w:before="40" w:after="0" w:line="240" w:lineRule="auto"/>
    </w:pPr>
    <w:rPr>
      <w:color w:val="0F4761" w:themeColor="accent1" w:themeShade="BF"/>
      <w:sz w:val="20"/>
      <w:szCs w:val="20"/>
      <w:lang w:val="de-DE"/>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one" w:sz="4" w:space="0" w:color="000000"/>
          <w:bottom w:val="single" w:sz="8" w:space="0" w:color="156082" w:themeColor="accen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156082" w:themeColor="accent1"/>
          <w:left w:val="none" w:sz="4" w:space="0" w:color="000000"/>
          <w:bottom w:val="single" w:sz="8" w:space="0" w:color="156082" w:themeColor="accen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2DEF2" w:themeFill="accen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B2DEF2" w:themeFill="accent1" w:themeFillTint="3F"/>
      </w:tcPr>
    </w:tblStylePr>
  </w:style>
  <w:style w:type="table" w:customStyle="1" w:styleId="HelleSchattierung3">
    <w:name w:val="Helle Schattierung3"/>
    <w:basedOn w:val="TableNormal"/>
    <w:uiPriority w:val="60"/>
    <w:rsid w:val="005E1386"/>
    <w:pPr>
      <w:spacing w:before="40" w:after="0" w:line="240" w:lineRule="auto"/>
    </w:pPr>
    <w:rPr>
      <w:color w:val="BF4E14" w:themeColor="accent2" w:themeShade="BF"/>
      <w:sz w:val="20"/>
      <w:szCs w:val="20"/>
      <w:lang w:val="de-DE"/>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one" w:sz="4" w:space="0" w:color="000000"/>
          <w:bottom w:val="single" w:sz="8" w:space="0" w:color="E97132" w:themeColor="accent2"/>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E97132" w:themeColor="accent2"/>
          <w:left w:val="none" w:sz="4" w:space="0" w:color="000000"/>
          <w:bottom w:val="single" w:sz="8" w:space="0" w:color="E97132" w:themeColor="accent2"/>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F9DBCC" w:themeFill="accent2"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F9DBCC" w:themeFill="accent2" w:themeFillTint="3F"/>
      </w:tcPr>
    </w:tblStylePr>
  </w:style>
  <w:style w:type="table" w:customStyle="1" w:styleId="HelleSchattierung4">
    <w:name w:val="Helle Schattierung4"/>
    <w:basedOn w:val="TableNormal"/>
    <w:uiPriority w:val="60"/>
    <w:rsid w:val="005E1386"/>
    <w:pPr>
      <w:spacing w:before="40" w:after="0" w:line="240" w:lineRule="auto"/>
    </w:pPr>
    <w:rPr>
      <w:color w:val="124F1A" w:themeColor="accent3" w:themeShade="BF"/>
      <w:sz w:val="20"/>
      <w:szCs w:val="20"/>
      <w:lang w:val="de-DE"/>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one" w:sz="4" w:space="0" w:color="000000"/>
          <w:bottom w:val="single" w:sz="8" w:space="0" w:color="196B24" w:themeColor="accent3"/>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196B24" w:themeColor="accent3"/>
          <w:left w:val="none" w:sz="4" w:space="0" w:color="000000"/>
          <w:bottom w:val="single" w:sz="8" w:space="0" w:color="196B24" w:themeColor="accent3"/>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3EDBA" w:themeFill="accent3"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B3EDBA" w:themeFill="accent3" w:themeFillTint="3F"/>
      </w:tcPr>
    </w:tblStylePr>
  </w:style>
  <w:style w:type="table" w:customStyle="1" w:styleId="HelleSchattierung5">
    <w:name w:val="Helle Schattierung5"/>
    <w:basedOn w:val="TableNormal"/>
    <w:uiPriority w:val="60"/>
    <w:rsid w:val="005E1386"/>
    <w:pPr>
      <w:spacing w:before="40" w:after="0" w:line="240" w:lineRule="auto"/>
    </w:pPr>
    <w:rPr>
      <w:color w:val="0B769F" w:themeColor="accent4" w:themeShade="BF"/>
      <w:sz w:val="20"/>
      <w:szCs w:val="20"/>
      <w:lang w:val="de-DE"/>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one" w:sz="4" w:space="0" w:color="000000"/>
          <w:bottom w:val="single" w:sz="8" w:space="0" w:color="0F9ED5" w:themeColor="accent4"/>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F9ED5" w:themeColor="accent4"/>
          <w:left w:val="none" w:sz="4" w:space="0" w:color="000000"/>
          <w:bottom w:val="single" w:sz="8" w:space="0" w:color="0F9ED5" w:themeColor="accent4"/>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DE9FA" w:themeFill="accent4"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BDE9FA" w:themeFill="accent4" w:themeFillTint="3F"/>
      </w:tcPr>
    </w:tblStylePr>
  </w:style>
  <w:style w:type="table" w:customStyle="1" w:styleId="HelleSchattierung6">
    <w:name w:val="Helle Schattierung6"/>
    <w:basedOn w:val="TableNormal"/>
    <w:uiPriority w:val="60"/>
    <w:rsid w:val="005E1386"/>
    <w:pPr>
      <w:spacing w:before="40" w:after="0" w:line="240" w:lineRule="auto"/>
    </w:pPr>
    <w:rPr>
      <w:color w:val="77206D" w:themeColor="accent5" w:themeShade="BF"/>
      <w:sz w:val="20"/>
      <w:szCs w:val="20"/>
      <w:lang w:val="de-DE"/>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one" w:sz="4" w:space="0" w:color="000000"/>
          <w:bottom w:val="single" w:sz="8" w:space="0" w:color="A02B93" w:themeColor="accent5"/>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A02B93" w:themeColor="accent5"/>
          <w:left w:val="none" w:sz="4" w:space="0" w:color="000000"/>
          <w:bottom w:val="single" w:sz="8" w:space="0" w:color="A02B93" w:themeColor="accent5"/>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EFC3E9" w:themeFill="accent5"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EFC3E9" w:themeFill="accent5" w:themeFillTint="3F"/>
      </w:tcPr>
    </w:tblStylePr>
  </w:style>
  <w:style w:type="table" w:customStyle="1" w:styleId="HelleSchattierung7">
    <w:name w:val="Helle Schattierung7"/>
    <w:basedOn w:val="TableNormal"/>
    <w:uiPriority w:val="60"/>
    <w:rsid w:val="005E1386"/>
    <w:pPr>
      <w:spacing w:before="40" w:after="0" w:line="240" w:lineRule="auto"/>
    </w:pPr>
    <w:rPr>
      <w:color w:val="3A7C22" w:themeColor="accent6" w:themeShade="BF"/>
      <w:sz w:val="20"/>
      <w:szCs w:val="20"/>
      <w:lang w:val="de-DE"/>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one" w:sz="4" w:space="0" w:color="000000"/>
          <w:bottom w:val="single" w:sz="8" w:space="0" w:color="4EA72E" w:themeColor="accent6"/>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4EA72E" w:themeColor="accent6"/>
          <w:left w:val="none" w:sz="4" w:space="0" w:color="000000"/>
          <w:bottom w:val="single" w:sz="8" w:space="0" w:color="4EA72E" w:themeColor="accent6"/>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0EFC5" w:themeFill="accent6"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D0EFC5" w:themeFill="accent6" w:themeFillTint="3F"/>
      </w:tcPr>
    </w:tblStylePr>
  </w:style>
  <w:style w:type="character" w:customStyle="1" w:styleId="Zeilennummer1">
    <w:name w:val="Zeilennummer1"/>
    <w:basedOn w:val="DefaultParagraphFont"/>
    <w:uiPriority w:val="99"/>
    <w:semiHidden/>
    <w:unhideWhenUsed/>
    <w:rsid w:val="005E1386"/>
  </w:style>
  <w:style w:type="paragraph" w:customStyle="1" w:styleId="Liste1">
    <w:name w:val="Liste1"/>
    <w:basedOn w:val="Normal"/>
    <w:uiPriority w:val="99"/>
    <w:semiHidden/>
    <w:unhideWhenUsed/>
    <w:rsid w:val="005E1386"/>
    <w:pPr>
      <w:ind w:left="360" w:hanging="360"/>
      <w:contextualSpacing/>
    </w:pPr>
  </w:style>
  <w:style w:type="paragraph" w:customStyle="1" w:styleId="Liste21">
    <w:name w:val="Liste 21"/>
    <w:basedOn w:val="Normal"/>
    <w:uiPriority w:val="99"/>
    <w:semiHidden/>
    <w:unhideWhenUsed/>
    <w:rsid w:val="005E1386"/>
    <w:pPr>
      <w:ind w:left="720" w:hanging="360"/>
      <w:contextualSpacing/>
    </w:pPr>
  </w:style>
  <w:style w:type="paragraph" w:customStyle="1" w:styleId="Liste31">
    <w:name w:val="Liste 31"/>
    <w:basedOn w:val="Normal"/>
    <w:uiPriority w:val="99"/>
    <w:semiHidden/>
    <w:unhideWhenUsed/>
    <w:rsid w:val="005E1386"/>
    <w:pPr>
      <w:ind w:left="1080" w:hanging="360"/>
      <w:contextualSpacing/>
    </w:pPr>
  </w:style>
  <w:style w:type="paragraph" w:customStyle="1" w:styleId="Liste41">
    <w:name w:val="Liste 41"/>
    <w:basedOn w:val="Normal"/>
    <w:uiPriority w:val="99"/>
    <w:semiHidden/>
    <w:unhideWhenUsed/>
    <w:rsid w:val="005E1386"/>
    <w:pPr>
      <w:ind w:left="1440" w:hanging="360"/>
      <w:contextualSpacing/>
    </w:pPr>
  </w:style>
  <w:style w:type="paragraph" w:customStyle="1" w:styleId="Liste51">
    <w:name w:val="Liste 51"/>
    <w:basedOn w:val="Normal"/>
    <w:uiPriority w:val="99"/>
    <w:semiHidden/>
    <w:unhideWhenUsed/>
    <w:rsid w:val="005E1386"/>
    <w:pPr>
      <w:ind w:left="1800" w:hanging="360"/>
      <w:contextualSpacing/>
    </w:pPr>
  </w:style>
  <w:style w:type="paragraph" w:customStyle="1" w:styleId="Aufzhlungszeichen1">
    <w:name w:val="Aufzählungszeichen1"/>
    <w:basedOn w:val="Normal"/>
    <w:uiPriority w:val="1"/>
    <w:unhideWhenUsed/>
    <w:qFormat/>
    <w:rsid w:val="005E1386"/>
    <w:pPr>
      <w:numPr>
        <w:numId w:val="1"/>
      </w:numPr>
      <w:spacing w:after="40"/>
    </w:pPr>
  </w:style>
  <w:style w:type="paragraph" w:customStyle="1" w:styleId="Aufzhlungszeichen21">
    <w:name w:val="Aufzählungszeichen 21"/>
    <w:basedOn w:val="Normal"/>
    <w:uiPriority w:val="99"/>
    <w:semiHidden/>
    <w:unhideWhenUsed/>
    <w:rsid w:val="005E1386"/>
    <w:pPr>
      <w:numPr>
        <w:numId w:val="2"/>
      </w:numPr>
      <w:contextualSpacing/>
    </w:pPr>
  </w:style>
  <w:style w:type="paragraph" w:customStyle="1" w:styleId="Aufzhlungszeichen31">
    <w:name w:val="Aufzählungszeichen 31"/>
    <w:basedOn w:val="Normal"/>
    <w:uiPriority w:val="99"/>
    <w:semiHidden/>
    <w:unhideWhenUsed/>
    <w:rsid w:val="005E1386"/>
    <w:pPr>
      <w:numPr>
        <w:numId w:val="3"/>
      </w:numPr>
      <w:contextualSpacing/>
    </w:pPr>
  </w:style>
  <w:style w:type="paragraph" w:customStyle="1" w:styleId="Aufzhlungszeichen41">
    <w:name w:val="Aufzählungszeichen 41"/>
    <w:basedOn w:val="Normal"/>
    <w:uiPriority w:val="99"/>
    <w:semiHidden/>
    <w:unhideWhenUsed/>
    <w:rsid w:val="005E1386"/>
    <w:pPr>
      <w:numPr>
        <w:numId w:val="4"/>
      </w:numPr>
      <w:contextualSpacing/>
    </w:pPr>
  </w:style>
  <w:style w:type="paragraph" w:customStyle="1" w:styleId="Aufzhlungszeichen51">
    <w:name w:val="Aufzählungszeichen 51"/>
    <w:basedOn w:val="Normal"/>
    <w:uiPriority w:val="99"/>
    <w:semiHidden/>
    <w:unhideWhenUsed/>
    <w:rsid w:val="005E1386"/>
    <w:pPr>
      <w:numPr>
        <w:numId w:val="5"/>
      </w:numPr>
      <w:contextualSpacing/>
    </w:pPr>
  </w:style>
  <w:style w:type="paragraph" w:customStyle="1" w:styleId="Listenfortsetzung1">
    <w:name w:val="Listenfortsetzung1"/>
    <w:basedOn w:val="Normal"/>
    <w:uiPriority w:val="99"/>
    <w:semiHidden/>
    <w:unhideWhenUsed/>
    <w:rsid w:val="005E1386"/>
    <w:pPr>
      <w:spacing w:after="120"/>
      <w:ind w:left="360"/>
      <w:contextualSpacing/>
    </w:pPr>
  </w:style>
  <w:style w:type="paragraph" w:customStyle="1" w:styleId="Listenfortsetzung21">
    <w:name w:val="Listenfortsetzung 21"/>
    <w:basedOn w:val="Normal"/>
    <w:uiPriority w:val="99"/>
    <w:semiHidden/>
    <w:unhideWhenUsed/>
    <w:rsid w:val="005E1386"/>
    <w:pPr>
      <w:spacing w:after="120"/>
      <w:ind w:left="720"/>
      <w:contextualSpacing/>
    </w:pPr>
  </w:style>
  <w:style w:type="paragraph" w:customStyle="1" w:styleId="Listenfortsetzung31">
    <w:name w:val="Listenfortsetzung 31"/>
    <w:basedOn w:val="Normal"/>
    <w:uiPriority w:val="99"/>
    <w:semiHidden/>
    <w:unhideWhenUsed/>
    <w:rsid w:val="005E1386"/>
    <w:pPr>
      <w:spacing w:after="120"/>
      <w:ind w:left="1080"/>
      <w:contextualSpacing/>
    </w:pPr>
  </w:style>
  <w:style w:type="paragraph" w:customStyle="1" w:styleId="Listenfortsetzung41">
    <w:name w:val="Listenfortsetzung 41"/>
    <w:basedOn w:val="Normal"/>
    <w:uiPriority w:val="99"/>
    <w:semiHidden/>
    <w:unhideWhenUsed/>
    <w:rsid w:val="005E1386"/>
    <w:pPr>
      <w:spacing w:after="120"/>
      <w:ind w:left="1440"/>
      <w:contextualSpacing/>
    </w:pPr>
  </w:style>
  <w:style w:type="paragraph" w:customStyle="1" w:styleId="Listenfortsetzung51">
    <w:name w:val="Listenfortsetzung 51"/>
    <w:basedOn w:val="Normal"/>
    <w:uiPriority w:val="99"/>
    <w:semiHidden/>
    <w:unhideWhenUsed/>
    <w:rsid w:val="005E1386"/>
    <w:pPr>
      <w:spacing w:after="120"/>
      <w:ind w:left="1800"/>
      <w:contextualSpacing/>
    </w:pPr>
  </w:style>
  <w:style w:type="paragraph" w:customStyle="1" w:styleId="Listennummer1">
    <w:name w:val="Listennummer1"/>
    <w:basedOn w:val="Normal"/>
    <w:uiPriority w:val="1"/>
    <w:unhideWhenUsed/>
    <w:qFormat/>
    <w:rsid w:val="005E1386"/>
    <w:pPr>
      <w:numPr>
        <w:numId w:val="19"/>
      </w:numPr>
      <w:contextualSpacing/>
    </w:pPr>
  </w:style>
  <w:style w:type="paragraph" w:customStyle="1" w:styleId="Listennummer21">
    <w:name w:val="Listennummer 21"/>
    <w:basedOn w:val="Normal"/>
    <w:uiPriority w:val="1"/>
    <w:unhideWhenUsed/>
    <w:qFormat/>
    <w:rsid w:val="005E1386"/>
    <w:pPr>
      <w:numPr>
        <w:ilvl w:val="1"/>
        <w:numId w:val="19"/>
      </w:numPr>
      <w:contextualSpacing/>
    </w:pPr>
  </w:style>
  <w:style w:type="paragraph" w:customStyle="1" w:styleId="Listennummer31">
    <w:name w:val="Listennummer 31"/>
    <w:basedOn w:val="Normal"/>
    <w:uiPriority w:val="18"/>
    <w:unhideWhenUsed/>
    <w:qFormat/>
    <w:rsid w:val="005E1386"/>
    <w:pPr>
      <w:numPr>
        <w:ilvl w:val="2"/>
        <w:numId w:val="19"/>
      </w:numPr>
      <w:contextualSpacing/>
    </w:pPr>
  </w:style>
  <w:style w:type="paragraph" w:customStyle="1" w:styleId="Listennummer41">
    <w:name w:val="Listennummer 41"/>
    <w:basedOn w:val="Normal"/>
    <w:uiPriority w:val="18"/>
    <w:semiHidden/>
    <w:unhideWhenUsed/>
    <w:rsid w:val="005E1386"/>
    <w:pPr>
      <w:numPr>
        <w:ilvl w:val="3"/>
        <w:numId w:val="19"/>
      </w:numPr>
      <w:contextualSpacing/>
    </w:pPr>
  </w:style>
  <w:style w:type="paragraph" w:customStyle="1" w:styleId="Listennummer51">
    <w:name w:val="Listennummer 51"/>
    <w:basedOn w:val="Normal"/>
    <w:uiPriority w:val="18"/>
    <w:semiHidden/>
    <w:unhideWhenUsed/>
    <w:rsid w:val="005E1386"/>
    <w:pPr>
      <w:numPr>
        <w:ilvl w:val="4"/>
        <w:numId w:val="19"/>
      </w:numPr>
      <w:contextualSpacing/>
    </w:pPr>
  </w:style>
  <w:style w:type="paragraph" w:customStyle="1" w:styleId="Listenabsatz1">
    <w:name w:val="Listenabsatz1"/>
    <w:basedOn w:val="Normal"/>
    <w:uiPriority w:val="34"/>
    <w:semiHidden/>
    <w:unhideWhenUsed/>
    <w:rsid w:val="005E1386"/>
    <w:pPr>
      <w:ind w:left="720"/>
      <w:contextualSpacing/>
    </w:pPr>
  </w:style>
  <w:style w:type="paragraph" w:customStyle="1" w:styleId="Makro">
    <w:name w:val="Makro"/>
    <w:link w:val="Makrotextzeichen"/>
    <w:uiPriority w:val="99"/>
    <w:semiHidden/>
    <w:unhideWhenUsed/>
    <w:rsid w:val="005E1386"/>
    <w:pPr>
      <w:tabs>
        <w:tab w:val="left" w:pos="480"/>
        <w:tab w:val="left" w:pos="960"/>
        <w:tab w:val="left" w:pos="1440"/>
        <w:tab w:val="left" w:pos="1920"/>
        <w:tab w:val="left" w:pos="2400"/>
        <w:tab w:val="left" w:pos="2880"/>
        <w:tab w:val="left" w:pos="3360"/>
        <w:tab w:val="left" w:pos="3840"/>
        <w:tab w:val="left" w:pos="4320"/>
      </w:tabs>
      <w:spacing w:before="40" w:after="0" w:line="300" w:lineRule="auto"/>
    </w:pPr>
    <w:rPr>
      <w:rFonts w:ascii="Consolas" w:hAnsi="Consolas" w:cs="Consolas"/>
      <w:color w:val="595959" w:themeColor="text1" w:themeTint="A6"/>
      <w:sz w:val="20"/>
      <w:szCs w:val="20"/>
      <w:lang w:val="de-DE"/>
      <w14:ligatures w14:val="none"/>
    </w:rPr>
  </w:style>
  <w:style w:type="character" w:customStyle="1" w:styleId="Makrotextzeichen">
    <w:name w:val="Makrotextzeichen"/>
    <w:basedOn w:val="DefaultParagraphFont"/>
    <w:link w:val="Makro"/>
    <w:uiPriority w:val="99"/>
    <w:semiHidden/>
    <w:rsid w:val="005E1386"/>
    <w:rPr>
      <w:rFonts w:ascii="Consolas" w:hAnsi="Consolas" w:cs="Consolas"/>
      <w:color w:val="595959" w:themeColor="text1" w:themeTint="A6"/>
      <w:sz w:val="20"/>
      <w:szCs w:val="20"/>
      <w:lang w:val="de-DE"/>
      <w14:ligatures w14:val="none"/>
    </w:rPr>
  </w:style>
  <w:style w:type="table" w:customStyle="1" w:styleId="MittleresGitternetz1">
    <w:name w:val="Mittleres Gitternetz 1"/>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ittleresGitternetz1-Akzent1">
    <w:name w:val="Mittleres Gitternetz 1 - Akzent 1"/>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customStyle="1" w:styleId="MittleresGitternetz1-Akzent2">
    <w:name w:val="Mittleres Gitternetz 1 - Akzent 2"/>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customStyle="1" w:styleId="MittleresGitternetz1-Akzent3">
    <w:name w:val="Mittleres Gitternetz 1 - Akzent 3"/>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customStyle="1" w:styleId="MittleresGitternetz1-Akzent4">
    <w:name w:val="Mittleres Gitternetz 1 - Akzent 4"/>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customStyle="1" w:styleId="MittleresGitternetz1-Akzent5">
    <w:name w:val="Mittleres Gitternetz 1 - Akzent 5"/>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customStyle="1" w:styleId="MittleresGitternetz1-Akzent6">
    <w:name w:val="Mittleres Gitternetz 1 - Akzent 6"/>
    <w:basedOn w:val="TableNormal"/>
    <w:uiPriority w:val="67"/>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MittleresGitternetz2">
    <w:name w:val="Mittleres Gitternetz 2"/>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ittleresGitternetz2-Akzent1">
    <w:name w:val="Mittleres Gitternetz 2 - Akzent 1"/>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customStyle="1" w:styleId="MittleresGitternetz2-Akzent2">
    <w:name w:val="Mittleres Gitternetz 2 - Akzent 2"/>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customStyle="1" w:styleId="MittleresGitternetz2-Akzent3">
    <w:name w:val="Mittleres Gitternetz 2 - Akzent 3"/>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customStyle="1" w:styleId="MittleresGitternetz2-Akzent4">
    <w:name w:val="Mittleres Gitternetz 2 - Akzent 4"/>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customStyle="1" w:styleId="MittleresGitternetz2-Akzent5">
    <w:name w:val="Mittleres Gitternetz 2 - Akzent 5"/>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customStyle="1" w:styleId="MittleresGitternetz2-Akzent6">
    <w:name w:val="Mittleres Gitternetz 2 - Akzent 6"/>
    <w:basedOn w:val="TableNormal"/>
    <w:uiPriority w:val="68"/>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MittleresGitternetz3">
    <w:name w:val="Mittleres Gitternetz 3"/>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ittleresGitternetz3-Akzent1">
    <w:name w:val="Mittleres Gitternetz 3 - Akzent 1"/>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156082"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customStyle="1" w:styleId="MittleresGitternetz3-Akzent2">
    <w:name w:val="Mittleres Gitternetz 3 - Akzent 2"/>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E97132"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customStyle="1" w:styleId="MittleresGitternetz3-Akzent3">
    <w:name w:val="Mittleres Gitternetz 3 - Akzent 3"/>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196B24"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customStyle="1" w:styleId="MittleresGitternetz3-Akzent4">
    <w:name w:val="Mittleres Gitternetz 3 - Akzent 4"/>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0F9ED5"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customStyle="1" w:styleId="MittleresGitternetz3-Akzent5">
    <w:name w:val="Mittleres Gitternetz 3 - Akzent 5"/>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A02B93"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customStyle="1" w:styleId="MittleresGitternetz3-Akzent6">
    <w:name w:val="Mittleres Gitternetz 3 - Akzent 6"/>
    <w:basedOn w:val="TableNormal"/>
    <w:uiPriority w:val="69"/>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4EA72E"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MittlereListe11">
    <w:name w:val="Mittlere Liste 1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ittlereListe1-Akzent11">
    <w:name w:val="Mittlere Liste 1 - Akzent 1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one" w:sz="4" w:space="0" w:color="000000"/>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customStyle="1" w:styleId="MittlereListe1-Akzent21">
    <w:name w:val="Mittlere Liste 1 - Akzent 2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one" w:sz="4" w:space="0" w:color="000000"/>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customStyle="1" w:styleId="MittlereListe1-Akzent31">
    <w:name w:val="Mittlere Liste 1 - Akzent 3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one" w:sz="4" w:space="0" w:color="000000"/>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customStyle="1" w:styleId="MittlereListe1-Akzent41">
    <w:name w:val="Mittlere Liste 1 - Akzent 4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one" w:sz="4" w:space="0" w:color="000000"/>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customStyle="1" w:styleId="MittlereListe1-Akzent51">
    <w:name w:val="Mittlere Liste 1 - Akzent 5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one" w:sz="4" w:space="0" w:color="000000"/>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customStyle="1" w:styleId="MittlereListe1-Akzent61">
    <w:name w:val="Mittlere Liste 1 - Akzent 61"/>
    <w:basedOn w:val="TableNormal"/>
    <w:uiPriority w:val="65"/>
    <w:rsid w:val="005E1386"/>
    <w:pPr>
      <w:spacing w:before="40" w:after="0" w:line="240" w:lineRule="auto"/>
    </w:pPr>
    <w:rPr>
      <w:color w:val="000000" w:themeColor="text1"/>
      <w:sz w:val="20"/>
      <w:szCs w:val="20"/>
      <w:lang w:val="de-DE"/>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one" w:sz="4" w:space="0" w:color="000000"/>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MittlereListe21">
    <w:name w:val="Mittlere Liste 2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11">
    <w:name w:val="Mittlere Liste 2 - Akzent 1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one" w:sz="4" w:space="0" w:color="000000"/>
          <w:left w:val="none" w:sz="4" w:space="0" w:color="000000"/>
          <w:bottom w:val="single" w:sz="24" w:space="0" w:color="156082" w:themeColor="accent1"/>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156082" w:themeColor="accen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156082" w:themeColor="accent1"/>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156082" w:themeColor="accent1"/>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2DEF2" w:themeFill="accent1"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B2DEF2"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21">
    <w:name w:val="Mittlere Liste 2 - Akzent 2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one" w:sz="4" w:space="0" w:color="000000"/>
          <w:left w:val="none" w:sz="4" w:space="0" w:color="000000"/>
          <w:bottom w:val="single" w:sz="24" w:space="0" w:color="E97132" w:themeColor="accent2"/>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E97132" w:themeColor="accent2"/>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E97132" w:themeColor="accent2"/>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E97132" w:themeColor="accent2"/>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F9DBCC" w:themeFill="accent2"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F9DBCC"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31">
    <w:name w:val="Mittlere Liste 2 - Akzent 3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one" w:sz="4" w:space="0" w:color="000000"/>
          <w:left w:val="none" w:sz="4" w:space="0" w:color="000000"/>
          <w:bottom w:val="single" w:sz="24" w:space="0" w:color="196B24" w:themeColor="accent3"/>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196B24" w:themeColor="accent3"/>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196B24" w:themeColor="accent3"/>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196B24" w:themeColor="accent3"/>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3EDBA" w:themeFill="accent3"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B3EDBA"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41">
    <w:name w:val="Mittlere Liste 2 - Akzent 4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one" w:sz="4" w:space="0" w:color="000000"/>
          <w:left w:val="none" w:sz="4" w:space="0" w:color="000000"/>
          <w:bottom w:val="single" w:sz="24" w:space="0" w:color="0F9ED5" w:themeColor="accent4"/>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0F9ED5" w:themeColor="accent4"/>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F9ED5" w:themeColor="accent4"/>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0F9ED5" w:themeColor="accent4"/>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BDE9FA" w:themeFill="accent4"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BDE9FA"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51">
    <w:name w:val="Mittlere Liste 2 - Akzent 5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one" w:sz="4" w:space="0" w:color="000000"/>
          <w:left w:val="none" w:sz="4" w:space="0" w:color="000000"/>
          <w:bottom w:val="single" w:sz="24" w:space="0" w:color="A02B93" w:themeColor="accent5"/>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A02B93" w:themeColor="accent5"/>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A02B93" w:themeColor="accent5"/>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A02B93" w:themeColor="accent5"/>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EFC3E9" w:themeFill="accent5"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EFC3E9"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Liste2-Akzent61">
    <w:name w:val="Mittlere Liste 2 - Akzent 61"/>
    <w:basedOn w:val="TableNormal"/>
    <w:uiPriority w:val="66"/>
    <w:rsid w:val="005E1386"/>
    <w:pPr>
      <w:spacing w:before="40" w:after="0" w:line="240" w:lineRule="auto"/>
    </w:pPr>
    <w:rPr>
      <w:rFonts w:asciiTheme="majorHAnsi" w:eastAsiaTheme="majorEastAsia" w:hAnsiTheme="majorHAnsi" w:cstheme="majorBidi"/>
      <w:color w:val="000000" w:themeColor="text1"/>
      <w:sz w:val="20"/>
      <w:szCs w:val="20"/>
      <w:lang w:val="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one" w:sz="4" w:space="0" w:color="000000"/>
          <w:left w:val="none" w:sz="4" w:space="0" w:color="000000"/>
          <w:bottom w:val="single" w:sz="24" w:space="0" w:color="4EA72E" w:themeColor="accent6"/>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4EA72E" w:themeColor="accent6"/>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EA72E" w:themeColor="accent6"/>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4EA72E" w:themeColor="accent6"/>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0EFC5" w:themeFill="accent6"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D0EFC5"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customStyle="1" w:styleId="MittlereSchattierung11">
    <w:name w:val="Mittlere Schattierung 1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one" w:sz="4" w:space="0" w:color="000000"/>
          <w:insideV w:val="none" w:sz="4" w:space="0" w:color="000000"/>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one" w:sz="4" w:space="0" w:color="000000"/>
          <w:insideV w:val="none" w:sz="4" w:space="0" w:color="000000"/>
        </w:tcBorders>
        <w:shd w:val="clear" w:color="auto" w:fill="C0C0C0" w:themeFill="text1" w:themeFillTint="3F"/>
      </w:tcPr>
    </w:tblStylePr>
    <w:tblStylePr w:type="band2Horz">
      <w:tblPr/>
      <w:tcPr>
        <w:tcBorders>
          <w:insideH w:val="none" w:sz="4" w:space="0" w:color="000000"/>
          <w:insideV w:val="none" w:sz="4" w:space="0" w:color="000000"/>
        </w:tcBorders>
      </w:tcPr>
    </w:tblStylePr>
  </w:style>
  <w:style w:type="table" w:customStyle="1" w:styleId="MittlereSchattierung1-Akzent11">
    <w:name w:val="Mittlere Schattierung 1 - Akzent 1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one" w:sz="4" w:space="0" w:color="000000"/>
          <w:insideV w:val="none" w:sz="4" w:space="0" w:color="000000"/>
        </w:tcBorders>
        <w:shd w:val="clear" w:color="auto" w:fill="156082" w:themeFill="accent1"/>
      </w:tcPr>
    </w:tblStylePr>
    <w:tblStylePr w:type="lastRow">
      <w:pPr>
        <w:spacing w:before="0" w:after="0" w:line="240" w:lineRule="auto"/>
      </w:pPr>
      <w:rPr>
        <w:b/>
        <w:bCs/>
      </w:rPr>
      <w:tblPr/>
      <w:tcPr>
        <w:tcBorders>
          <w:top w:val="sing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one" w:sz="4" w:space="0" w:color="000000"/>
          <w:insideV w:val="none" w:sz="4" w:space="0" w:color="000000"/>
        </w:tcBorders>
        <w:shd w:val="clear" w:color="auto" w:fill="B2DEF2" w:themeFill="accent1" w:themeFillTint="3F"/>
      </w:tcPr>
    </w:tblStylePr>
    <w:tblStylePr w:type="band2Horz">
      <w:tblPr/>
      <w:tcPr>
        <w:tcBorders>
          <w:insideH w:val="none" w:sz="4" w:space="0" w:color="000000"/>
          <w:insideV w:val="none" w:sz="4" w:space="0" w:color="000000"/>
        </w:tcBorders>
      </w:tcPr>
    </w:tblStylePr>
  </w:style>
  <w:style w:type="table" w:customStyle="1" w:styleId="MittlereSchattierung1-Akzent21">
    <w:name w:val="Mittlere Schattierung 1 - Akzent 2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one" w:sz="4" w:space="0" w:color="000000"/>
          <w:insideV w:val="none" w:sz="4" w:space="0" w:color="000000"/>
        </w:tcBorders>
        <w:shd w:val="clear" w:color="auto" w:fill="E97132" w:themeFill="accent2"/>
      </w:tcPr>
    </w:tblStylePr>
    <w:tblStylePr w:type="lastRow">
      <w:pPr>
        <w:spacing w:before="0" w:after="0" w:line="240" w:lineRule="auto"/>
      </w:pPr>
      <w:rPr>
        <w:b/>
        <w:bCs/>
      </w:rPr>
      <w:tblPr/>
      <w:tcPr>
        <w:tcBorders>
          <w:top w:val="sing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one" w:sz="4" w:space="0" w:color="000000"/>
          <w:insideV w:val="none" w:sz="4" w:space="0" w:color="000000"/>
        </w:tcBorders>
        <w:shd w:val="clear" w:color="auto" w:fill="F9DBCC" w:themeFill="accent2" w:themeFillTint="3F"/>
      </w:tcPr>
    </w:tblStylePr>
    <w:tblStylePr w:type="band2Horz">
      <w:tblPr/>
      <w:tcPr>
        <w:tcBorders>
          <w:insideH w:val="none" w:sz="4" w:space="0" w:color="000000"/>
          <w:insideV w:val="none" w:sz="4" w:space="0" w:color="000000"/>
        </w:tcBorders>
      </w:tcPr>
    </w:tblStylePr>
  </w:style>
  <w:style w:type="table" w:customStyle="1" w:styleId="MittlereSchattierung1-Akzent31">
    <w:name w:val="Mittlere Schattierung 1 - Akzent 3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one" w:sz="4" w:space="0" w:color="000000"/>
          <w:insideV w:val="none" w:sz="4" w:space="0" w:color="000000"/>
        </w:tcBorders>
        <w:shd w:val="clear" w:color="auto" w:fill="196B24" w:themeFill="accent3"/>
      </w:tcPr>
    </w:tblStylePr>
    <w:tblStylePr w:type="lastRow">
      <w:pPr>
        <w:spacing w:before="0" w:after="0" w:line="240" w:lineRule="auto"/>
      </w:pPr>
      <w:rPr>
        <w:b/>
        <w:bCs/>
      </w:rPr>
      <w:tblPr/>
      <w:tcPr>
        <w:tcBorders>
          <w:top w:val="sing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one" w:sz="4" w:space="0" w:color="000000"/>
          <w:insideV w:val="none" w:sz="4" w:space="0" w:color="000000"/>
        </w:tcBorders>
        <w:shd w:val="clear" w:color="auto" w:fill="B3EDBA" w:themeFill="accent3" w:themeFillTint="3F"/>
      </w:tcPr>
    </w:tblStylePr>
    <w:tblStylePr w:type="band2Horz">
      <w:tblPr/>
      <w:tcPr>
        <w:tcBorders>
          <w:insideH w:val="none" w:sz="4" w:space="0" w:color="000000"/>
          <w:insideV w:val="none" w:sz="4" w:space="0" w:color="000000"/>
        </w:tcBorders>
      </w:tcPr>
    </w:tblStylePr>
  </w:style>
  <w:style w:type="table" w:customStyle="1" w:styleId="MittlereSchattierung1-Akzent41">
    <w:name w:val="Mittlere Schattierung 1 - Akzent 4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one" w:sz="4" w:space="0" w:color="000000"/>
          <w:insideV w:val="none" w:sz="4" w:space="0" w:color="000000"/>
        </w:tcBorders>
        <w:shd w:val="clear" w:color="auto" w:fill="0F9ED5" w:themeFill="accent4"/>
      </w:tcPr>
    </w:tblStylePr>
    <w:tblStylePr w:type="lastRow">
      <w:pPr>
        <w:spacing w:before="0" w:after="0" w:line="240" w:lineRule="auto"/>
      </w:pPr>
      <w:rPr>
        <w:b/>
        <w:bCs/>
      </w:rPr>
      <w:tblPr/>
      <w:tcPr>
        <w:tcBorders>
          <w:top w:val="sing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one" w:sz="4" w:space="0" w:color="000000"/>
          <w:insideV w:val="none" w:sz="4" w:space="0" w:color="000000"/>
        </w:tcBorders>
        <w:shd w:val="clear" w:color="auto" w:fill="BDE9FA" w:themeFill="accent4" w:themeFillTint="3F"/>
      </w:tcPr>
    </w:tblStylePr>
    <w:tblStylePr w:type="band2Horz">
      <w:tblPr/>
      <w:tcPr>
        <w:tcBorders>
          <w:insideH w:val="none" w:sz="4" w:space="0" w:color="000000"/>
          <w:insideV w:val="none" w:sz="4" w:space="0" w:color="000000"/>
        </w:tcBorders>
      </w:tcPr>
    </w:tblStylePr>
  </w:style>
  <w:style w:type="table" w:customStyle="1" w:styleId="MittlereSchattierung1-Akzent51">
    <w:name w:val="Mittlere Schattierung 1 - Akzent 5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one" w:sz="4" w:space="0" w:color="000000"/>
          <w:insideV w:val="none" w:sz="4" w:space="0" w:color="000000"/>
        </w:tcBorders>
        <w:shd w:val="clear" w:color="auto" w:fill="A02B93" w:themeFill="accent5"/>
      </w:tcPr>
    </w:tblStylePr>
    <w:tblStylePr w:type="lastRow">
      <w:pPr>
        <w:spacing w:before="0" w:after="0" w:line="240" w:lineRule="auto"/>
      </w:pPr>
      <w:rPr>
        <w:b/>
        <w:bCs/>
      </w:rPr>
      <w:tblPr/>
      <w:tcPr>
        <w:tcBorders>
          <w:top w:val="sing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one" w:sz="4" w:space="0" w:color="000000"/>
          <w:insideV w:val="none" w:sz="4" w:space="0" w:color="000000"/>
        </w:tcBorders>
        <w:shd w:val="clear" w:color="auto" w:fill="EFC3E9" w:themeFill="accent5" w:themeFillTint="3F"/>
      </w:tcPr>
    </w:tblStylePr>
    <w:tblStylePr w:type="band2Horz">
      <w:tblPr/>
      <w:tcPr>
        <w:tcBorders>
          <w:insideH w:val="none" w:sz="4" w:space="0" w:color="000000"/>
          <w:insideV w:val="none" w:sz="4" w:space="0" w:color="000000"/>
        </w:tcBorders>
      </w:tcPr>
    </w:tblStylePr>
  </w:style>
  <w:style w:type="table" w:customStyle="1" w:styleId="MittlereSchattierung1-Akzent61">
    <w:name w:val="Mittlere Schattierung 1 - Akzent 61"/>
    <w:basedOn w:val="TableNormal"/>
    <w:uiPriority w:val="63"/>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one" w:sz="4" w:space="0" w:color="000000"/>
          <w:insideV w:val="none" w:sz="4" w:space="0" w:color="000000"/>
        </w:tcBorders>
        <w:shd w:val="clear" w:color="auto" w:fill="4EA72E" w:themeFill="accent6"/>
      </w:tcPr>
    </w:tblStylePr>
    <w:tblStylePr w:type="lastRow">
      <w:pPr>
        <w:spacing w:before="0" w:after="0" w:line="240" w:lineRule="auto"/>
      </w:pPr>
      <w:rPr>
        <w:b/>
        <w:bCs/>
      </w:rPr>
      <w:tblPr/>
      <w:tcPr>
        <w:tcBorders>
          <w:top w:val="sing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one" w:sz="4" w:space="0" w:color="000000"/>
          <w:insideV w:val="none" w:sz="4" w:space="0" w:color="000000"/>
        </w:tcBorders>
        <w:shd w:val="clear" w:color="auto" w:fill="D0EFC5" w:themeFill="accent6" w:themeFillTint="3F"/>
      </w:tcPr>
    </w:tblStylePr>
    <w:tblStylePr w:type="band2Horz">
      <w:tblPr/>
      <w:tcPr>
        <w:tcBorders>
          <w:insideH w:val="none" w:sz="4" w:space="0" w:color="000000"/>
          <w:insideV w:val="none" w:sz="4" w:space="0" w:color="000000"/>
        </w:tcBorders>
      </w:tcPr>
    </w:tblStylePr>
  </w:style>
  <w:style w:type="table" w:customStyle="1" w:styleId="MittlereSchattierung21">
    <w:name w:val="Mittlere Schattierung 2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000000" w:themeFill="text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11">
    <w:name w:val="Mittlere Schattierung 2 - Akzent 1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156082" w:themeFill="accent1"/>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156082" w:themeFill="accent1"/>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156082" w:themeFill="accent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21">
    <w:name w:val="Mittlere Schattierung 2 - Akzent 2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E97132" w:themeFill="accent2"/>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E97132" w:themeFill="accent2"/>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E97132" w:themeFill="accent2"/>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31">
    <w:name w:val="Mittlere Schattierung 2 - Akzent 3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196B24" w:themeFill="accent3"/>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196B24" w:themeFill="accent3"/>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196B24" w:themeFill="accent3"/>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41">
    <w:name w:val="Mittlere Schattierung 2 - Akzent 4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0F9ED5" w:themeFill="accent4"/>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0F9ED5" w:themeFill="accent4"/>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0F9ED5" w:themeFill="accent4"/>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51">
    <w:name w:val="Mittlere Schattierung 2 - Akzent 5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A02B93" w:themeFill="accent5"/>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A02B93" w:themeFill="accent5"/>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A02B93" w:themeFill="accent5"/>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customStyle="1" w:styleId="MittlereSchattierung2-Akzent61">
    <w:name w:val="Mittlere Schattierung 2 - Akzent 61"/>
    <w:basedOn w:val="TableNormal"/>
    <w:uiPriority w:val="64"/>
    <w:rsid w:val="005E1386"/>
    <w:pPr>
      <w:spacing w:before="40" w:after="0" w:line="240" w:lineRule="auto"/>
    </w:pPr>
    <w:rPr>
      <w:color w:val="595959" w:themeColor="text1" w:themeTint="A6"/>
      <w:sz w:val="20"/>
      <w:szCs w:val="20"/>
      <w:lang w:val="de-DE"/>
      <w14:ligatures w14:val="none"/>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4EA72E" w:themeFill="accent6"/>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4EA72E" w:themeFill="accent6"/>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4EA72E" w:themeFill="accent6"/>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paragraph" w:customStyle="1" w:styleId="Nachrichtenkopf1">
    <w:name w:val="Nachrichtenkopf1"/>
    <w:basedOn w:val="Normal"/>
    <w:link w:val="Nachrichtenkopfzeichen"/>
    <w:uiPriority w:val="99"/>
    <w:semiHidden/>
    <w:unhideWhenUsed/>
    <w:rsid w:val="005E138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Nachrichtenkopfzeichen">
    <w:name w:val="Nachrichtenkopfzeichen"/>
    <w:basedOn w:val="DefaultParagraphFont"/>
    <w:link w:val="Nachrichtenkopf1"/>
    <w:uiPriority w:val="99"/>
    <w:semiHidden/>
    <w:rsid w:val="005E1386"/>
    <w:rPr>
      <w:rFonts w:asciiTheme="majorHAnsi" w:eastAsiaTheme="majorEastAsia" w:hAnsiTheme="majorHAnsi" w:cstheme="majorBidi"/>
      <w:color w:val="595959" w:themeColor="text1" w:themeTint="A6"/>
      <w:sz w:val="24"/>
      <w:szCs w:val="20"/>
      <w:shd w:val="pct20" w:color="auto" w:fill="auto"/>
      <w:lang w:val="de-DE"/>
      <w14:ligatures w14:val="none"/>
    </w:rPr>
  </w:style>
  <w:style w:type="paragraph" w:customStyle="1" w:styleId="StandardWeb1">
    <w:name w:val="Standard (Web)1"/>
    <w:basedOn w:val="Normal"/>
    <w:uiPriority w:val="99"/>
    <w:semiHidden/>
    <w:unhideWhenUsed/>
    <w:rsid w:val="005E1386"/>
    <w:rPr>
      <w:rFonts w:ascii="Times New Roman" w:hAnsi="Times New Roman" w:cs="Times New Roman"/>
      <w:sz w:val="24"/>
    </w:rPr>
  </w:style>
  <w:style w:type="paragraph" w:customStyle="1" w:styleId="Standardeinzug1">
    <w:name w:val="Standardeinzug1"/>
    <w:basedOn w:val="Normal"/>
    <w:uiPriority w:val="99"/>
    <w:semiHidden/>
    <w:unhideWhenUsed/>
    <w:rsid w:val="005E1386"/>
    <w:pPr>
      <w:ind w:left="720"/>
    </w:pPr>
  </w:style>
  <w:style w:type="paragraph" w:customStyle="1" w:styleId="Fu-Endnotenberschrift1">
    <w:name w:val="Fuß/-Endnotenüberschrift1"/>
    <w:basedOn w:val="Normal"/>
    <w:next w:val="Normal"/>
    <w:link w:val="Fu-Endnotenberschrift-Zeichen"/>
    <w:uiPriority w:val="99"/>
    <w:semiHidden/>
    <w:unhideWhenUsed/>
    <w:rsid w:val="005E1386"/>
    <w:pPr>
      <w:spacing w:after="0" w:line="240" w:lineRule="auto"/>
    </w:pPr>
  </w:style>
  <w:style w:type="character" w:customStyle="1" w:styleId="Fu-Endnotenberschrift-Zeichen">
    <w:name w:val="Fuß/-Endnotenüberschrift - Zeichen"/>
    <w:basedOn w:val="DefaultParagraphFont"/>
    <w:link w:val="Fu-Endnotenberschrift1"/>
    <w:uiPriority w:val="99"/>
    <w:semiHidden/>
    <w:rsid w:val="005E1386"/>
    <w:rPr>
      <w:color w:val="595959" w:themeColor="text1" w:themeTint="A6"/>
      <w:sz w:val="20"/>
      <w:szCs w:val="20"/>
      <w:lang w:val="de-DE"/>
      <w14:ligatures w14:val="none"/>
    </w:rPr>
  </w:style>
  <w:style w:type="character" w:customStyle="1" w:styleId="Seitenzahl1">
    <w:name w:val="Seitenzahl1"/>
    <w:basedOn w:val="DefaultParagraphFont"/>
    <w:uiPriority w:val="99"/>
    <w:semiHidden/>
    <w:unhideWhenUsed/>
    <w:rsid w:val="005E1386"/>
  </w:style>
  <w:style w:type="paragraph" w:customStyle="1" w:styleId="EinfacherText">
    <w:name w:val="Einfacher Text"/>
    <w:basedOn w:val="Normal"/>
    <w:link w:val="EinfacherText-Zeichen"/>
    <w:uiPriority w:val="99"/>
    <w:semiHidden/>
    <w:unhideWhenUsed/>
    <w:rsid w:val="005E1386"/>
    <w:pPr>
      <w:spacing w:after="0" w:line="240" w:lineRule="auto"/>
    </w:pPr>
    <w:rPr>
      <w:rFonts w:ascii="Consolas" w:hAnsi="Consolas" w:cs="Consolas"/>
      <w:sz w:val="21"/>
    </w:rPr>
  </w:style>
  <w:style w:type="character" w:customStyle="1" w:styleId="EinfacherText-Zeichen">
    <w:name w:val="Einfacher Text - Zeichen"/>
    <w:basedOn w:val="DefaultParagraphFont"/>
    <w:link w:val="EinfacherText"/>
    <w:uiPriority w:val="99"/>
    <w:semiHidden/>
    <w:rsid w:val="005E1386"/>
    <w:rPr>
      <w:rFonts w:ascii="Consolas" w:hAnsi="Consolas" w:cs="Consolas"/>
      <w:color w:val="595959" w:themeColor="text1" w:themeTint="A6"/>
      <w:sz w:val="21"/>
      <w:szCs w:val="20"/>
      <w:lang w:val="de-DE"/>
      <w14:ligatures w14:val="none"/>
    </w:rPr>
  </w:style>
  <w:style w:type="paragraph" w:customStyle="1" w:styleId="Anrede1">
    <w:name w:val="Anrede1"/>
    <w:basedOn w:val="Normal"/>
    <w:next w:val="Normal"/>
    <w:link w:val="Anredezeichen"/>
    <w:uiPriority w:val="99"/>
    <w:semiHidden/>
    <w:unhideWhenUsed/>
    <w:rsid w:val="005E1386"/>
  </w:style>
  <w:style w:type="character" w:customStyle="1" w:styleId="Anredezeichen">
    <w:name w:val="Anredezeichen"/>
    <w:basedOn w:val="DefaultParagraphFont"/>
    <w:link w:val="Anrede1"/>
    <w:uiPriority w:val="99"/>
    <w:semiHidden/>
    <w:rsid w:val="005E1386"/>
    <w:rPr>
      <w:color w:val="595959" w:themeColor="text1" w:themeTint="A6"/>
      <w:sz w:val="20"/>
      <w:szCs w:val="20"/>
      <w:lang w:val="de-DE"/>
      <w14:ligatures w14:val="none"/>
    </w:rPr>
  </w:style>
  <w:style w:type="paragraph" w:customStyle="1" w:styleId="Signatur">
    <w:name w:val="Signatur"/>
    <w:basedOn w:val="Normal"/>
    <w:link w:val="Signaturzeichen"/>
    <w:uiPriority w:val="9"/>
    <w:unhideWhenUsed/>
    <w:qFormat/>
    <w:rsid w:val="005E1386"/>
    <w:pPr>
      <w:spacing w:before="720" w:after="0" w:line="312" w:lineRule="auto"/>
      <w:contextualSpacing/>
    </w:pPr>
  </w:style>
  <w:style w:type="character" w:customStyle="1" w:styleId="Signaturzeichen">
    <w:name w:val="Signaturzeichen"/>
    <w:basedOn w:val="DefaultParagraphFont"/>
    <w:link w:val="Signatur"/>
    <w:uiPriority w:val="9"/>
    <w:rsid w:val="005E1386"/>
    <w:rPr>
      <w:color w:val="595959" w:themeColor="text1" w:themeTint="A6"/>
      <w:sz w:val="20"/>
      <w:szCs w:val="20"/>
      <w:lang w:val="de-DE"/>
      <w14:ligatures w14:val="none"/>
    </w:rPr>
  </w:style>
  <w:style w:type="character" w:customStyle="1" w:styleId="Betont">
    <w:name w:val="Betont"/>
    <w:basedOn w:val="DefaultParagraphFont"/>
    <w:uiPriority w:val="1"/>
    <w:unhideWhenUsed/>
    <w:qFormat/>
    <w:rsid w:val="005E1386"/>
    <w:rPr>
      <w:b/>
      <w:bCs/>
    </w:rPr>
  </w:style>
  <w:style w:type="paragraph" w:customStyle="1" w:styleId="Untertitel1">
    <w:name w:val="Untertitel1"/>
    <w:basedOn w:val="Normal"/>
    <w:next w:val="Normal"/>
    <w:link w:val="Untertitelzeichen"/>
    <w:uiPriority w:val="19"/>
    <w:unhideWhenUsed/>
    <w:qFormat/>
    <w:rsid w:val="005E1386"/>
    <w:pPr>
      <w:numPr>
        <w:ilvl w:val="1"/>
      </w:numPr>
      <w:ind w:left="144" w:right="720"/>
    </w:pPr>
    <w:rPr>
      <w:rFonts w:asciiTheme="majorHAnsi" w:eastAsiaTheme="majorEastAsia" w:hAnsiTheme="majorHAnsi" w:cstheme="majorBidi"/>
      <w:caps/>
      <w:color w:val="156082" w:themeColor="accent1"/>
      <w:sz w:val="64"/>
    </w:rPr>
  </w:style>
  <w:style w:type="character" w:customStyle="1" w:styleId="Untertitelzeichen">
    <w:name w:val="Untertitelzeichen"/>
    <w:basedOn w:val="DefaultParagraphFont"/>
    <w:link w:val="Untertitel1"/>
    <w:uiPriority w:val="19"/>
    <w:rsid w:val="005E1386"/>
    <w:rPr>
      <w:rFonts w:asciiTheme="majorHAnsi" w:eastAsiaTheme="majorEastAsia" w:hAnsiTheme="majorHAnsi" w:cstheme="majorBidi"/>
      <w:caps/>
      <w:color w:val="156082" w:themeColor="accent1"/>
      <w:sz w:val="64"/>
      <w:szCs w:val="20"/>
      <w:lang w:val="de-DE"/>
      <w14:ligatures w14:val="none"/>
    </w:rPr>
  </w:style>
  <w:style w:type="character" w:customStyle="1" w:styleId="SubtileHervorhebung">
    <w:name w:val="Subtile Hervorhebung"/>
    <w:basedOn w:val="DefaultParagraphFont"/>
    <w:uiPriority w:val="19"/>
    <w:semiHidden/>
    <w:unhideWhenUsed/>
    <w:rsid w:val="005E1386"/>
    <w:rPr>
      <w:i/>
      <w:iCs/>
      <w:color w:val="808080" w:themeColor="text1" w:themeTint="7F"/>
    </w:rPr>
  </w:style>
  <w:style w:type="character" w:customStyle="1" w:styleId="SchwacherVerweis1">
    <w:name w:val="Schwacher Verweis1"/>
    <w:basedOn w:val="DefaultParagraphFont"/>
    <w:uiPriority w:val="31"/>
    <w:semiHidden/>
    <w:unhideWhenUsed/>
    <w:rsid w:val="005E1386"/>
    <w:rPr>
      <w:smallCaps/>
      <w:color w:val="E97132" w:themeColor="accent2"/>
      <w:u w:val="single"/>
    </w:rPr>
  </w:style>
  <w:style w:type="table" w:customStyle="1" w:styleId="Tabelle3D-Effekt11">
    <w:name w:val="Tabelle 3D-Effekt 11"/>
    <w:basedOn w:val="TableNormal"/>
    <w:uiPriority w:val="99"/>
    <w:semiHidden/>
    <w:unhideWhenUsed/>
    <w:rsid w:val="005E1386"/>
    <w:pPr>
      <w:spacing w:before="40" w:line="300" w:lineRule="auto"/>
    </w:pPr>
    <w:rPr>
      <w:sz w:val="20"/>
      <w:szCs w:val="20"/>
      <w:lang w:val="de-DE"/>
      <w14:ligatures w14:val="none"/>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customStyle="1" w:styleId="Tabelle3D-Effekt21">
    <w:name w:val="Tabelle 3D-Effekt 21"/>
    <w:basedOn w:val="TableNormal"/>
    <w:uiPriority w:val="99"/>
    <w:semiHidden/>
    <w:unhideWhenUsed/>
    <w:rsid w:val="005E1386"/>
    <w:pPr>
      <w:spacing w:before="40" w:line="300" w:lineRule="auto"/>
    </w:pPr>
    <w:rPr>
      <w:sz w:val="20"/>
      <w:szCs w:val="20"/>
      <w:lang w:val="de-DE"/>
      <w14:ligatures w14:val="none"/>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customStyle="1" w:styleId="Tabelle3D-Effekt31">
    <w:name w:val="Tabelle 3D-Effekt 31"/>
    <w:basedOn w:val="TableNormal"/>
    <w:uiPriority w:val="99"/>
    <w:semiHidden/>
    <w:unhideWhenUsed/>
    <w:rsid w:val="005E1386"/>
    <w:pPr>
      <w:spacing w:before="40" w:line="300" w:lineRule="auto"/>
    </w:pPr>
    <w:rPr>
      <w:sz w:val="20"/>
      <w:szCs w:val="20"/>
      <w:lang w:val="de-DE"/>
      <w14:ligatures w14:val="none"/>
    </w:rPr>
    <w:tblPr>
      <w:tblStyleRowBandSize w:val="1"/>
      <w:tblStyleColBandSize w:val="1"/>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customStyle="1" w:styleId="TabelleKlassisch11">
    <w:name w:val="Tabelle Klassisch 1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customStyle="1" w:styleId="TabelleKlassisch21">
    <w:name w:val="Tabelle Klassisch 2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customStyle="1" w:styleId="TabelleKlassisch31">
    <w:name w:val="Tabelle Klassisch 31"/>
    <w:basedOn w:val="TableNormal"/>
    <w:uiPriority w:val="99"/>
    <w:semiHidden/>
    <w:unhideWhenUsed/>
    <w:rsid w:val="005E1386"/>
    <w:pPr>
      <w:spacing w:before="40" w:line="300" w:lineRule="auto"/>
    </w:pPr>
    <w:rPr>
      <w:color w:val="000080"/>
      <w:sz w:val="20"/>
      <w:szCs w:val="20"/>
      <w:lang w:val="de-DE"/>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customStyle="1" w:styleId="TabelleKlassisch41">
    <w:name w:val="Tabelle Klassisch 4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customStyle="1" w:styleId="TabelleFarbig11">
    <w:name w:val="Tabelle Farbig 11"/>
    <w:basedOn w:val="TableNormal"/>
    <w:uiPriority w:val="99"/>
    <w:semiHidden/>
    <w:unhideWhenUsed/>
    <w:rsid w:val="005E1386"/>
    <w:pPr>
      <w:spacing w:before="40" w:line="300" w:lineRule="auto"/>
    </w:pPr>
    <w:rPr>
      <w:color w:val="FFFFFF"/>
      <w:sz w:val="20"/>
      <w:szCs w:val="20"/>
      <w:lang w:val="de-DE"/>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customStyle="1" w:styleId="TabelleFarbig21">
    <w:name w:val="Tabelle Farbig 21"/>
    <w:basedOn w:val="TableNormal"/>
    <w:uiPriority w:val="99"/>
    <w:semiHidden/>
    <w:unhideWhenUsed/>
    <w:rsid w:val="005E1386"/>
    <w:pPr>
      <w:spacing w:before="40" w:line="300" w:lineRule="auto"/>
    </w:pPr>
    <w:rPr>
      <w:sz w:val="20"/>
      <w:szCs w:val="20"/>
      <w:lang w:val="de-DE"/>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customStyle="1" w:styleId="TabelleFarbig31">
    <w:name w:val="Tabelle Farbig 31"/>
    <w:basedOn w:val="TableNormal"/>
    <w:uiPriority w:val="99"/>
    <w:semiHidden/>
    <w:unhideWhenUsed/>
    <w:rsid w:val="005E1386"/>
    <w:pPr>
      <w:spacing w:before="40" w:line="300" w:lineRule="auto"/>
    </w:pPr>
    <w:rPr>
      <w:sz w:val="20"/>
      <w:szCs w:val="20"/>
      <w:lang w:val="de-DE"/>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customStyle="1" w:styleId="TabelleSpalten11">
    <w:name w:val="Tabelle Spalten 11"/>
    <w:basedOn w:val="TableNormal"/>
    <w:uiPriority w:val="99"/>
    <w:semiHidden/>
    <w:unhideWhenUsed/>
    <w:rsid w:val="005E1386"/>
    <w:pPr>
      <w:spacing w:before="40" w:line="300" w:lineRule="auto"/>
    </w:pPr>
    <w:rPr>
      <w:b/>
      <w:bCs/>
      <w:sz w:val="20"/>
      <w:szCs w:val="20"/>
      <w:lang w:val="de-DE"/>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customStyle="1" w:styleId="TabelleSpalten21">
    <w:name w:val="Tabelle Spalten 21"/>
    <w:basedOn w:val="TableNormal"/>
    <w:uiPriority w:val="99"/>
    <w:semiHidden/>
    <w:unhideWhenUsed/>
    <w:rsid w:val="005E1386"/>
    <w:pPr>
      <w:spacing w:before="40" w:line="300" w:lineRule="auto"/>
    </w:pPr>
    <w:rPr>
      <w:b/>
      <w:bCs/>
      <w:sz w:val="20"/>
      <w:szCs w:val="20"/>
      <w:lang w:val="de-DE"/>
      <w14:ligatures w14:val="none"/>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customStyle="1" w:styleId="TabelleSpalten31">
    <w:name w:val="Tabelle Spalten 31"/>
    <w:basedOn w:val="TableNormal"/>
    <w:uiPriority w:val="99"/>
    <w:semiHidden/>
    <w:unhideWhenUsed/>
    <w:rsid w:val="005E1386"/>
    <w:pPr>
      <w:spacing w:before="40" w:line="300" w:lineRule="auto"/>
    </w:pPr>
    <w:rPr>
      <w:b/>
      <w:bCs/>
      <w:sz w:val="20"/>
      <w:szCs w:val="20"/>
      <w:lang w:val="de-DE"/>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customStyle="1" w:styleId="TabelleSpalten41">
    <w:name w:val="Tabelle Spalten 41"/>
    <w:basedOn w:val="TableNormal"/>
    <w:uiPriority w:val="99"/>
    <w:semiHidden/>
    <w:unhideWhenUsed/>
    <w:rsid w:val="005E1386"/>
    <w:pPr>
      <w:spacing w:before="40" w:line="300" w:lineRule="auto"/>
    </w:pPr>
    <w:rPr>
      <w:sz w:val="20"/>
      <w:szCs w:val="20"/>
      <w:lang w:val="de-DE"/>
      <w14:ligatures w14:val="none"/>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leSpalten51">
    <w:name w:val="Tabelle Spalten 51"/>
    <w:basedOn w:val="TableNormal"/>
    <w:uiPriority w:val="99"/>
    <w:semiHidden/>
    <w:unhideWhenUsed/>
    <w:rsid w:val="005E1386"/>
    <w:pPr>
      <w:spacing w:before="40" w:line="300" w:lineRule="auto"/>
    </w:pPr>
    <w:rPr>
      <w:sz w:val="20"/>
      <w:szCs w:val="20"/>
      <w:lang w:val="de-DE"/>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customStyle="1" w:styleId="TabelleAktuell1">
    <w:name w:val="Tabelle Aktuell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TabelleElegant1">
    <w:name w:val="Tabelle Elegant1"/>
    <w:basedOn w:val="TableNormal"/>
    <w:uiPriority w:val="99"/>
    <w:semiHidden/>
    <w:unhideWhenUsed/>
    <w:rsid w:val="005E1386"/>
    <w:pPr>
      <w:spacing w:before="40" w:line="300" w:lineRule="auto"/>
    </w:pPr>
    <w:rPr>
      <w:sz w:val="20"/>
      <w:szCs w:val="20"/>
      <w:lang w:val="de-D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TabelleGitternetz1">
    <w:name w:val="Tabelle Gitternetz 1"/>
    <w:basedOn w:val="TableNormal"/>
    <w:uiPriority w:val="99"/>
    <w:semiHidden/>
    <w:unhideWhenUsed/>
    <w:rsid w:val="005E1386"/>
    <w:pPr>
      <w:spacing w:before="40" w:line="300" w:lineRule="auto"/>
    </w:pPr>
    <w:rPr>
      <w:sz w:val="20"/>
      <w:szCs w:val="20"/>
      <w:lang w:val="de-D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customStyle="1" w:styleId="TabelleGitternetz2">
    <w:name w:val="Tabelle Gitternetz 2"/>
    <w:basedOn w:val="TableNormal"/>
    <w:uiPriority w:val="99"/>
    <w:semiHidden/>
    <w:unhideWhenUsed/>
    <w:rsid w:val="005E1386"/>
    <w:pPr>
      <w:spacing w:before="40" w:line="300" w:lineRule="auto"/>
    </w:pPr>
    <w:rPr>
      <w:sz w:val="20"/>
      <w:szCs w:val="20"/>
      <w:lang w:val="de-DE"/>
      <w14:ligatures w14:val="none"/>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TabelleGitternetz3">
    <w:name w:val="Tabelle Gitternetz 3"/>
    <w:basedOn w:val="TableNormal"/>
    <w:uiPriority w:val="99"/>
    <w:semiHidden/>
    <w:unhideWhenUsed/>
    <w:rsid w:val="005E1386"/>
    <w:pPr>
      <w:spacing w:before="40" w:line="300" w:lineRule="auto"/>
    </w:pPr>
    <w:rPr>
      <w:sz w:val="20"/>
      <w:szCs w:val="20"/>
      <w:lang w:val="de-DE"/>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customStyle="1" w:styleId="TabelleGitternetz4">
    <w:name w:val="Tabelle Gitternetz 4"/>
    <w:basedOn w:val="TableNormal"/>
    <w:uiPriority w:val="99"/>
    <w:semiHidden/>
    <w:unhideWhenUsed/>
    <w:rsid w:val="005E1386"/>
    <w:pPr>
      <w:spacing w:before="40" w:line="300" w:lineRule="auto"/>
    </w:pPr>
    <w:rPr>
      <w:sz w:val="20"/>
      <w:szCs w:val="20"/>
      <w:lang w:val="de-DE"/>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customStyle="1" w:styleId="TabelleGitternetz5">
    <w:name w:val="Tabelle Gitternetz 5"/>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customStyle="1" w:styleId="TabelleGitternetz6">
    <w:name w:val="Tabelle Gitternetz 6"/>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TabelleGitternetz7">
    <w:name w:val="Tabelle Gitternetz 7"/>
    <w:basedOn w:val="TableNormal"/>
    <w:uiPriority w:val="99"/>
    <w:semiHidden/>
    <w:unhideWhenUsed/>
    <w:rsid w:val="005E1386"/>
    <w:pPr>
      <w:spacing w:before="40" w:line="300" w:lineRule="auto"/>
    </w:pPr>
    <w:rPr>
      <w:b/>
      <w:bCs/>
      <w:sz w:val="20"/>
      <w:szCs w:val="20"/>
      <w:lang w:val="de-DE"/>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customStyle="1" w:styleId="TabelleGitternetz8">
    <w:name w:val="Tabelle Gitternetz 8"/>
    <w:basedOn w:val="TableNormal"/>
    <w:uiPriority w:val="99"/>
    <w:semiHidden/>
    <w:unhideWhenUsed/>
    <w:rsid w:val="005E1386"/>
    <w:pPr>
      <w:spacing w:before="40" w:line="300" w:lineRule="auto"/>
    </w:pPr>
    <w:rPr>
      <w:sz w:val="20"/>
      <w:szCs w:val="20"/>
      <w:lang w:val="de-D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customStyle="1" w:styleId="TabelleListe11">
    <w:name w:val="Tabelle Liste 1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customStyle="1" w:styleId="TabelleListe21">
    <w:name w:val="Tabelle Liste 2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customStyle="1" w:styleId="TabelleListe31">
    <w:name w:val="Tabelle Liste 3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customStyle="1" w:styleId="TabelleListe41">
    <w:name w:val="Tabelle Liste 4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customStyle="1" w:styleId="TabelleListe51">
    <w:name w:val="Tabelle Liste 51"/>
    <w:basedOn w:val="TableNormal"/>
    <w:uiPriority w:val="99"/>
    <w:semiHidden/>
    <w:unhideWhenUsed/>
    <w:rsid w:val="005E1386"/>
    <w:pPr>
      <w:spacing w:before="40" w:line="300" w:lineRule="auto"/>
    </w:pPr>
    <w:rPr>
      <w:sz w:val="20"/>
      <w:szCs w:val="20"/>
      <w:lang w:val="de-DE"/>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TabelleListe61">
    <w:name w:val="Tabelle Liste 61"/>
    <w:basedOn w:val="TableNormal"/>
    <w:uiPriority w:val="99"/>
    <w:semiHidden/>
    <w:unhideWhenUsed/>
    <w:rsid w:val="005E1386"/>
    <w:pPr>
      <w:spacing w:before="40" w:line="300" w:lineRule="auto"/>
    </w:pPr>
    <w:rPr>
      <w:sz w:val="20"/>
      <w:szCs w:val="20"/>
      <w:lang w:val="de-DE"/>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customStyle="1" w:styleId="TabelleListe71">
    <w:name w:val="Tabelle Liste 7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TabelleListe81">
    <w:name w:val="Tabelle Liste 8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customStyle="1" w:styleId="Rechtsgrundlagenverzeichnis1">
    <w:name w:val="Rechtsgrundlagenverzeichnis1"/>
    <w:basedOn w:val="Normal"/>
    <w:next w:val="Normal"/>
    <w:uiPriority w:val="99"/>
    <w:semiHidden/>
    <w:unhideWhenUsed/>
    <w:rsid w:val="005E1386"/>
    <w:pPr>
      <w:spacing w:after="0"/>
      <w:ind w:left="220" w:hanging="220"/>
    </w:pPr>
  </w:style>
  <w:style w:type="paragraph" w:customStyle="1" w:styleId="Abbildungsverzeichnis1">
    <w:name w:val="Abbildungsverzeichnis1"/>
    <w:basedOn w:val="Normal"/>
    <w:next w:val="Normal"/>
    <w:uiPriority w:val="99"/>
    <w:semiHidden/>
    <w:unhideWhenUsed/>
    <w:rsid w:val="005E1386"/>
    <w:pPr>
      <w:spacing w:after="0"/>
    </w:pPr>
  </w:style>
  <w:style w:type="table" w:customStyle="1" w:styleId="TabelleProfessionell1">
    <w:name w:val="Tabelle Professionell1"/>
    <w:basedOn w:val="TableNormal"/>
    <w:uiPriority w:val="99"/>
    <w:semiHidden/>
    <w:unhideWhenUsed/>
    <w:rsid w:val="005E1386"/>
    <w:pPr>
      <w:spacing w:before="40" w:line="300" w:lineRule="auto"/>
    </w:pPr>
    <w:rPr>
      <w:sz w:val="20"/>
      <w:szCs w:val="20"/>
      <w:lang w:val="de-D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TabelleEinfach11">
    <w:name w:val="Tabelle Einfach 11"/>
    <w:basedOn w:val="TableNormal"/>
    <w:uiPriority w:val="99"/>
    <w:semiHidden/>
    <w:unhideWhenUsed/>
    <w:rsid w:val="005E1386"/>
    <w:pPr>
      <w:spacing w:before="40" w:line="300" w:lineRule="auto"/>
    </w:pPr>
    <w:rPr>
      <w:sz w:val="20"/>
      <w:szCs w:val="20"/>
      <w:lang w:val="de-DE"/>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TabelleEinfach21">
    <w:name w:val="Tabelle Einfach 2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customStyle="1" w:styleId="TabelleEinfach31">
    <w:name w:val="Tabelle Einfach 31"/>
    <w:basedOn w:val="TableNormal"/>
    <w:uiPriority w:val="99"/>
    <w:semiHidden/>
    <w:unhideWhenUsed/>
    <w:rsid w:val="005E1386"/>
    <w:pPr>
      <w:spacing w:before="40" w:line="300" w:lineRule="auto"/>
    </w:pPr>
    <w:rPr>
      <w:sz w:val="20"/>
      <w:szCs w:val="20"/>
      <w:lang w:val="de-DE"/>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customStyle="1" w:styleId="TabelleSpezial11">
    <w:name w:val="Tabelle Spezial 11"/>
    <w:basedOn w:val="TableNormal"/>
    <w:uiPriority w:val="99"/>
    <w:semiHidden/>
    <w:unhideWhenUsed/>
    <w:rsid w:val="005E1386"/>
    <w:pPr>
      <w:spacing w:before="40" w:line="300" w:lineRule="auto"/>
    </w:pPr>
    <w:rPr>
      <w:color w:val="595959" w:themeColor="text1" w:themeTint="A6"/>
      <w:sz w:val="20"/>
      <w:szCs w:val="20"/>
      <w:lang w:val="de-DE"/>
      <w14:ligatures w14:val="none"/>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customStyle="1" w:styleId="TabelleSpezial21">
    <w:name w:val="Tabelle Spezial 21"/>
    <w:basedOn w:val="TableNormal"/>
    <w:uiPriority w:val="99"/>
    <w:semiHidden/>
    <w:unhideWhenUsed/>
    <w:rsid w:val="005E1386"/>
    <w:pPr>
      <w:spacing w:before="40" w:line="300" w:lineRule="auto"/>
    </w:pPr>
    <w:rPr>
      <w:color w:val="595959" w:themeColor="text1" w:themeTint="A6"/>
      <w:sz w:val="20"/>
      <w:szCs w:val="20"/>
      <w:lang w:val="de-DE"/>
      <w14:ligatures w14:val="none"/>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customStyle="1" w:styleId="Tabellendesign1">
    <w:name w:val="Tabellendesign1"/>
    <w:basedOn w:val="TableNormal"/>
    <w:uiPriority w:val="99"/>
    <w:semiHidden/>
    <w:unhideWhenUsed/>
    <w:rsid w:val="005E1386"/>
    <w:pPr>
      <w:spacing w:before="40" w:line="300" w:lineRule="auto"/>
    </w:pPr>
    <w:rPr>
      <w:color w:val="595959" w:themeColor="text1" w:themeTint="A6"/>
      <w:sz w:val="20"/>
      <w:szCs w:val="20"/>
      <w:lang w:val="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Web11">
    <w:name w:val="Tabelle Web 11"/>
    <w:basedOn w:val="TableNormal"/>
    <w:uiPriority w:val="99"/>
    <w:semiHidden/>
    <w:unhideWhenUsed/>
    <w:rsid w:val="005E1386"/>
    <w:pPr>
      <w:spacing w:before="40" w:line="300" w:lineRule="auto"/>
    </w:pPr>
    <w:rPr>
      <w:sz w:val="20"/>
      <w:szCs w:val="20"/>
      <w:lang w:val="de-DE"/>
      <w14:ligatures w14:val="none"/>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elleWeb21">
    <w:name w:val="Tabelle Web 21"/>
    <w:basedOn w:val="TableNormal"/>
    <w:uiPriority w:val="99"/>
    <w:semiHidden/>
    <w:unhideWhenUsed/>
    <w:rsid w:val="005E1386"/>
    <w:pPr>
      <w:spacing w:before="40" w:line="300" w:lineRule="auto"/>
    </w:pPr>
    <w:rPr>
      <w:sz w:val="20"/>
      <w:szCs w:val="20"/>
      <w:lang w:val="de-DE"/>
      <w14:ligatures w14:val="none"/>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elleWeb31">
    <w:name w:val="Tabelle Web 31"/>
    <w:basedOn w:val="TableNormal"/>
    <w:uiPriority w:val="99"/>
    <w:semiHidden/>
    <w:unhideWhenUsed/>
    <w:rsid w:val="005E1386"/>
    <w:pPr>
      <w:spacing w:before="40" w:line="300" w:lineRule="auto"/>
    </w:pPr>
    <w:rPr>
      <w:sz w:val="20"/>
      <w:szCs w:val="20"/>
      <w:lang w:val="de-DE"/>
      <w14:ligatures w14:val="none"/>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Titel1">
    <w:name w:val="Titel1"/>
    <w:basedOn w:val="Normal"/>
    <w:next w:val="Normal"/>
    <w:link w:val="Titelzeichen"/>
    <w:uiPriority w:val="19"/>
    <w:unhideWhenUsed/>
    <w:qFormat/>
    <w:rsid w:val="005E1386"/>
    <w:pPr>
      <w:pBdr>
        <w:top w:val="single" w:sz="4" w:space="10" w:color="156082" w:themeColor="accent1"/>
        <w:left w:val="single" w:sz="4" w:space="5" w:color="156082" w:themeColor="accent1"/>
        <w:bottom w:val="single" w:sz="4" w:space="10" w:color="156082" w:themeColor="accent1"/>
        <w:right w:val="single" w:sz="4" w:space="5" w:color="156082" w:themeColor="accent1"/>
      </w:pBdr>
      <w:shd w:val="clear" w:color="auto" w:fill="156082" w:themeFill="accent1"/>
      <w:spacing w:before="240" w:after="240" w:line="1200" w:lineRule="exact"/>
      <w:ind w:left="115" w:right="115"/>
    </w:pPr>
    <w:rPr>
      <w:rFonts w:asciiTheme="majorHAnsi" w:eastAsiaTheme="majorEastAsia" w:hAnsiTheme="majorHAnsi" w:cstheme="majorBidi"/>
      <w:caps/>
      <w:color w:val="FFFFFF" w:themeColor="background1"/>
      <w:spacing w:val="40"/>
      <w:sz w:val="136"/>
      <w14:ligatures w14:val="standardContextual"/>
    </w:rPr>
  </w:style>
  <w:style w:type="character" w:customStyle="1" w:styleId="Titelzeichen">
    <w:name w:val="Titelzeichen"/>
    <w:basedOn w:val="DefaultParagraphFont"/>
    <w:link w:val="Titel1"/>
    <w:uiPriority w:val="19"/>
    <w:rsid w:val="005E1386"/>
    <w:rPr>
      <w:rFonts w:asciiTheme="majorHAnsi" w:eastAsiaTheme="majorEastAsia" w:hAnsiTheme="majorHAnsi" w:cstheme="majorBidi"/>
      <w:caps/>
      <w:color w:val="FFFFFF" w:themeColor="background1"/>
      <w:spacing w:val="40"/>
      <w:sz w:val="136"/>
      <w:szCs w:val="20"/>
      <w:shd w:val="clear" w:color="auto" w:fill="156082" w:themeFill="accent1"/>
      <w:lang w:val="de-DE"/>
    </w:rPr>
  </w:style>
  <w:style w:type="paragraph" w:customStyle="1" w:styleId="Inhaltsverzeichnisberschrift1">
    <w:name w:val="Inhaltsverzeichnisüberschrift1"/>
    <w:basedOn w:val="Normal"/>
    <w:next w:val="Normal"/>
    <w:uiPriority w:val="99"/>
    <w:semiHidden/>
    <w:unhideWhenUsed/>
    <w:rsid w:val="005E1386"/>
    <w:pPr>
      <w:spacing w:before="120"/>
    </w:pPr>
    <w:rPr>
      <w:rFonts w:asciiTheme="majorHAnsi" w:eastAsiaTheme="majorEastAsia" w:hAnsiTheme="majorHAnsi" w:cstheme="majorBidi"/>
      <w:b/>
      <w:bCs/>
      <w:sz w:val="24"/>
    </w:rPr>
  </w:style>
  <w:style w:type="paragraph" w:customStyle="1" w:styleId="Inhaltsverzeichnis1">
    <w:name w:val="Inhaltsverzeichnis 1"/>
    <w:basedOn w:val="Normal"/>
    <w:next w:val="Normal"/>
    <w:uiPriority w:val="39"/>
    <w:unhideWhenUsed/>
    <w:rsid w:val="005E1386"/>
    <w:pPr>
      <w:tabs>
        <w:tab w:val="right" w:leader="underscore" w:pos="9090"/>
      </w:tabs>
      <w:spacing w:after="100"/>
    </w:pPr>
    <w:rPr>
      <w:color w:val="7F7F7F" w:themeColor="text1" w:themeTint="80"/>
      <w:sz w:val="22"/>
    </w:rPr>
  </w:style>
  <w:style w:type="paragraph" w:customStyle="1" w:styleId="Inhaltsverzeichnis2">
    <w:name w:val="Inhaltsverzeichnis 2"/>
    <w:basedOn w:val="Normal"/>
    <w:next w:val="Normal"/>
    <w:uiPriority w:val="39"/>
    <w:unhideWhenUsed/>
    <w:rsid w:val="005E1386"/>
    <w:pPr>
      <w:spacing w:after="100"/>
      <w:ind w:left="220"/>
    </w:pPr>
  </w:style>
  <w:style w:type="paragraph" w:customStyle="1" w:styleId="Inhaltsverzeichnis3">
    <w:name w:val="Inhaltsverzeichnis 3"/>
    <w:basedOn w:val="Normal"/>
    <w:next w:val="Normal"/>
    <w:uiPriority w:val="39"/>
    <w:semiHidden/>
    <w:unhideWhenUsed/>
    <w:rsid w:val="005E1386"/>
    <w:pPr>
      <w:spacing w:after="100"/>
      <w:ind w:left="440"/>
    </w:pPr>
  </w:style>
  <w:style w:type="paragraph" w:customStyle="1" w:styleId="Inhaltsverzeichnis4">
    <w:name w:val="Inhaltsverzeichnis 4"/>
    <w:basedOn w:val="Normal"/>
    <w:next w:val="Normal"/>
    <w:uiPriority w:val="39"/>
    <w:semiHidden/>
    <w:unhideWhenUsed/>
    <w:rsid w:val="005E1386"/>
    <w:pPr>
      <w:spacing w:after="100"/>
      <w:ind w:left="660"/>
    </w:pPr>
  </w:style>
  <w:style w:type="paragraph" w:customStyle="1" w:styleId="Inhaltsverzeichnis5">
    <w:name w:val="Inhaltsverzeichnis 5"/>
    <w:basedOn w:val="Normal"/>
    <w:next w:val="Normal"/>
    <w:uiPriority w:val="39"/>
    <w:semiHidden/>
    <w:unhideWhenUsed/>
    <w:rsid w:val="005E1386"/>
    <w:pPr>
      <w:spacing w:after="100"/>
      <w:ind w:left="880"/>
    </w:pPr>
  </w:style>
  <w:style w:type="paragraph" w:customStyle="1" w:styleId="Inhaltsverzeichnis6">
    <w:name w:val="Inhaltsverzeichnis 6"/>
    <w:basedOn w:val="Normal"/>
    <w:next w:val="Normal"/>
    <w:uiPriority w:val="39"/>
    <w:semiHidden/>
    <w:unhideWhenUsed/>
    <w:rsid w:val="005E1386"/>
    <w:pPr>
      <w:spacing w:after="100"/>
      <w:ind w:left="1100"/>
    </w:pPr>
  </w:style>
  <w:style w:type="paragraph" w:customStyle="1" w:styleId="Inhaltsverzeichnis7">
    <w:name w:val="Inhaltsverzeichnis 7"/>
    <w:basedOn w:val="Normal"/>
    <w:next w:val="Normal"/>
    <w:uiPriority w:val="39"/>
    <w:semiHidden/>
    <w:unhideWhenUsed/>
    <w:rsid w:val="005E1386"/>
    <w:pPr>
      <w:spacing w:after="100"/>
      <w:ind w:left="1320"/>
    </w:pPr>
  </w:style>
  <w:style w:type="paragraph" w:customStyle="1" w:styleId="Inhaltsverzeichnis8">
    <w:name w:val="Inhaltsverzeichnis 8"/>
    <w:basedOn w:val="Normal"/>
    <w:next w:val="Normal"/>
    <w:uiPriority w:val="39"/>
    <w:semiHidden/>
    <w:unhideWhenUsed/>
    <w:rsid w:val="005E1386"/>
    <w:pPr>
      <w:spacing w:after="100"/>
      <w:ind w:left="1540"/>
    </w:pPr>
  </w:style>
  <w:style w:type="paragraph" w:customStyle="1" w:styleId="Inhaltsverzeichnis9">
    <w:name w:val="Inhaltsverzeichnis 9"/>
    <w:basedOn w:val="Normal"/>
    <w:next w:val="Normal"/>
    <w:uiPriority w:val="39"/>
    <w:semiHidden/>
    <w:unhideWhenUsed/>
    <w:rsid w:val="005E1386"/>
    <w:pPr>
      <w:spacing w:after="100"/>
      <w:ind w:left="1760"/>
    </w:pPr>
  </w:style>
  <w:style w:type="paragraph" w:customStyle="1" w:styleId="Inhaltsverzeichnisberschrift2">
    <w:name w:val="Inhaltsverzeichnisüberschrift2"/>
    <w:basedOn w:val="berschrift11"/>
    <w:next w:val="Normal"/>
    <w:uiPriority w:val="39"/>
    <w:unhideWhenUsed/>
    <w:qFormat/>
    <w:rsid w:val="005E1386"/>
    <w:pPr>
      <w:outlineLvl w:val="9"/>
    </w:pPr>
  </w:style>
  <w:style w:type="character" w:customStyle="1" w:styleId="KeinLeerraum-Zeichen">
    <w:name w:val="Kein Leerraum - Zeichen"/>
    <w:basedOn w:val="DefaultParagraphFont"/>
    <w:link w:val="KeinLeerraum1"/>
    <w:uiPriority w:val="1"/>
    <w:rsid w:val="005E1386"/>
    <w:rPr>
      <w:color w:val="595959" w:themeColor="text1" w:themeTint="A6"/>
      <w:sz w:val="20"/>
      <w:szCs w:val="20"/>
      <w:lang w:val="de-DE"/>
      <w14:ligatures w14:val="none"/>
    </w:rPr>
  </w:style>
  <w:style w:type="paragraph" w:customStyle="1" w:styleId="Tabellenberschrift">
    <w:name w:val="Tabellenüberschrift"/>
    <w:basedOn w:val="Normal"/>
    <w:uiPriority w:val="1"/>
    <w:qFormat/>
    <w:rsid w:val="005E1386"/>
    <w:pPr>
      <w:keepNext/>
      <w:pBdr>
        <w:top w:val="single" w:sz="4" w:space="1" w:color="156082" w:themeColor="accent1"/>
        <w:left w:val="single" w:sz="4" w:space="6" w:color="156082" w:themeColor="accent1"/>
        <w:bottom w:val="single" w:sz="4" w:space="1" w:color="156082" w:themeColor="accent1"/>
        <w:right w:val="single" w:sz="4" w:space="6" w:color="156082" w:themeColor="accent1"/>
      </w:pBdr>
      <w:shd w:val="clear" w:color="auto" w:fill="156082"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abellentextdezimal">
    <w:name w:val="Tabellentext dezimal"/>
    <w:basedOn w:val="Normal"/>
    <w:uiPriority w:val="1"/>
    <w:qFormat/>
    <w:rsid w:val="005E1386"/>
    <w:pPr>
      <w:tabs>
        <w:tab w:val="decimal" w:pos="1252"/>
      </w:tabs>
      <w:spacing w:before="60" w:after="60" w:line="240" w:lineRule="auto"/>
      <w:ind w:left="144" w:right="144"/>
    </w:pPr>
  </w:style>
  <w:style w:type="table" w:customStyle="1" w:styleId="Finanztabelle">
    <w:name w:val="Finanztabelle"/>
    <w:basedOn w:val="TableNormal"/>
    <w:uiPriority w:val="99"/>
    <w:rsid w:val="005E1386"/>
    <w:pPr>
      <w:spacing w:before="40" w:after="0" w:line="240" w:lineRule="auto"/>
      <w:ind w:left="144" w:right="144"/>
    </w:pPr>
    <w:rPr>
      <w:color w:val="595959" w:themeColor="text1" w:themeTint="A6"/>
      <w:sz w:val="20"/>
      <w:szCs w:val="20"/>
      <w:lang w:val="de-DE"/>
      <w14:ligatures w14:val="none"/>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156082" w:themeColor="accent1"/>
        <w:sz w:val="22"/>
      </w:rPr>
    </w:tblStylePr>
    <w:tblStylePr w:type="firstCol">
      <w:rPr>
        <w:b/>
      </w:rPr>
    </w:tblStylePr>
  </w:style>
  <w:style w:type="numbering" w:customStyle="1" w:styleId="Jahresbericht">
    <w:name w:val="Jahresbericht"/>
    <w:uiPriority w:val="99"/>
    <w:rsid w:val="005E1386"/>
    <w:pPr>
      <w:numPr>
        <w:numId w:val="17"/>
      </w:numPr>
    </w:pPr>
  </w:style>
  <w:style w:type="paragraph" w:customStyle="1" w:styleId="Exposee">
    <w:name w:val="Exposee"/>
    <w:basedOn w:val="Normal"/>
    <w:uiPriority w:val="19"/>
    <w:qFormat/>
    <w:rsid w:val="005E1386"/>
    <w:pPr>
      <w:spacing w:before="360" w:after="600"/>
      <w:ind w:left="144" w:right="144"/>
    </w:pPr>
    <w:rPr>
      <w:i/>
      <w:iCs/>
      <w:color w:val="7F7F7F" w:themeColor="text1" w:themeTint="80"/>
      <w:sz w:val="28"/>
    </w:rPr>
  </w:style>
  <w:style w:type="paragraph" w:customStyle="1" w:styleId="Tabellentext">
    <w:name w:val="Tabellentext"/>
    <w:basedOn w:val="Normal"/>
    <w:uiPriority w:val="9"/>
    <w:qFormat/>
    <w:rsid w:val="005E1386"/>
    <w:pPr>
      <w:spacing w:before="60" w:after="60" w:line="240" w:lineRule="auto"/>
      <w:ind w:left="144" w:right="144"/>
    </w:pPr>
  </w:style>
  <w:style w:type="paragraph" w:customStyle="1" w:styleId="UmgekehrteTabellenberschrift">
    <w:name w:val="Umgekehrte Tabellenüberschrift"/>
    <w:basedOn w:val="Normal"/>
    <w:uiPriority w:val="9"/>
    <w:qFormat/>
    <w:rsid w:val="005E1386"/>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Kopfzeileschattiert">
    <w:name w:val="Kopfzeile schattiert"/>
    <w:basedOn w:val="Normal"/>
    <w:uiPriority w:val="19"/>
    <w:qFormat/>
    <w:rsid w:val="005E1386"/>
    <w:pPr>
      <w:pBdr>
        <w:top w:val="single" w:sz="2" w:space="2" w:color="156082" w:themeColor="accent1"/>
        <w:left w:val="single" w:sz="2" w:space="6" w:color="156082" w:themeColor="accent1"/>
        <w:bottom w:val="single" w:sz="2" w:space="2" w:color="156082" w:themeColor="accent1"/>
        <w:right w:val="single" w:sz="2" w:space="6" w:color="156082" w:themeColor="accent1"/>
      </w:pBdr>
      <w:shd w:val="clear" w:color="auto" w:fill="156082"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styleId="BalloonText">
    <w:name w:val="Balloon Text"/>
    <w:basedOn w:val="Normal"/>
    <w:link w:val="BalloonTextChar"/>
    <w:uiPriority w:val="99"/>
    <w:semiHidden/>
    <w:unhideWhenUsed/>
    <w:rsid w:val="005E138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386"/>
    <w:rPr>
      <w:rFonts w:ascii="Tahoma" w:hAnsi="Tahoma" w:cs="Tahoma"/>
      <w:color w:val="595959" w:themeColor="text1" w:themeTint="A6"/>
      <w:sz w:val="16"/>
      <w:szCs w:val="16"/>
      <w:lang w:val="de-DE"/>
      <w14:ligatures w14:val="none"/>
    </w:rPr>
  </w:style>
  <w:style w:type="paragraph" w:styleId="Header">
    <w:name w:val="header"/>
    <w:basedOn w:val="Normal"/>
    <w:link w:val="HeaderChar1"/>
    <w:uiPriority w:val="99"/>
    <w:unhideWhenUsed/>
    <w:rsid w:val="005E1386"/>
    <w:pPr>
      <w:tabs>
        <w:tab w:val="center" w:pos="4320"/>
        <w:tab w:val="right" w:pos="8640"/>
      </w:tabs>
      <w:spacing w:before="0" w:after="0" w:line="240" w:lineRule="auto"/>
    </w:pPr>
  </w:style>
  <w:style w:type="character" w:customStyle="1" w:styleId="HeaderChar1">
    <w:name w:val="Header Char1"/>
    <w:basedOn w:val="DefaultParagraphFont"/>
    <w:link w:val="Header"/>
    <w:uiPriority w:val="99"/>
    <w:rsid w:val="005E1386"/>
    <w:rPr>
      <w:color w:val="595959" w:themeColor="text1" w:themeTint="A6"/>
      <w:sz w:val="20"/>
      <w:szCs w:val="20"/>
      <w:lang w:val="de-DE"/>
      <w14:ligatures w14:val="none"/>
    </w:rPr>
  </w:style>
  <w:style w:type="paragraph" w:styleId="Footer">
    <w:name w:val="footer"/>
    <w:basedOn w:val="Normal"/>
    <w:link w:val="FooterChar1"/>
    <w:uiPriority w:val="99"/>
    <w:unhideWhenUsed/>
    <w:rsid w:val="005E1386"/>
    <w:pPr>
      <w:tabs>
        <w:tab w:val="center" w:pos="4320"/>
        <w:tab w:val="right" w:pos="8640"/>
      </w:tabs>
      <w:spacing w:before="0" w:after="0" w:line="240" w:lineRule="auto"/>
    </w:pPr>
  </w:style>
  <w:style w:type="character" w:customStyle="1" w:styleId="FooterChar1">
    <w:name w:val="Footer Char1"/>
    <w:basedOn w:val="DefaultParagraphFont"/>
    <w:link w:val="Footer"/>
    <w:uiPriority w:val="99"/>
    <w:rsid w:val="005E1386"/>
    <w:rPr>
      <w:color w:val="595959" w:themeColor="text1" w:themeTint="A6"/>
      <w:sz w:val="20"/>
      <w:szCs w:val="20"/>
      <w:lang w:val="de-DE"/>
      <w14:ligatures w14:val="none"/>
    </w:rPr>
  </w:style>
  <w:style w:type="character" w:customStyle="1" w:styleId="Heading1Char1">
    <w:name w:val="Heading 1 Char1"/>
    <w:basedOn w:val="DefaultParagraphFont"/>
    <w:uiPriority w:val="9"/>
    <w:rsid w:val="005E1386"/>
    <w:rPr>
      <w:rFonts w:asciiTheme="majorHAnsi" w:eastAsiaTheme="majorEastAsia" w:hAnsiTheme="majorHAnsi" w:cstheme="majorBidi"/>
      <w:b/>
      <w:bCs/>
      <w:color w:val="0F4761" w:themeColor="accent1" w:themeShade="BF"/>
      <w:sz w:val="28"/>
      <w:szCs w:val="28"/>
    </w:rPr>
  </w:style>
  <w:style w:type="paragraph" w:styleId="TOCHeading">
    <w:name w:val="TOC Heading"/>
    <w:basedOn w:val="Heading1"/>
    <w:next w:val="Normal"/>
    <w:uiPriority w:val="39"/>
    <w:semiHidden/>
    <w:unhideWhenUsed/>
    <w:qFormat/>
    <w:rsid w:val="005E1386"/>
    <w:pPr>
      <w:spacing w:before="480" w:after="0" w:line="276" w:lineRule="auto"/>
      <w:outlineLvl w:val="9"/>
    </w:pPr>
    <w:rPr>
      <w:b/>
      <w:bCs/>
      <w:sz w:val="28"/>
      <w:szCs w:val="28"/>
    </w:rPr>
  </w:style>
  <w:style w:type="paragraph" w:styleId="TOC1">
    <w:name w:val="toc 1"/>
    <w:basedOn w:val="Normal"/>
    <w:next w:val="Normal"/>
    <w:uiPriority w:val="39"/>
    <w:unhideWhenUsed/>
    <w:rsid w:val="005E1386"/>
    <w:pPr>
      <w:spacing w:after="100"/>
    </w:pPr>
  </w:style>
  <w:style w:type="paragraph" w:styleId="TOC2">
    <w:name w:val="toc 2"/>
    <w:basedOn w:val="Normal"/>
    <w:next w:val="Normal"/>
    <w:uiPriority w:val="39"/>
    <w:unhideWhenUsed/>
    <w:rsid w:val="005E1386"/>
    <w:pPr>
      <w:spacing w:after="100"/>
      <w:ind w:left="200"/>
    </w:pPr>
  </w:style>
  <w:style w:type="character" w:styleId="PlaceholderText">
    <w:name w:val="Placeholder Text"/>
    <w:basedOn w:val="DefaultParagraphFont"/>
    <w:uiPriority w:val="99"/>
    <w:semiHidden/>
    <w:rsid w:val="005E1386"/>
    <w:rPr>
      <w:color w:val="808080"/>
    </w:rPr>
  </w:style>
  <w:style w:type="character" w:styleId="CommentReference">
    <w:name w:val="annotation reference"/>
    <w:basedOn w:val="DefaultParagraphFont"/>
    <w:uiPriority w:val="99"/>
    <w:semiHidden/>
    <w:unhideWhenUsed/>
    <w:rsid w:val="005E1386"/>
    <w:rPr>
      <w:sz w:val="16"/>
      <w:szCs w:val="16"/>
    </w:rPr>
  </w:style>
  <w:style w:type="paragraph" w:styleId="CommentText">
    <w:name w:val="annotation text"/>
    <w:basedOn w:val="Normal"/>
    <w:link w:val="CommentTextChar"/>
    <w:uiPriority w:val="99"/>
    <w:unhideWhenUsed/>
    <w:rsid w:val="005E1386"/>
    <w:pPr>
      <w:spacing w:line="240" w:lineRule="auto"/>
    </w:pPr>
  </w:style>
  <w:style w:type="character" w:customStyle="1" w:styleId="CommentTextChar">
    <w:name w:val="Comment Text Char"/>
    <w:basedOn w:val="DefaultParagraphFont"/>
    <w:link w:val="CommentText"/>
    <w:uiPriority w:val="99"/>
    <w:rsid w:val="005E1386"/>
    <w:rPr>
      <w:color w:val="595959" w:themeColor="text1" w:themeTint="A6"/>
      <w:sz w:val="20"/>
      <w:szCs w:val="20"/>
      <w:lang w:val="de-DE"/>
      <w14:ligatures w14:val="none"/>
    </w:rPr>
  </w:style>
  <w:style w:type="paragraph" w:styleId="CommentSubject">
    <w:name w:val="annotation subject"/>
    <w:basedOn w:val="CommentText"/>
    <w:next w:val="CommentText"/>
    <w:link w:val="CommentSubjectChar"/>
    <w:uiPriority w:val="99"/>
    <w:semiHidden/>
    <w:unhideWhenUsed/>
    <w:rsid w:val="005E1386"/>
    <w:rPr>
      <w:b/>
      <w:bCs/>
    </w:rPr>
  </w:style>
  <w:style w:type="character" w:customStyle="1" w:styleId="CommentSubjectChar">
    <w:name w:val="Comment Subject Char"/>
    <w:basedOn w:val="CommentTextChar"/>
    <w:link w:val="CommentSubject"/>
    <w:uiPriority w:val="99"/>
    <w:semiHidden/>
    <w:rsid w:val="005E1386"/>
    <w:rPr>
      <w:b/>
      <w:bCs/>
      <w:color w:val="595959" w:themeColor="text1" w:themeTint="A6"/>
      <w:sz w:val="20"/>
      <w:szCs w:val="20"/>
      <w:lang w:val="de-DE"/>
      <w14:ligatures w14:val="none"/>
    </w:rPr>
  </w:style>
  <w:style w:type="character" w:customStyle="1" w:styleId="Heading2Char1">
    <w:name w:val="Heading 2 Char1"/>
    <w:basedOn w:val="DefaultParagraphFont"/>
    <w:rsid w:val="005E1386"/>
    <w:rPr>
      <w:rFonts w:asciiTheme="majorHAnsi" w:eastAsiaTheme="majorEastAsia" w:hAnsiTheme="majorHAnsi" w:cstheme="majorBidi"/>
      <w:color w:val="0F4761" w:themeColor="accent1" w:themeShade="BF"/>
      <w:sz w:val="26"/>
      <w:szCs w:val="26"/>
    </w:rPr>
  </w:style>
  <w:style w:type="paragraph" w:customStyle="1" w:styleId="docdata">
    <w:name w:val="docdata"/>
    <w:basedOn w:val="Normal"/>
    <w:rsid w:val="005E1386"/>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customStyle="1" w:styleId="6329">
    <w:name w:val="6329"/>
    <w:basedOn w:val="DefaultParagraphFont"/>
    <w:rsid w:val="005E1386"/>
  </w:style>
  <w:style w:type="character" w:customStyle="1" w:styleId="Heading3Char1">
    <w:name w:val="Heading 3 Char1"/>
    <w:basedOn w:val="DefaultParagraphFont"/>
    <w:semiHidden/>
    <w:rsid w:val="005E1386"/>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5E1386"/>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customStyle="1" w:styleId="Heading5Char1">
    <w:name w:val="Heading 5 Char1"/>
    <w:basedOn w:val="DefaultParagraphFont"/>
    <w:rsid w:val="005E1386"/>
    <w:rPr>
      <w:rFonts w:asciiTheme="majorHAnsi" w:eastAsiaTheme="majorEastAsia" w:hAnsiTheme="majorHAnsi" w:cstheme="majorBidi"/>
      <w:color w:val="0F4761" w:themeColor="accent1" w:themeShade="BF"/>
    </w:rPr>
  </w:style>
  <w:style w:type="character" w:customStyle="1" w:styleId="Heading4Char1">
    <w:name w:val="Heading 4 Char1"/>
    <w:basedOn w:val="DefaultParagraphFont"/>
    <w:semiHidden/>
    <w:rsid w:val="005E1386"/>
    <w:rPr>
      <w:rFonts w:asciiTheme="majorHAnsi" w:eastAsiaTheme="majorEastAsia" w:hAnsiTheme="majorHAnsi" w:cstheme="majorBidi"/>
      <w:i/>
      <w:iCs/>
      <w:color w:val="0F4761" w:themeColor="accent1" w:themeShade="BF"/>
    </w:rPr>
  </w:style>
  <w:style w:type="paragraph" w:customStyle="1" w:styleId="EndNoteBibliographyTitle">
    <w:name w:val="EndNote Bibliography Title"/>
    <w:basedOn w:val="Normal"/>
    <w:link w:val="EndNoteBibliographyTitleZchn"/>
    <w:rsid w:val="005E1386"/>
    <w:pPr>
      <w:spacing w:after="0"/>
      <w:jc w:val="center"/>
    </w:pPr>
    <w:rPr>
      <w:rFonts w:ascii="Arial" w:hAnsi="Arial" w:cs="Arial"/>
      <w:lang w:val="en-US"/>
    </w:rPr>
  </w:style>
  <w:style w:type="character" w:customStyle="1" w:styleId="EndNoteBibliographyTitleZchn">
    <w:name w:val="EndNote Bibliography Title Zchn"/>
    <w:basedOn w:val="DefaultParagraphFont"/>
    <w:link w:val="EndNoteBibliographyTitle"/>
    <w:rsid w:val="005E1386"/>
    <w:rPr>
      <w:rFonts w:ascii="Arial" w:hAnsi="Arial" w:cs="Arial"/>
      <w:color w:val="595959" w:themeColor="text1" w:themeTint="A6"/>
      <w:sz w:val="20"/>
      <w:szCs w:val="20"/>
      <w:lang w:val="en-US"/>
      <w14:ligatures w14:val="none"/>
    </w:rPr>
  </w:style>
  <w:style w:type="paragraph" w:customStyle="1" w:styleId="EndNoteBibliography">
    <w:name w:val="EndNote Bibliography"/>
    <w:basedOn w:val="Normal"/>
    <w:link w:val="EndNoteBibliographyZchn"/>
    <w:rsid w:val="005E1386"/>
    <w:pPr>
      <w:spacing w:line="240" w:lineRule="auto"/>
    </w:pPr>
    <w:rPr>
      <w:rFonts w:ascii="Arial" w:hAnsi="Arial" w:cs="Arial"/>
      <w:lang w:val="en-US"/>
    </w:rPr>
  </w:style>
  <w:style w:type="character" w:customStyle="1" w:styleId="EndNoteBibliographyZchn">
    <w:name w:val="EndNote Bibliography Zchn"/>
    <w:basedOn w:val="DefaultParagraphFont"/>
    <w:link w:val="EndNoteBibliography"/>
    <w:rsid w:val="005E1386"/>
    <w:rPr>
      <w:rFonts w:ascii="Arial" w:hAnsi="Arial" w:cs="Arial"/>
      <w:color w:val="595959" w:themeColor="text1" w:themeTint="A6"/>
      <w:sz w:val="20"/>
      <w:szCs w:val="20"/>
      <w:lang w:val="en-US"/>
      <w14:ligatures w14:val="none"/>
    </w:rPr>
  </w:style>
  <w:style w:type="paragraph" w:styleId="Caption">
    <w:name w:val="caption"/>
    <w:basedOn w:val="Normal"/>
    <w:next w:val="Normal"/>
    <w:uiPriority w:val="35"/>
    <w:unhideWhenUsed/>
    <w:qFormat/>
    <w:rsid w:val="005E1386"/>
    <w:pPr>
      <w:spacing w:before="0" w:after="200" w:line="240" w:lineRule="auto"/>
    </w:pPr>
    <w:rPr>
      <w:i/>
      <w:iCs/>
      <w:color w:val="0E2841" w:themeColor="text2"/>
      <w:sz w:val="18"/>
      <w:szCs w:val="18"/>
    </w:rPr>
  </w:style>
  <w:style w:type="paragraph" w:styleId="Revision">
    <w:name w:val="Revision"/>
    <w:hidden/>
    <w:uiPriority w:val="99"/>
    <w:semiHidden/>
    <w:rsid w:val="005E1386"/>
    <w:pPr>
      <w:spacing w:after="0" w:line="240" w:lineRule="auto"/>
    </w:pPr>
    <w:rPr>
      <w:color w:val="595959" w:themeColor="text1" w:themeTint="A6"/>
      <w:sz w:val="20"/>
      <w:szCs w:val="20"/>
      <w:lang w:val="de-DE"/>
      <w14:ligatures w14:val="none"/>
    </w:rPr>
  </w:style>
  <w:style w:type="character" w:styleId="FollowedHyperlink">
    <w:name w:val="FollowedHyperlink"/>
    <w:basedOn w:val="DefaultParagraphFont"/>
    <w:uiPriority w:val="99"/>
    <w:semiHidden/>
    <w:unhideWhenUsed/>
    <w:rsid w:val="005E1386"/>
    <w:rPr>
      <w:color w:val="96607D" w:themeColor="followedHyperlink"/>
      <w:u w:val="single"/>
    </w:rPr>
  </w:style>
  <w:style w:type="character" w:customStyle="1" w:styleId="NichtaufgelsteErwhnung1">
    <w:name w:val="Nicht aufgelöste Erwähnung1"/>
    <w:basedOn w:val="DefaultParagraphFont"/>
    <w:uiPriority w:val="99"/>
    <w:semiHidden/>
    <w:unhideWhenUsed/>
    <w:rsid w:val="005E1386"/>
    <w:rPr>
      <w:color w:val="605E5C"/>
      <w:shd w:val="clear" w:color="auto" w:fill="E1DFDD"/>
    </w:rPr>
  </w:style>
  <w:style w:type="character" w:customStyle="1" w:styleId="NichtaufgelsteErwhnung2">
    <w:name w:val="Nicht aufgelöste Erwähnung2"/>
    <w:basedOn w:val="DefaultParagraphFont"/>
    <w:uiPriority w:val="99"/>
    <w:semiHidden/>
    <w:unhideWhenUsed/>
    <w:rsid w:val="005E1386"/>
    <w:rPr>
      <w:color w:val="605E5C"/>
      <w:shd w:val="clear" w:color="auto" w:fill="E1DFDD"/>
    </w:rPr>
  </w:style>
  <w:style w:type="character" w:styleId="UnresolvedMention">
    <w:name w:val="Unresolved Mention"/>
    <w:basedOn w:val="DefaultParagraphFont"/>
    <w:uiPriority w:val="99"/>
    <w:semiHidden/>
    <w:unhideWhenUsed/>
    <w:rsid w:val="005E1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8073</Words>
  <Characters>46020</Characters>
  <Application>Microsoft Office Word</Application>
  <DocSecurity>0</DocSecurity>
  <Lines>383</Lines>
  <Paragraphs>107</Paragraphs>
  <ScaleCrop>false</ScaleCrop>
  <Company>Universitaet Augsburg RZ</Company>
  <LinksUpToDate>false</LinksUpToDate>
  <CharactersWithSpaces>53986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Katharina-Jaqueline Pascale Wabnitz</dc:creator>
  <cp:keywords/>
  <dc:description/>
  <cp:lastModifiedBy>Katharina-Jaqueline Pascale Wabnitz</cp:lastModifiedBy>
  <cp:revision>1</cp:revision>
  <dcterms:created xsi:type="dcterms:W3CDTF">2026-02-08T19:39:00Z</dcterms:created>
  <dcterms:modified xsi:type="dcterms:W3CDTF">2026-02-08T19:40:00Z</dcterms:modified>
</cp:coreProperties>
</file>