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</w:rPr>
      </w:pPr>
      <w:r>
        <w:rPr>
          <w:rFonts w:hint="default"/>
        </w:rPr>
        <w:t>(A)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5257800" cy="3505200"/>
            <wp:effectExtent l="0" t="0" r="0" b="0"/>
            <wp:docPr id="1" name="图片 1" descr="经济毒性均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经济毒性均值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(B)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5257800" cy="3505200"/>
            <wp:effectExtent l="0" t="0" r="0" b="0"/>
            <wp:docPr id="2" name="图片 2" descr="经济毒性均值美国亚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经济毒性均值美国亚组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</w:rPr>
        <w:t>(C)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5257800" cy="3505200"/>
            <wp:effectExtent l="0" t="0" r="0" b="0"/>
            <wp:docPr id="3" name="图片 3" descr="经济毒性均值中国亚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经济毒性均值中国亚组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both"/>
        <w:rPr>
          <w:rFonts w:hint="default" w:ascii="Times New Roman Regular" w:hAnsi="Times New Roman Regular" w:cs="Times New Roman Regular"/>
        </w:rPr>
      </w:pPr>
      <w:bookmarkStart w:id="0" w:name="_GoBack"/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eastAsia="zh-CN" w:bidi="ar"/>
        </w:rPr>
        <w:t>Appendix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"/>
        </w:rPr>
        <w:t xml:space="preserve"> 3. Mean scores of financial toxicity (FT) assessed by the Comprehensive Score for Financial Toxicity–Patient-Reported Outcome Measure (COST-PROM) among colorectal cancer patients. (A) All included studies; (B) studies conducted in the United States; (C) studies conducted in China.</w:t>
      </w:r>
    </w:p>
    <w:bookmarkEnd w:id="0"/>
    <w:p>
      <w:pPr>
        <w:rPr>
          <w:rFonts w:hint="default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CC12E"/>
    <w:rsid w:val="3FAF1A8D"/>
    <w:rsid w:val="FFECC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2025-07-11T09:46:00Z</dcterms:created>
  <dc:creator>sxy</dc:creator>
  <cp:lastModifiedBy>sxy</cp:lastModifiedBy>
  <dcterms:modified xsi:type="dcterms:W3CDTF">2025-09-20T01:30:05Z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A61326CE15303E948CFC6F689D8A31DC_41</vt:lpwstr>
  </property>
</Properties>
</file>