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Additional file 1.</w:t>
      </w:r>
      <w:r w:rsidDel="00000000" w:rsidR="00000000" w:rsidRPr="00000000">
        <w:rPr>
          <w:rFonts w:ascii="Times" w:cs="Times" w:eastAsia="Times" w:hAnsi="Times"/>
          <w:rtl w:val="0"/>
        </w:rPr>
        <w:t xml:space="preserve"> Guidance for Reporting Involvement of Patients and the Public (GRIPP) 2 Short Form Reporting checklist</w:t>
      </w:r>
    </w:p>
    <w:p w:rsidR="00000000" w:rsidDel="00000000" w:rsidP="00000000" w:rsidRDefault="00000000" w:rsidRPr="00000000" w14:paraId="00000002">
      <w:pPr>
        <w:widowControl w:val="0"/>
        <w:spacing w:after="0" w:line="276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71"/>
        <w:gridCol w:w="3494"/>
        <w:gridCol w:w="3685"/>
        <w:tblGridChange w:id="0">
          <w:tblGrid>
            <w:gridCol w:w="2171"/>
            <w:gridCol w:w="3494"/>
            <w:gridCol w:w="36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Section and Topic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Item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Reported on page number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Aim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Report the aim of the PPI in the study.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Aim described in Abstract (page 4) and Background section (Page 9: “</w:t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rtl w:val="0"/>
              </w:rPr>
              <w:t xml:space="preserve">Improving knowledge translation through knowledge user engagement</w:t>
            </w: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” and page 10: “</w:t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rtl w:val="0"/>
              </w:rPr>
              <w:t xml:space="preserve">Study aims and objectives</w:t>
            </w: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”)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Methods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Provide a clear description of the methods used for PPI in the study.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Methods section see pages 11-12: “</w:t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rtl w:val="0"/>
              </w:rPr>
              <w:t xml:space="preserve">Design</w:t>
            </w: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” and pages 12-13: “</w:t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rtl w:val="0"/>
              </w:rPr>
              <w:t xml:space="preserve">Sampling and participants</w:t>
            </w: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”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Study results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Outcomes – report the results of PPI in the study, including both positive and negative outcomes.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Results section see page 17: “</w:t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rtl w:val="0"/>
              </w:rPr>
              <w:t xml:space="preserve">Participant characteristics</w:t>
            </w: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” and page 17-26: “</w:t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rtl w:val="0"/>
              </w:rPr>
              <w:t xml:space="preserve">Participant-derived themes: Descriptive insights on a STROBE-Equity extension</w:t>
            </w: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”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Discussion and conclusion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Outcomes – comment on the extent to which PPI influenced the study overall. Describe positive and negative effects.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Discussion section see pages 27-31 and see pages 31-33: “</w:t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rtl w:val="0"/>
              </w:rPr>
              <w:t xml:space="preserve">Strengths and limitations</w:t>
            </w: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”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Reflections/critical perspective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Comment critically on the study, reflecting on the things that went well, and those that did not so others can learn from this experience.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Discussion section see pages 31-33:“</w:t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rtl w:val="0"/>
              </w:rPr>
              <w:t xml:space="preserve">Strengths and limitations</w:t>
            </w: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” and “</w:t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rtl w:val="0"/>
              </w:rPr>
              <w:t xml:space="preserve">Future research</w:t>
            </w: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” (pages 33-34)</w:t>
            </w:r>
          </w:p>
        </w:tc>
      </w:tr>
    </w:tbl>
    <w:p w:rsidR="00000000" w:rsidDel="00000000" w:rsidP="00000000" w:rsidRDefault="00000000" w:rsidRPr="00000000" w14:paraId="00000015">
      <w:pPr>
        <w:spacing w:after="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PPI (Patient and public involvement)</w:t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CA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51C4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51C4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51C4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451C4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451C4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51C4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51C4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51C43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51C43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51C43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51C43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51C43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451C4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451C4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451C4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451C43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451C4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451C43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451C4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51C43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451C43"/>
    <w:rPr>
      <w:b w:val="1"/>
      <w:bCs w:val="1"/>
      <w:smallCaps w:val="1"/>
      <w:color w:val="0f4761" w:themeColor="accent1" w:themeShade="0000BF"/>
      <w:spacing w:val="5"/>
    </w:rPr>
  </w:style>
  <w:style w:type="table" w:styleId="TableGrid">
    <w:name w:val="Table Grid"/>
    <w:basedOn w:val="TableNormal"/>
    <w:uiPriority w:val="39"/>
    <w:rsid w:val="00451C4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4/WDqGOMo2AgFgpadnfX0cx8SQ==">CgMxLjA4AHIhMWVMUWVRaVpabEJoS2d3aFc2Z25rckl6TVBuQlI2NDIx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2026-03-11T14:35:00Z</dcterms:created>
  <dc:creator>Dana Simpson</dc:creator>
</cp:coreProperties>
</file>