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528E87">
      <w:pPr>
        <w:jc w:val="center"/>
        <w:rPr>
          <w:rFonts w:cs="Times New Roman"/>
          <w:color w:val="000000" w:themeColor="text1"/>
          <w14:textFill>
            <w14:solidFill>
              <w14:schemeClr w14:val="tx1"/>
            </w14:solidFill>
          </w14:textFill>
        </w:rPr>
      </w:pPr>
      <w:r>
        <w:rPr>
          <w:rFonts w:cs="Times New Roman"/>
          <w:b/>
          <w:color w:val="000000" w:themeColor="text1"/>
          <w:sz w:val="32"/>
          <w14:textFill>
            <w14:solidFill>
              <w14:schemeClr w14:val="tx1"/>
            </w14:solidFill>
          </w14:textFill>
        </w:rPr>
        <w:t>Supplementary Methods</w:t>
      </w:r>
      <w:r>
        <w:rPr>
          <w:rFonts w:hint="eastAsia" w:eastAsia="宋体" w:cs="Times New Roman"/>
          <w:b/>
          <w:color w:val="000000" w:themeColor="text1"/>
          <w:sz w:val="32"/>
          <w:lang w:eastAsia="zh-CN"/>
          <w14:textFill>
            <w14:solidFill>
              <w14:schemeClr w14:val="tx1"/>
            </w14:solidFill>
          </w14:textFill>
        </w:rPr>
        <w:t xml:space="preserve">: </w:t>
      </w:r>
      <w:r>
        <w:rPr>
          <w:rFonts w:cs="Times New Roman"/>
          <w:b/>
          <w:color w:val="000000" w:themeColor="text1"/>
          <w:sz w:val="28"/>
          <w14:textFill>
            <w14:solidFill>
              <w14:schemeClr w14:val="tx1"/>
            </w14:solidFill>
          </w14:textFill>
        </w:rPr>
        <w:t>Statistical details of the MAIHDA models</w:t>
      </w:r>
    </w:p>
    <w:p w14:paraId="62327A2D">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S1. Variables and construction of intersectional strata</w:t>
      </w:r>
    </w:p>
    <w:p w14:paraId="458605D6">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The analytic dataset contained the following variables:</w:t>
      </w:r>
    </w:p>
    <w:p w14:paraId="419AB563">
      <w:pPr>
        <w:pStyle w:val="16"/>
        <w:spacing w:after="40" w:line="480" w:lineRule="auto"/>
        <w:rPr>
          <w:rFonts w:cs="Times New Roman"/>
          <w:color w:val="000000" w:themeColor="text1"/>
          <w14:textFill>
            <w14:solidFill>
              <w14:schemeClr w14:val="tx1"/>
            </w14:solidFill>
          </w14:textFill>
        </w:rPr>
      </w:pPr>
      <w:r>
        <w:rPr>
          <w:rFonts w:cs="Times New Roman"/>
          <w:i/>
          <w:iCs/>
          <w:color w:val="000000" w:themeColor="text1"/>
          <w14:textFill>
            <w14:solidFill>
              <w14:schemeClr w14:val="tx1"/>
            </w14:solidFill>
          </w14:textFill>
        </w:rPr>
        <w:t>i</w:t>
      </w:r>
      <w:r>
        <w:rPr>
          <w:rFonts w:cs="Times New Roman"/>
          <w:color w:val="000000" w:themeColor="text1"/>
          <w14:textFill>
            <w14:solidFill>
              <w14:schemeClr w14:val="tx1"/>
            </w14:solidFill>
          </w14:textFill>
        </w:rPr>
        <w:t>: individual identifier;</w:t>
      </w:r>
    </w:p>
    <w:p w14:paraId="672D7E37">
      <w:pPr>
        <w:pStyle w:val="16"/>
        <w:spacing w:after="40" w:line="480" w:lineRule="auto"/>
        <w:rPr>
          <w:rFonts w:cs="Times New Roman"/>
          <w:color w:val="000000" w:themeColor="text1"/>
          <w14:textFill>
            <w14:solidFill>
              <w14:schemeClr w14:val="tx1"/>
            </w14:solidFill>
          </w14:textFill>
        </w:rPr>
      </w:pPr>
      <w:r>
        <w:rPr>
          <w:rFonts w:cs="Times New Roman"/>
          <w:i/>
          <w:iCs/>
          <w:color w:val="000000" w:themeColor="text1"/>
          <w14:textFill>
            <w14:solidFill>
              <w14:schemeClr w14:val="tx1"/>
            </w14:solidFill>
          </w14:textFill>
        </w:rPr>
        <w:t>j</w:t>
      </w:r>
      <w:r>
        <w:rPr>
          <w:rFonts w:cs="Times New Roman"/>
          <w:color w:val="000000" w:themeColor="text1"/>
          <w14:textFill>
            <w14:solidFill>
              <w14:schemeClr w14:val="tx1"/>
            </w14:solidFill>
          </w14:textFill>
        </w:rPr>
        <w:t>: intersectional stratum identifier;</w:t>
      </w:r>
    </w:p>
    <w:p w14:paraId="574FE95B">
      <w:pPr>
        <w:pStyle w:val="16"/>
        <w:spacing w:after="40" w:line="480" w:lineRule="auto"/>
        <w:rPr>
          <w:rFonts w:cs="Times New Roman"/>
          <w:color w:val="000000" w:themeColor="text1"/>
          <w14:textFill>
            <w14:solidFill>
              <w14:schemeClr w14:val="tx1"/>
            </w14:solidFill>
          </w14:textFill>
        </w:rPr>
      </w:pP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M</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binary multimorbidity outcome for individual i in stratum j, coded 1 if the participant had two or more chronic conditions and 0 otherwise;</w:t>
      </w:r>
    </w:p>
    <w:p w14:paraId="2FB83F0C">
      <w:pPr>
        <w:pStyle w:val="16"/>
        <w:spacing w:after="40" w:line="480" w:lineRule="auto"/>
        <w:rPr>
          <w:rFonts w:cs="Times New Roman"/>
          <w:color w:val="000000" w:themeColor="text1"/>
          <w14:textFill>
            <w14:solidFill>
              <w14:schemeClr w14:val="tx1"/>
            </w14:solidFill>
          </w14:textFill>
        </w:rPr>
      </w:pP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C</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continuous Chinese Multimorbidity Weighted Index (CMWI) score for individual i in stratum j;</w:t>
      </w:r>
    </w:p>
    <w:p w14:paraId="4A5773EB">
      <w:pPr>
        <w:pStyle w:val="16"/>
        <w:spacing w:after="40" w:line="480" w:lineRule="auto"/>
        <w:rPr>
          <w:rFonts w:cs="Times New Roman"/>
          <w:color w:val="000000" w:themeColor="text1"/>
          <w14:textFill>
            <w14:solidFill>
              <w14:schemeClr w14:val="tx1"/>
            </w14:solidFill>
          </w14:textFill>
        </w:rPr>
      </w:pP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age group, coded as &lt;60 years or</w:t>
      </w:r>
      <w:r>
        <w:rPr>
          <w:rFonts w:eastAsia="宋体" w:cs="Times New Roman"/>
          <w:color w:val="000000" w:themeColor="text1"/>
          <w:lang w:eastAsia="zh-CN"/>
          <w14:textFill>
            <w14:solidFill>
              <w14:schemeClr w14:val="tx1"/>
            </w14:solidFill>
          </w14:textFill>
        </w:rPr>
        <w:t xml:space="preserve"> </w:t>
      </w:r>
      <w:r>
        <w:rPr>
          <w:rFonts w:eastAsia="宋体" w:cs="Times New Roman"/>
          <w:color w:val="000000" w:themeColor="text1"/>
          <w:sz w:val="19"/>
          <w:lang w:eastAsia="zh-CN"/>
          <w14:textFill>
            <w14:solidFill>
              <w14:schemeClr w14:val="tx1"/>
            </w14:solidFill>
          </w14:textFill>
        </w:rPr>
        <w:t>≥</w:t>
      </w:r>
      <w:r>
        <w:rPr>
          <w:rFonts w:cs="Times New Roman"/>
          <w:color w:val="000000" w:themeColor="text1"/>
          <w14:textFill>
            <w14:solidFill>
              <w14:schemeClr w14:val="tx1"/>
            </w14:solidFill>
          </w14:textFill>
        </w:rPr>
        <w:t>60 years;</w:t>
      </w:r>
    </w:p>
    <w:p w14:paraId="1806DFEE">
      <w:pPr>
        <w:pStyle w:val="16"/>
        <w:spacing w:after="40" w:line="480" w:lineRule="auto"/>
        <w:rPr>
          <w:rFonts w:cs="Times New Roman"/>
          <w:color w:val="000000" w:themeColor="text1"/>
          <w14:textFill>
            <w14:solidFill>
              <w14:schemeClr w14:val="tx1"/>
            </w14:solidFill>
          </w14:textFill>
        </w:rPr>
      </w:pP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S</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sex, coded as male or female;</w:t>
      </w:r>
    </w:p>
    <w:p w14:paraId="5AC973F8">
      <w:pPr>
        <w:pStyle w:val="16"/>
        <w:spacing w:after="40" w:line="480" w:lineRule="auto"/>
        <w:rPr>
          <w:rFonts w:cs="Times New Roman"/>
          <w:color w:val="000000" w:themeColor="text1"/>
          <w14:textFill>
            <w14:solidFill>
              <w14:schemeClr w14:val="tx1"/>
            </w14:solidFill>
          </w14:textFill>
        </w:rPr>
      </w:pP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R</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region, coded as South or North;</w:t>
      </w:r>
    </w:p>
    <w:p w14:paraId="7D72C802">
      <w:pPr>
        <w:pStyle w:val="16"/>
        <w:spacing w:after="40" w:line="480" w:lineRule="auto"/>
        <w:rPr>
          <w:rFonts w:cs="Times New Roman"/>
          <w:color w:val="000000" w:themeColor="text1"/>
          <w14:textFill>
            <w14:solidFill>
              <w14:schemeClr w14:val="tx1"/>
            </w14:solidFill>
          </w14:textFill>
        </w:rPr>
      </w:pP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residence, coded as urban or rural;</w:t>
      </w:r>
    </w:p>
    <w:p w14:paraId="376FE98A">
      <w:pPr>
        <w:pStyle w:val="16"/>
        <w:spacing w:after="40" w:line="480" w:lineRule="auto"/>
        <w:rPr>
          <w:rFonts w:cs="Times New Roman"/>
          <w:color w:val="000000" w:themeColor="text1"/>
          <w14:textFill>
            <w14:solidFill>
              <w14:schemeClr w14:val="tx1"/>
            </w14:solidFill>
          </w14:textFill>
        </w:rPr>
      </w:pP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educational attainment, coded as below high school or high school or above;</w:t>
      </w:r>
    </w:p>
    <w:p w14:paraId="5B5F33DD">
      <w:pPr>
        <w:pStyle w:val="16"/>
        <w:spacing w:after="40" w:line="480" w:lineRule="auto"/>
        <w:rPr>
          <w:rFonts w:cs="Times New Roman"/>
          <w:color w:val="000000" w:themeColor="text1"/>
          <w14:textFill>
            <w14:solidFill>
              <w14:schemeClr w14:val="tx1"/>
            </w14:solidFill>
          </w14:textFill>
        </w:rPr>
      </w:pP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O</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occupational status, coded as employed, farmer, unemployed, or retired.</w:t>
      </w:r>
    </w:p>
    <w:p w14:paraId="6E55923A">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Intersectional strata were constructed by cross-classifying the six social-position dimensions: age, sex, region, residence, educational attainment, and occupational status. The theoretical number of possible strata was 2 </w:t>
      </w:r>
      <w:r>
        <w:rPr>
          <w:rFonts w:eastAsia="宋体"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 xml:space="preserve"> 2 </w:t>
      </w:r>
      <w:r>
        <w:rPr>
          <w:rFonts w:eastAsia="宋体"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 xml:space="preserve"> 2 </w:t>
      </w:r>
      <w:r>
        <w:rPr>
          <w:rFonts w:eastAsia="宋体"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 xml:space="preserve"> 2 </w:t>
      </w:r>
      <w:r>
        <w:rPr>
          <w:rFonts w:eastAsia="宋体"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 xml:space="preserve"> 2 </w:t>
      </w:r>
      <w:r>
        <w:rPr>
          <w:rFonts w:eastAsia="宋体"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 xml:space="preserve"> 4 = 128. One stratum, defined by &lt;60 years, male, North, rural residence, high school or above, and retired, had no participants. Therefore, 127 observed strata were included in the primary MAIHDA models.</w:t>
      </w:r>
    </w:p>
    <w:p w14:paraId="63D7BF51">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Each stratum represented a unique intersectional social position rather than a data-driven cluster. Individuals were treated as level-1 units, and intersectional strata were treated as level-2 units. This specification follows the standard MAIHDA framework, in which strata defined by combinations of social categories are modeled as higher-level units to estimate between-stratum heterogeneity and individual heterogeneity within strata [S1,</w:t>
      </w:r>
      <w:r>
        <w:rPr>
          <w:rFonts w:hint="eastAsia" w:eastAsia="宋体" w:cs="Times New Roman"/>
          <w:color w:val="000000" w:themeColor="text1"/>
          <w:lang w:eastAsia="zh-CN"/>
          <w14:textFill>
            <w14:solidFill>
              <w14:schemeClr w14:val="tx1"/>
            </w14:solidFill>
          </w14:textFill>
        </w:rPr>
        <w:t xml:space="preserve"> </w:t>
      </w:r>
      <w:r>
        <w:rPr>
          <w:rFonts w:cs="Times New Roman"/>
          <w:color w:val="000000" w:themeColor="text1"/>
          <w14:textFill>
            <w14:solidFill>
              <w14:schemeClr w14:val="tx1"/>
            </w14:solidFill>
          </w14:textFill>
        </w:rPr>
        <w:t>S2].</w:t>
      </w:r>
    </w:p>
    <w:p w14:paraId="66D37731">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Because the study included both a binary outcome and a continuous outcome, two parallel model sequences were fitted: Models B1-B3 for multimorbidity and Models C1-C3 for CMWI.</w:t>
      </w:r>
    </w:p>
    <w:p w14:paraId="59907ACD">
      <w:pPr>
        <w:rPr>
          <w:rFonts w:cs="Times New Roman"/>
          <w:color w:val="000000" w:themeColor="text1"/>
          <w14:textFill>
            <w14:solidFill>
              <w14:schemeClr w14:val="tx1"/>
            </w14:solidFill>
          </w14:textFill>
        </w:rPr>
      </w:pPr>
      <w:r>
        <w:rPr>
          <w:rFonts w:cs="Times New Roman"/>
          <w:b/>
          <w:color w:val="000000" w:themeColor="text1"/>
          <w14:textFill>
            <w14:solidFill>
              <w14:schemeClr w14:val="tx1"/>
            </w14:solidFill>
          </w14:textFill>
        </w:rPr>
        <w:t>Table S1. Summary of variables used to construct intersectional strata</w:t>
      </w:r>
    </w:p>
    <w:tbl>
      <w:tblPr>
        <w:tblStyle w:val="33"/>
        <w:tblW w:w="10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4"/>
        <w:gridCol w:w="3475"/>
        <w:gridCol w:w="3492"/>
      </w:tblGrid>
      <w:tr w14:paraId="0631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4" w:type="dxa"/>
            <w:tcBorders>
              <w:top w:val="single" w:color="auto" w:sz="4" w:space="0"/>
              <w:left w:val="nil"/>
              <w:bottom w:val="single" w:color="auto" w:sz="4" w:space="0"/>
              <w:right w:val="nil"/>
            </w:tcBorders>
            <w:shd w:val="clear" w:color="auto" w:fill="auto"/>
          </w:tcPr>
          <w:p w14:paraId="16C3E8CF">
            <w:pPr>
              <w:rPr>
                <w:rFonts w:cs="Times New Roman"/>
                <w:color w:val="000000" w:themeColor="text1"/>
                <w14:textFill>
                  <w14:solidFill>
                    <w14:schemeClr w14:val="tx1"/>
                  </w14:solidFill>
                </w14:textFill>
              </w:rPr>
            </w:pPr>
            <w:r>
              <w:rPr>
                <w:rFonts w:cs="Times New Roman"/>
                <w:b/>
                <w:color w:val="000000" w:themeColor="text1"/>
                <w:sz w:val="19"/>
                <w14:textFill>
                  <w14:solidFill>
                    <w14:schemeClr w14:val="tx1"/>
                  </w14:solidFill>
                </w14:textFill>
              </w:rPr>
              <w:t>Dimension</w:t>
            </w:r>
          </w:p>
        </w:tc>
        <w:tc>
          <w:tcPr>
            <w:tcW w:w="3475" w:type="dxa"/>
            <w:tcBorders>
              <w:top w:val="single" w:color="auto" w:sz="4" w:space="0"/>
              <w:left w:val="nil"/>
              <w:bottom w:val="single" w:color="auto" w:sz="4" w:space="0"/>
              <w:right w:val="nil"/>
            </w:tcBorders>
            <w:shd w:val="clear" w:color="auto" w:fill="auto"/>
          </w:tcPr>
          <w:p w14:paraId="74C71AF9">
            <w:pPr>
              <w:rPr>
                <w:rFonts w:cs="Times New Roman"/>
                <w:color w:val="000000" w:themeColor="text1"/>
                <w14:textFill>
                  <w14:solidFill>
                    <w14:schemeClr w14:val="tx1"/>
                  </w14:solidFill>
                </w14:textFill>
              </w:rPr>
            </w:pPr>
            <w:r>
              <w:rPr>
                <w:rFonts w:cs="Times New Roman"/>
                <w:b/>
                <w:color w:val="000000" w:themeColor="text1"/>
                <w:sz w:val="19"/>
                <w14:textFill>
                  <w14:solidFill>
                    <w14:schemeClr w14:val="tx1"/>
                  </w14:solidFill>
                </w14:textFill>
              </w:rPr>
              <w:t>Categories</w:t>
            </w:r>
          </w:p>
        </w:tc>
        <w:tc>
          <w:tcPr>
            <w:tcW w:w="3492" w:type="dxa"/>
            <w:tcBorders>
              <w:top w:val="single" w:color="auto" w:sz="4" w:space="0"/>
              <w:left w:val="nil"/>
              <w:bottom w:val="single" w:color="auto" w:sz="4" w:space="0"/>
              <w:right w:val="nil"/>
            </w:tcBorders>
            <w:shd w:val="clear" w:color="auto" w:fill="auto"/>
          </w:tcPr>
          <w:p w14:paraId="1562B121">
            <w:pPr>
              <w:rPr>
                <w:rFonts w:cs="Times New Roman"/>
                <w:color w:val="000000" w:themeColor="text1"/>
                <w14:textFill>
                  <w14:solidFill>
                    <w14:schemeClr w14:val="tx1"/>
                  </w14:solidFill>
                </w14:textFill>
              </w:rPr>
            </w:pPr>
            <w:r>
              <w:rPr>
                <w:rFonts w:cs="Times New Roman"/>
                <w:b/>
                <w:color w:val="000000" w:themeColor="text1"/>
                <w:sz w:val="19"/>
                <w14:textFill>
                  <w14:solidFill>
                    <w14:schemeClr w14:val="tx1"/>
                  </w14:solidFill>
                </w14:textFill>
              </w:rPr>
              <w:t>Role in MAIHDA</w:t>
            </w:r>
          </w:p>
        </w:tc>
      </w:tr>
      <w:tr w14:paraId="41C3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4" w:type="dxa"/>
            <w:tcBorders>
              <w:top w:val="single" w:color="auto" w:sz="4" w:space="0"/>
              <w:left w:val="nil"/>
              <w:bottom w:val="nil"/>
              <w:right w:val="nil"/>
            </w:tcBorders>
            <w:shd w:val="clear" w:color="auto" w:fill="auto"/>
          </w:tcPr>
          <w:p w14:paraId="46D33E05">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Age</w:t>
            </w:r>
          </w:p>
        </w:tc>
        <w:tc>
          <w:tcPr>
            <w:tcW w:w="3475" w:type="dxa"/>
            <w:tcBorders>
              <w:top w:val="single" w:color="auto" w:sz="4" w:space="0"/>
              <w:left w:val="nil"/>
              <w:bottom w:val="nil"/>
              <w:right w:val="nil"/>
            </w:tcBorders>
            <w:shd w:val="clear" w:color="auto" w:fill="auto"/>
          </w:tcPr>
          <w:p w14:paraId="30FF2B58">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&lt;60 years;</w:t>
            </w:r>
            <w:r>
              <w:rPr>
                <w:rFonts w:hint="eastAsia" w:eastAsia="宋体" w:cs="Times New Roman"/>
                <w:color w:val="000000" w:themeColor="text1"/>
                <w:sz w:val="19"/>
                <w:lang w:eastAsia="zh-CN"/>
                <w14:textFill>
                  <w14:solidFill>
                    <w14:schemeClr w14:val="tx1"/>
                  </w14:solidFill>
                </w14:textFill>
              </w:rPr>
              <w:t xml:space="preserve"> </w:t>
            </w:r>
            <w:r>
              <w:rPr>
                <w:rFonts w:eastAsia="宋体" w:cs="Times New Roman"/>
                <w:color w:val="000000" w:themeColor="text1"/>
                <w:sz w:val="19"/>
                <w:lang w:eastAsia="zh-CN"/>
                <w14:textFill>
                  <w14:solidFill>
                    <w14:schemeClr w14:val="tx1"/>
                  </w14:solidFill>
                </w14:textFill>
              </w:rPr>
              <w:t>≥</w:t>
            </w:r>
            <w:r>
              <w:rPr>
                <w:rFonts w:cs="Times New Roman"/>
                <w:color w:val="000000" w:themeColor="text1"/>
                <w:sz w:val="19"/>
                <w14:textFill>
                  <w14:solidFill>
                    <w14:schemeClr w14:val="tx1"/>
                  </w14:solidFill>
                </w14:textFill>
              </w:rPr>
              <w:t>60 years</w:t>
            </w:r>
          </w:p>
        </w:tc>
        <w:tc>
          <w:tcPr>
            <w:tcW w:w="3492" w:type="dxa"/>
            <w:tcBorders>
              <w:top w:val="single" w:color="auto" w:sz="4" w:space="0"/>
              <w:left w:val="nil"/>
              <w:bottom w:val="nil"/>
              <w:right w:val="nil"/>
            </w:tcBorders>
            <w:shd w:val="clear" w:color="auto" w:fill="auto"/>
          </w:tcPr>
          <w:p w14:paraId="482EAD87">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Social-position dimension defining strata</w:t>
            </w:r>
          </w:p>
        </w:tc>
      </w:tr>
      <w:tr w14:paraId="1162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4" w:type="dxa"/>
            <w:tcBorders>
              <w:top w:val="nil"/>
              <w:left w:val="nil"/>
              <w:bottom w:val="nil"/>
              <w:right w:val="nil"/>
            </w:tcBorders>
            <w:shd w:val="clear" w:color="auto" w:fill="auto"/>
          </w:tcPr>
          <w:p w14:paraId="15DCF984">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Sex</w:t>
            </w:r>
          </w:p>
        </w:tc>
        <w:tc>
          <w:tcPr>
            <w:tcW w:w="3475" w:type="dxa"/>
            <w:tcBorders>
              <w:top w:val="nil"/>
              <w:left w:val="nil"/>
              <w:bottom w:val="nil"/>
              <w:right w:val="nil"/>
            </w:tcBorders>
            <w:shd w:val="clear" w:color="auto" w:fill="auto"/>
          </w:tcPr>
          <w:p w14:paraId="595CFC6B">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Male; female</w:t>
            </w:r>
          </w:p>
        </w:tc>
        <w:tc>
          <w:tcPr>
            <w:tcW w:w="3492" w:type="dxa"/>
            <w:tcBorders>
              <w:top w:val="nil"/>
              <w:left w:val="nil"/>
              <w:bottom w:val="nil"/>
              <w:right w:val="nil"/>
            </w:tcBorders>
            <w:shd w:val="clear" w:color="auto" w:fill="auto"/>
          </w:tcPr>
          <w:p w14:paraId="5F4C68F0">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Social-position dimension defining strata</w:t>
            </w:r>
          </w:p>
        </w:tc>
      </w:tr>
      <w:tr w14:paraId="675D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4" w:type="dxa"/>
            <w:tcBorders>
              <w:top w:val="nil"/>
              <w:left w:val="nil"/>
              <w:bottom w:val="nil"/>
              <w:right w:val="nil"/>
            </w:tcBorders>
            <w:shd w:val="clear" w:color="auto" w:fill="auto"/>
          </w:tcPr>
          <w:p w14:paraId="132FFE32">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Region</w:t>
            </w:r>
          </w:p>
        </w:tc>
        <w:tc>
          <w:tcPr>
            <w:tcW w:w="3475" w:type="dxa"/>
            <w:tcBorders>
              <w:top w:val="nil"/>
              <w:left w:val="nil"/>
              <w:bottom w:val="nil"/>
              <w:right w:val="nil"/>
            </w:tcBorders>
            <w:shd w:val="clear" w:color="auto" w:fill="auto"/>
          </w:tcPr>
          <w:p w14:paraId="3337758B">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South; North</w:t>
            </w:r>
          </w:p>
        </w:tc>
        <w:tc>
          <w:tcPr>
            <w:tcW w:w="3492" w:type="dxa"/>
            <w:tcBorders>
              <w:top w:val="nil"/>
              <w:left w:val="nil"/>
              <w:bottom w:val="nil"/>
              <w:right w:val="nil"/>
            </w:tcBorders>
            <w:shd w:val="clear" w:color="auto" w:fill="auto"/>
          </w:tcPr>
          <w:p w14:paraId="71A523DE">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Social-position dimension defining strata</w:t>
            </w:r>
          </w:p>
        </w:tc>
      </w:tr>
      <w:tr w14:paraId="22AE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4" w:type="dxa"/>
            <w:tcBorders>
              <w:top w:val="nil"/>
              <w:left w:val="nil"/>
              <w:bottom w:val="nil"/>
              <w:right w:val="nil"/>
            </w:tcBorders>
            <w:shd w:val="clear" w:color="auto" w:fill="auto"/>
          </w:tcPr>
          <w:p w14:paraId="1B8DEC34">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Residence</w:t>
            </w:r>
          </w:p>
        </w:tc>
        <w:tc>
          <w:tcPr>
            <w:tcW w:w="3475" w:type="dxa"/>
            <w:tcBorders>
              <w:top w:val="nil"/>
              <w:left w:val="nil"/>
              <w:bottom w:val="nil"/>
              <w:right w:val="nil"/>
            </w:tcBorders>
            <w:shd w:val="clear" w:color="auto" w:fill="auto"/>
          </w:tcPr>
          <w:p w14:paraId="2EAB4921">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Urban; rural</w:t>
            </w:r>
          </w:p>
        </w:tc>
        <w:tc>
          <w:tcPr>
            <w:tcW w:w="3492" w:type="dxa"/>
            <w:tcBorders>
              <w:top w:val="nil"/>
              <w:left w:val="nil"/>
              <w:bottom w:val="nil"/>
              <w:right w:val="nil"/>
            </w:tcBorders>
            <w:shd w:val="clear" w:color="auto" w:fill="auto"/>
          </w:tcPr>
          <w:p w14:paraId="7C214057">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Social-position dimension defining strata</w:t>
            </w:r>
          </w:p>
        </w:tc>
      </w:tr>
      <w:tr w14:paraId="525E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4" w:type="dxa"/>
            <w:tcBorders>
              <w:top w:val="nil"/>
              <w:left w:val="nil"/>
              <w:bottom w:val="nil"/>
              <w:right w:val="nil"/>
            </w:tcBorders>
            <w:shd w:val="clear" w:color="auto" w:fill="auto"/>
          </w:tcPr>
          <w:p w14:paraId="12528789">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Educational attainment</w:t>
            </w:r>
          </w:p>
        </w:tc>
        <w:tc>
          <w:tcPr>
            <w:tcW w:w="3475" w:type="dxa"/>
            <w:tcBorders>
              <w:top w:val="nil"/>
              <w:left w:val="nil"/>
              <w:bottom w:val="nil"/>
              <w:right w:val="nil"/>
            </w:tcBorders>
            <w:shd w:val="clear" w:color="auto" w:fill="auto"/>
          </w:tcPr>
          <w:p w14:paraId="032642E1">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Below high school; high school or above</w:t>
            </w:r>
          </w:p>
        </w:tc>
        <w:tc>
          <w:tcPr>
            <w:tcW w:w="3492" w:type="dxa"/>
            <w:tcBorders>
              <w:top w:val="nil"/>
              <w:left w:val="nil"/>
              <w:bottom w:val="nil"/>
              <w:right w:val="nil"/>
            </w:tcBorders>
            <w:shd w:val="clear" w:color="auto" w:fill="auto"/>
          </w:tcPr>
          <w:p w14:paraId="6DE05660">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Social-position dimension defining strata</w:t>
            </w:r>
          </w:p>
        </w:tc>
      </w:tr>
      <w:tr w14:paraId="1B88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4" w:type="dxa"/>
            <w:tcBorders>
              <w:top w:val="nil"/>
              <w:left w:val="nil"/>
              <w:bottom w:val="single" w:color="auto" w:sz="4" w:space="0"/>
              <w:right w:val="nil"/>
            </w:tcBorders>
            <w:shd w:val="clear" w:color="auto" w:fill="auto"/>
          </w:tcPr>
          <w:p w14:paraId="1250D0CA">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Occupational status</w:t>
            </w:r>
          </w:p>
        </w:tc>
        <w:tc>
          <w:tcPr>
            <w:tcW w:w="3475" w:type="dxa"/>
            <w:tcBorders>
              <w:top w:val="nil"/>
              <w:left w:val="nil"/>
              <w:bottom w:val="single" w:color="auto" w:sz="4" w:space="0"/>
              <w:right w:val="nil"/>
            </w:tcBorders>
            <w:shd w:val="clear" w:color="auto" w:fill="auto"/>
          </w:tcPr>
          <w:p w14:paraId="41667DB2">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Employed; farmer; unemployed; retired</w:t>
            </w:r>
          </w:p>
        </w:tc>
        <w:tc>
          <w:tcPr>
            <w:tcW w:w="3492" w:type="dxa"/>
            <w:tcBorders>
              <w:top w:val="nil"/>
              <w:left w:val="nil"/>
              <w:bottom w:val="single" w:color="auto" w:sz="4" w:space="0"/>
              <w:right w:val="nil"/>
            </w:tcBorders>
            <w:shd w:val="clear" w:color="auto" w:fill="auto"/>
          </w:tcPr>
          <w:p w14:paraId="13F0E4DE">
            <w:pPr>
              <w:rPr>
                <w:rFonts w:cs="Times New Roman"/>
                <w:color w:val="000000" w:themeColor="text1"/>
                <w14:textFill>
                  <w14:solidFill>
                    <w14:schemeClr w14:val="tx1"/>
                  </w14:solidFill>
                </w14:textFill>
              </w:rPr>
            </w:pPr>
            <w:r>
              <w:rPr>
                <w:rFonts w:cs="Times New Roman"/>
                <w:color w:val="000000" w:themeColor="text1"/>
                <w:sz w:val="19"/>
                <w14:textFill>
                  <w14:solidFill>
                    <w14:schemeClr w14:val="tx1"/>
                  </w14:solidFill>
                </w14:textFill>
              </w:rPr>
              <w:t>Social-position dimension defining strata</w:t>
            </w:r>
          </w:p>
        </w:tc>
      </w:tr>
    </w:tbl>
    <w:p w14:paraId="6A0319AF">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S2. Model B1: Null intersectional model for multimorbidity</w:t>
      </w:r>
    </w:p>
    <w:p w14:paraId="13FD3454">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For the binary multimorbidity outcome, we fitted a two-level random-intercept logistic regression model. Let </w:t>
      </w: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M</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xml:space="preserve"> denote the multimorbidity status of individual </w:t>
      </w:r>
      <w:r>
        <w:rPr>
          <w:rFonts w:cs="Times New Roman"/>
          <w:i/>
          <w:iCs/>
          <w:color w:val="000000" w:themeColor="text1"/>
          <w14:textFill>
            <w14:solidFill>
              <w14:schemeClr w14:val="tx1"/>
            </w14:solidFill>
          </w14:textFill>
        </w:rPr>
        <w:t>i</w:t>
      </w:r>
      <w:r>
        <w:rPr>
          <w:rFonts w:cs="Times New Roman"/>
          <w:color w:val="000000" w:themeColor="text1"/>
          <w14:textFill>
            <w14:solidFill>
              <w14:schemeClr w14:val="tx1"/>
            </w14:solidFill>
          </w14:textFill>
        </w:rPr>
        <w:t xml:space="preserve"> in stratum</w:t>
      </w:r>
      <w:r>
        <w:rPr>
          <w:rFonts w:cs="Times New Roman"/>
          <w:i/>
          <w:iCs/>
          <w:color w:val="000000" w:themeColor="text1"/>
          <w14:textFill>
            <w14:solidFill>
              <w14:schemeClr w14:val="tx1"/>
            </w14:solidFill>
          </w14:textFill>
        </w:rPr>
        <w:t xml:space="preserve"> j</w:t>
      </w:r>
      <w:r>
        <w:rPr>
          <w:rFonts w:cs="Times New Roman"/>
          <w:color w:val="000000" w:themeColor="text1"/>
          <w14:textFill>
            <w14:solidFill>
              <w14:schemeClr w14:val="tx1"/>
            </w14:solidFill>
          </w14:textFill>
        </w:rPr>
        <w:t>. The null intersectional model was:</w:t>
      </w:r>
    </w:p>
    <w:p w14:paraId="73CD479D">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M</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r>
            <m:rPr>
              <m:sty m:val="p"/>
            </m:rPr>
            <w:rPr>
              <w:rFonts w:ascii="Cambria Math" w:hAnsi="Cambria Math"/>
              <w:color w:val="000000" w:themeColor="text1"/>
              <w14:textFill>
                <w14:solidFill>
                  <w14:schemeClr w14:val="tx1"/>
                </w14:solidFill>
              </w14:textFill>
            </w:rPr>
            <m:t>Bernoulli</m:t>
          </m:r>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oMath>
      </m:oMathPara>
    </w:p>
    <w:p w14:paraId="25414EB8">
      <w:pPr>
        <w:spacing w:line="480" w:lineRule="auto"/>
        <w:jc w:val="center"/>
        <w:rPr>
          <w:rFonts w:cs="Times New Roman"/>
          <w:color w:val="000000" w:themeColor="text1"/>
          <w14:textFill>
            <w14:solidFill>
              <w14:schemeClr w14:val="tx1"/>
            </w14:solidFill>
          </w14:textFill>
        </w:rPr>
      </w:pPr>
      <m:oMathPara>
        <m:oMath>
          <m:r>
            <m:rPr>
              <m:sty m:val="p"/>
            </m:rPr>
            <w:rPr>
              <w:rFonts w:ascii="Cambria Math" w:hAnsi="Cambria Math"/>
              <w:color w:val="000000" w:themeColor="text1"/>
              <w14:textFill>
                <w14:solidFill>
                  <w14:schemeClr w14:val="tx1"/>
                </w14:solidFill>
              </w14:textFill>
            </w:rPr>
            <m:t>logit</m:t>
          </m:r>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m:oMathPara>
    </w:p>
    <w:p w14:paraId="5575A5E9">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∼N(0,</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oMath>
      </m:oMathPara>
    </w:p>
    <w:p w14:paraId="1D6AB6E9">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where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is the probability of multimorbidity for individual </w:t>
      </w:r>
      <w:r>
        <w:rPr>
          <w:rFonts w:cs="Times New Roman"/>
          <w:i/>
          <w:iCs/>
          <w:color w:val="000000" w:themeColor="text1"/>
          <w14:textFill>
            <w14:solidFill>
              <w14:schemeClr w14:val="tx1"/>
            </w14:solidFill>
          </w14:textFill>
        </w:rPr>
        <w:t>i</w:t>
      </w:r>
      <w:r>
        <w:rPr>
          <w:rFonts w:cs="Times New Roman"/>
          <w:color w:val="000000" w:themeColor="text1"/>
          <w14:textFill>
            <w14:solidFill>
              <w14:schemeClr w14:val="tx1"/>
            </w14:solidFill>
          </w14:textFill>
        </w:rPr>
        <w:t xml:space="preserve"> in stratum </w:t>
      </w:r>
      <w:r>
        <w:rPr>
          <w:rFonts w:cs="Times New Roman"/>
          <w:i/>
          <w:iCs/>
          <w:color w:val="000000" w:themeColor="text1"/>
          <w14:textFill>
            <w14:solidFill>
              <w14:schemeClr w14:val="tx1"/>
            </w14:solidFill>
          </w14:textFill>
        </w:rPr>
        <w:t>j</w:t>
      </w:r>
      <w:r>
        <w:rPr>
          <w:rFonts w:cs="Times New Roman"/>
          <w:color w:val="000000" w:themeColor="text1"/>
          <w14:textFill>
            <w14:solidFill>
              <w14:schemeClr w14:val="tx1"/>
            </w14:solidFill>
          </w14:textFill>
        </w:rPr>
        <w:t xml:space="preserve">,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is the overall intercept, and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is the random intercept for stratum </w:t>
      </w:r>
      <w:r>
        <w:rPr>
          <w:rFonts w:cs="Times New Roman"/>
          <w:i/>
          <w:iCs/>
          <w:color w:val="000000" w:themeColor="text1"/>
          <w14:textFill>
            <w14:solidFill>
              <w14:schemeClr w14:val="tx1"/>
            </w14:solidFill>
          </w14:textFill>
        </w:rPr>
        <w:t>j</w:t>
      </w:r>
      <w:r>
        <w:rPr>
          <w:rFonts w:cs="Times New Roman"/>
          <w:color w:val="000000" w:themeColor="text1"/>
          <w14:textFill>
            <w14:solidFill>
              <w14:schemeClr w14:val="tx1"/>
            </w14:solidFill>
          </w14:textFill>
        </w:rPr>
        <w:t xml:space="preserve">. The random stratum effect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captures the total between-stratum variation in multimorbidity, including the main effects of the six social-position dimensions and all possible higher-order combinations among them.</w:t>
      </w:r>
    </w:p>
    <w:p w14:paraId="21F7C544">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The variance partition coefficient (VPC) for the logistic model was calculated using the latent-variable method:</w:t>
      </w:r>
    </w:p>
    <w:p w14:paraId="39577328">
      <w:pPr>
        <w:spacing w:line="480" w:lineRule="auto"/>
        <w:jc w:val="center"/>
        <w:rPr>
          <w:rFonts w:cs="Times New Roman"/>
          <w:color w:val="000000" w:themeColor="text1"/>
          <w14:textFill>
            <w14:solidFill>
              <w14:schemeClr w14:val="tx1"/>
            </w14:solidFill>
          </w14:textFill>
        </w:rPr>
      </w:pPr>
      <m:oMathPara>
        <m:oMath>
          <m:r>
            <m:rPr>
              <m:sty m:val="p"/>
            </m:rPr>
            <w:rPr>
              <w:rFonts w:ascii="Cambria Math" w:hAnsi="Cambria Math"/>
              <w:color w:val="000000" w:themeColor="text1"/>
              <w14:textFill>
                <w14:solidFill>
                  <w14:schemeClr w14:val="tx1"/>
                </w14:solidFill>
              </w14:textFill>
            </w:rPr>
            <m:t>VPC</m:t>
          </m:r>
          <m:r>
            <m:rPr/>
            <w:rPr>
              <w:rFonts w:ascii="Cambria Math" w:hAnsi="Cambria Math"/>
              <w:color w:val="000000" w:themeColor="text1"/>
              <w14:textFill>
                <w14:solidFill>
                  <w14:schemeClr w14:val="tx1"/>
                </w14:solidFill>
              </w14:textFill>
            </w:rPr>
            <m:t>=</m:t>
          </m:r>
          <m:f>
            <m:fPr>
              <m:ctrlPr>
                <w:rPr>
                  <w:rFonts w:ascii="Cambria Math" w:hAnsi="Cambria Math"/>
                  <w:color w:val="000000" w:themeColor="text1"/>
                  <w14:textFill>
                    <w14:solidFill>
                      <w14:schemeClr w14:val="tx1"/>
                    </w14:solidFill>
                  </w14:textFill>
                </w:rPr>
              </m:ctrlPr>
            </m:fPr>
            <m:num>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num>
            <m:den>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p>
                <m:sSupPr>
                  <m:ctrlPr>
                    <w:rPr>
                      <w:rFonts w:ascii="Cambria Math" w:hAnsi="Cambria Math"/>
                      <w:color w:val="000000" w:themeColor="text1"/>
                      <w14:textFill>
                        <w14:solidFill>
                          <w14:schemeClr w14:val="tx1"/>
                        </w14:solidFill>
                      </w14:textFill>
                    </w:rPr>
                  </m:ctrlPr>
                </m:sSup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p>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den>
          </m:f>
        </m:oMath>
      </m:oMathPara>
    </w:p>
    <w:p w14:paraId="6AE99ADF">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where </w:t>
      </w: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xml:space="preserve"> is the estimated between-stratum variance and </w:t>
      </w:r>
      <m:oMath>
        <m:sSup>
          <m:sSupPr>
            <m:ctrlPr>
              <w:rPr>
                <w:rFonts w:ascii="Cambria Math" w:hAnsi="Cambria Math"/>
                <w:color w:val="000000" w:themeColor="text1"/>
                <w14:textFill>
                  <w14:solidFill>
                    <w14:schemeClr w14:val="tx1"/>
                  </w14:solidFill>
                </w14:textFill>
              </w:rPr>
            </m:ctrlPr>
          </m:sSup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p>
        <m:r>
          <m:rPr/>
          <w:rPr>
            <w:rFonts w:ascii="Cambria Math" w:hAnsi="Cambria Math"/>
            <w:color w:val="000000" w:themeColor="text1"/>
            <w14:textFill>
              <w14:solidFill>
                <w14:schemeClr w14:val="tx1"/>
              </w14:solidFill>
            </w14:textFill>
          </w:rPr>
          <m:t>/3</m:t>
        </m:r>
      </m:oMath>
      <w:r>
        <w:rPr>
          <w:rFonts w:cs="Times New Roman"/>
          <w:color w:val="000000" w:themeColor="text1"/>
          <w14:textFill>
            <w14:solidFill>
              <w14:schemeClr w14:val="tx1"/>
            </w14:solidFill>
          </w14:textFill>
        </w:rPr>
        <w:t xml:space="preserve"> is the fixed individual-level variance under the standard logistic distribution. The VPC represents the proportion of total latent variation in multimorbidity attributable to differences between intersectional strata.</w:t>
      </w:r>
    </w:p>
    <w:p w14:paraId="1EE758F2">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Stratum-specific predicted probabilities were obtained as:</w:t>
      </w:r>
    </w:p>
    <w:p w14:paraId="2C4C002D">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p>
            <m:sSupPr>
              <m:ctrlPr>
                <w:rPr>
                  <w:rFonts w:ascii="Cambria Math" w:hAnsi="Cambria Math"/>
                  <w:color w:val="000000" w:themeColor="text1"/>
                  <w14:textFill>
                    <w14:solidFill>
                      <w14:schemeClr w14:val="tx1"/>
                    </w14:solidFill>
                  </w14:textFill>
                </w:rPr>
              </m:ctrlPr>
            </m:sSupPr>
            <m:e>
              <m:r>
                <m:rPr>
                  <m:sty m:val="p"/>
                </m:rPr>
                <w:rPr>
                  <w:rFonts w:ascii="Cambria Math" w:hAnsi="Cambria Math"/>
                  <w:color w:val="000000" w:themeColor="text1"/>
                  <w14:textFill>
                    <w14:solidFill>
                      <w14:schemeClr w14:val="tx1"/>
                    </w14:solidFill>
                  </w14:textFill>
                </w:rPr>
                <m:t>logit</m:t>
              </m:r>
              <m:ctrlPr>
                <w:rPr>
                  <w:rFonts w:ascii="Cambria Math" w:hAnsi="Cambria Math"/>
                  <w:color w:val="000000" w:themeColor="text1"/>
                  <w14:textFill>
                    <w14:solidFill>
                      <w14:schemeClr w14:val="tx1"/>
                    </w14:solidFill>
                  </w14:textFill>
                </w:rPr>
              </m:ctrlPr>
            </m:e>
            <m:sup>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p>
          </m:s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oMath>
      </m:oMathPara>
    </w:p>
    <w:p w14:paraId="7AAF8407">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Model B1, discriminatory accuracy was assessed using the area under the receiver operating characteristic curve (AUC). The AUC evaluates how well stratum membership distinguishes individuals with multimorbidity from those without multimorbidity. AUC values range from 0.5, indicating no discrimination beyond chance, to 1.0, indicating perfect discrimination [S3]. In the MAIHDA framework, AUC complements the VPC by quantifying the discriminatory accuracy of intersectional strata for identifying individuals with the outcome [S1].</w:t>
      </w:r>
    </w:p>
    <w:p w14:paraId="3A68FDE6">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S3. Model C1: Null intersectional model for CMWI</w:t>
      </w:r>
    </w:p>
    <w:p w14:paraId="68E1360C">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the continuous CMWI outcome, we fitted a two-level linear mixed-effects model:</w:t>
      </w:r>
    </w:p>
    <w:p w14:paraId="22E34DDE">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C</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oMath>
      </m:oMathPara>
    </w:p>
    <w:p w14:paraId="052EF985">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∼N(0,</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oMath>
      </m:oMathPara>
    </w:p>
    <w:p w14:paraId="76271BCF">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∼N(0,</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oMath>
      </m:oMathPara>
    </w:p>
    <w:p w14:paraId="5562D2C1">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where </w:t>
      </w: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C</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xml:space="preserve"> is the CMWI score for individual </w:t>
      </w:r>
      <w:r>
        <w:rPr>
          <w:rFonts w:cs="Times New Roman"/>
          <w:i/>
          <w:iCs/>
          <w:color w:val="000000" w:themeColor="text1"/>
          <w14:textFill>
            <w14:solidFill>
              <w14:schemeClr w14:val="tx1"/>
            </w14:solidFill>
          </w14:textFill>
        </w:rPr>
        <w:t>i</w:t>
      </w:r>
      <w:r>
        <w:rPr>
          <w:rFonts w:cs="Times New Roman"/>
          <w:color w:val="000000" w:themeColor="text1"/>
          <w14:textFill>
            <w14:solidFill>
              <w14:schemeClr w14:val="tx1"/>
            </w14:solidFill>
          </w14:textFill>
        </w:rPr>
        <w:t xml:space="preserve"> in stratum </w:t>
      </w:r>
      <w:r>
        <w:rPr>
          <w:rFonts w:cs="Times New Roman"/>
          <w:i/>
          <w:iCs/>
          <w:color w:val="000000" w:themeColor="text1"/>
          <w14:textFill>
            <w14:solidFill>
              <w14:schemeClr w14:val="tx1"/>
            </w14:solidFill>
          </w14:textFill>
        </w:rPr>
        <w:t>j</w:t>
      </w:r>
      <w:r>
        <w:rPr>
          <w:rFonts w:cs="Times New Roman"/>
          <w:color w:val="000000" w:themeColor="text1"/>
          <w14:textFill>
            <w14:solidFill>
              <w14:schemeClr w14:val="tx1"/>
            </w14:solidFill>
          </w14:textFill>
        </w:rPr>
        <w:t xml:space="preserve">,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is the overall intercept,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is the stratum-level random effect, and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is the individual-level residual error.</w:t>
      </w:r>
    </w:p>
    <w:p w14:paraId="4B3C0802">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the continuous outcome, the VPC was calculated as:</w:t>
      </w:r>
    </w:p>
    <w:p w14:paraId="590C2305">
      <w:pPr>
        <w:spacing w:line="480" w:lineRule="auto"/>
        <w:jc w:val="center"/>
        <w:rPr>
          <w:rFonts w:cs="Times New Roman"/>
          <w:color w:val="000000" w:themeColor="text1"/>
          <w14:textFill>
            <w14:solidFill>
              <w14:schemeClr w14:val="tx1"/>
            </w14:solidFill>
          </w14:textFill>
        </w:rPr>
      </w:pPr>
      <m:oMathPara>
        <m:oMath>
          <m:r>
            <m:rPr>
              <m:sty m:val="p"/>
            </m:rPr>
            <w:rPr>
              <w:rFonts w:ascii="Cambria Math" w:hAnsi="Cambria Math"/>
              <w:color w:val="000000" w:themeColor="text1"/>
              <w14:textFill>
                <w14:solidFill>
                  <w14:schemeClr w14:val="tx1"/>
                </w14:solidFill>
              </w14:textFill>
            </w:rPr>
            <m:t>VPC</m:t>
          </m:r>
          <m:r>
            <m:rPr/>
            <w:rPr>
              <w:rFonts w:ascii="Cambria Math" w:hAnsi="Cambria Math"/>
              <w:color w:val="000000" w:themeColor="text1"/>
              <w14:textFill>
                <w14:solidFill>
                  <w14:schemeClr w14:val="tx1"/>
                </w14:solidFill>
              </w14:textFill>
            </w:rPr>
            <m:t>=</m:t>
          </m:r>
          <m:f>
            <m:fPr>
              <m:ctrlPr>
                <w:rPr>
                  <w:rFonts w:ascii="Cambria Math" w:hAnsi="Cambria Math"/>
                  <w:color w:val="000000" w:themeColor="text1"/>
                  <w14:textFill>
                    <w14:solidFill>
                      <w14:schemeClr w14:val="tx1"/>
                    </w14:solidFill>
                  </w14:textFill>
                </w:rPr>
              </m:ctrlPr>
            </m:fPr>
            <m:num>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num>
            <m:den>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den>
          </m:f>
        </m:oMath>
      </m:oMathPara>
    </w:p>
    <w:p w14:paraId="41A85F0B">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where </w:t>
      </w: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xml:space="preserve"> is the between-stratum variance and </w:t>
      </w: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xml:space="preserve"> is the individual-level residual variance. The VPC represents the proportion of total variation in CMWI attributable to differences between intersectional strata.</w:t>
      </w:r>
    </w:p>
    <w:p w14:paraId="7352F5DF">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Stratum-specific predicted CMWI values were obtained as:</w:t>
      </w:r>
    </w:p>
    <w:p w14:paraId="50AF53C9">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C</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m:oMathPara>
    </w:p>
    <w:p w14:paraId="712E35E3">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S4. Models B2/C2: One-dimension-at-a-time models</w:t>
      </w:r>
    </w:p>
    <w:p w14:paraId="14D62693">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To examine how much each social-position dimension contributed to the between-stratum variance observed in the null models, we fitted a set of partially adjusted models by adding one dimension at a time as a fixed effect while retaining the stratum random intercept.</w:t>
      </w:r>
    </w:p>
    <w:p w14:paraId="76929876">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example, the age-adjusted model for multimorbidity was:</w:t>
      </w:r>
    </w:p>
    <w:p w14:paraId="70EFD682">
      <w:pPr>
        <w:spacing w:line="480" w:lineRule="auto"/>
        <w:jc w:val="center"/>
        <w:rPr>
          <w:rFonts w:cs="Times New Roman"/>
          <w:color w:val="000000" w:themeColor="text1"/>
          <w14:textFill>
            <w14:solidFill>
              <w14:schemeClr w14:val="tx1"/>
            </w14:solidFill>
          </w14:textFill>
        </w:rPr>
      </w:pPr>
      <m:oMathPara>
        <m:oMath>
          <m:r>
            <m:rPr>
              <m:sty m:val="p"/>
            </m:rPr>
            <w:rPr>
              <w:rFonts w:ascii="Cambria Math" w:hAnsi="Cambria Math"/>
              <w:color w:val="000000" w:themeColor="text1"/>
              <w14:textFill>
                <w14:solidFill>
                  <w14:schemeClr w14:val="tx1"/>
                </w14:solidFill>
              </w14:textFill>
            </w:rPr>
            <m:t>logit</m:t>
          </m:r>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m:oMathPara>
    </w:p>
    <w:p w14:paraId="3C052BF1">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and the corresponding age-adjusted model for CMWI was:</w:t>
      </w:r>
    </w:p>
    <w:p w14:paraId="2D7399FD">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C</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oMath>
      </m:oMathPara>
    </w:p>
    <w:p w14:paraId="46E745CB">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The same approach was repeated separately for sex, region, residence, educational attainment, and occupational status. Therefore, six partially adjusted models were fitted for each outcome.</w:t>
      </w:r>
    </w:p>
    <w:p w14:paraId="316D5024">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each partially adjusted model, the proportional change in variance (PCV) was calculated relative to the corresponding null model:</w:t>
      </w:r>
    </w:p>
    <w:p w14:paraId="49A85549">
      <w:pPr>
        <w:spacing w:line="480" w:lineRule="auto"/>
        <w:jc w:val="center"/>
        <w:rPr>
          <w:rFonts w:cs="Times New Roman"/>
          <w:color w:val="000000" w:themeColor="text1"/>
          <w14:textFill>
            <w14:solidFill>
              <w14:schemeClr w14:val="tx1"/>
            </w14:solidFill>
          </w14:textFill>
        </w:rPr>
      </w:pPr>
      <m:oMathPara>
        <m:oMath>
          <m:r>
            <m:rPr>
              <m:sty m:val="p"/>
            </m:rPr>
            <w:rPr>
              <w:rFonts w:ascii="Cambria Math" w:hAnsi="Cambria Math"/>
              <w:color w:val="000000" w:themeColor="text1"/>
              <w14:textFill>
                <w14:solidFill>
                  <w14:schemeClr w14:val="tx1"/>
                </w14:solidFill>
              </w14:textFill>
            </w:rPr>
            <m:t>PCV</m:t>
          </m:r>
          <m:r>
            <m:rPr/>
            <w:rPr>
              <w:rFonts w:ascii="Cambria Math" w:hAnsi="Cambria Math"/>
              <w:color w:val="000000" w:themeColor="text1"/>
              <w14:textFill>
                <w14:solidFill>
                  <w14:schemeClr w14:val="tx1"/>
                </w14:solidFill>
              </w14:textFill>
            </w:rPr>
            <m:t>=</m:t>
          </m:r>
          <m:f>
            <m:fPr>
              <m:ctrlPr>
                <w:rPr>
                  <w:rFonts w:ascii="Cambria Math" w:hAnsi="Cambria Math"/>
                  <w:color w:val="000000" w:themeColor="text1"/>
                  <w14:textFill>
                    <w14:solidFill>
                      <w14:schemeClr w14:val="tx1"/>
                    </w14:solidFill>
                  </w14:textFill>
                </w:rPr>
              </m:ctrlPr>
            </m:fPr>
            <m:num>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u(1)</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u(2)</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num>
            <m:den>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u(1)</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den>
          </m:f>
          <m:r>
            <m:rPr/>
            <w:rPr>
              <w:rFonts w:ascii="Cambria Math" w:hAnsi="Cambria Math"/>
              <w:color w:val="000000" w:themeColor="text1"/>
              <w14:textFill>
                <w14:solidFill>
                  <w14:schemeClr w14:val="tx1"/>
                </w14:solidFill>
              </w14:textFill>
            </w:rPr>
            <m:t>×100%</m:t>
          </m:r>
        </m:oMath>
      </m:oMathPara>
    </w:p>
    <w:p w14:paraId="59DCB40D">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where </w:t>
      </w: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u(1)</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xml:space="preserve"> is the between-stratum variance from Model B1/C1, and </w:t>
      </w:r>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u(2)</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oMath>
      <w:r>
        <w:rPr>
          <w:rFonts w:cs="Times New Roman"/>
          <w:color w:val="000000" w:themeColor="text1"/>
          <w14:textFill>
            <w14:solidFill>
              <w14:schemeClr w14:val="tx1"/>
            </w14:solidFill>
          </w14:textFill>
        </w:rPr>
        <w:t xml:space="preserve"> is the between-stratum variance from the partially adjusted model. A larger PCV indicates that the added dimension explains a greater share of the between-stratum heterogeneity captured by the intersectional strata. The VPCs from Models B2/C2 were interpreted as conditional VPCs, representing the remaining between-stratum variation after accounting for the corresponding social-position dimension.</w:t>
      </w:r>
    </w:p>
    <w:p w14:paraId="02F42B19">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S5. Models B3/C3: Additive main-effects MAIHDA models</w:t>
      </w:r>
    </w:p>
    <w:p w14:paraId="6C25FF6C">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Models B3/C3 included all six social-position dimensions simultaneously as fixed main effects while retaining the stratum random intercept. </w:t>
      </w:r>
    </w:p>
    <w:p w14:paraId="08C4CBED">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multimorbidity, the model was:</w:t>
      </w:r>
    </w:p>
    <w:p w14:paraId="00CFE6B1">
      <w:pPr>
        <w:spacing w:line="480" w:lineRule="auto"/>
        <w:jc w:val="center"/>
        <w:rPr>
          <w:rFonts w:cs="Times New Roman"/>
          <w:color w:val="000000" w:themeColor="text1"/>
          <w14:textFill>
            <w14:solidFill>
              <w14:schemeClr w14:val="tx1"/>
            </w14:solidFill>
          </w14:textFill>
        </w:rPr>
      </w:pPr>
      <m:oMathPara>
        <m:oMath>
          <m:r>
            <m:rPr>
              <m:sty m:val="p"/>
            </m:rPr>
            <w:rPr>
              <w:rFonts w:ascii="Cambria Math" w:hAnsi="Cambria Math"/>
              <w:color w:val="000000" w:themeColor="text1"/>
              <w14:textFill>
                <w14:solidFill>
                  <w14:schemeClr w14:val="tx1"/>
                </w14:solidFill>
              </w14:textFill>
            </w:rPr>
            <m:t>logit</m:t>
          </m:r>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S</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R</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4</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5</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6</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O</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m:oMathPara>
    </w:p>
    <w:p w14:paraId="42D1D27E">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where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O</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represents the set of dummy variables for occupational status. </w:t>
      </w:r>
    </w:p>
    <w:p w14:paraId="0684FC7A">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CMWI, the corresponding linear mixed-effects model was:</w:t>
      </w:r>
    </w:p>
    <w:p w14:paraId="36D684F3">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C</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S</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R</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4</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5</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6</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O</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m:t>
              </m:r>
              <m:ctrlPr>
                <w:rPr>
                  <w:rFonts w:ascii="Cambria Math" w:hAnsi="Cambria Math"/>
                  <w:color w:val="000000" w:themeColor="text1"/>
                  <w14:textFill>
                    <w14:solidFill>
                      <w14:schemeClr w14:val="tx1"/>
                    </w14:solidFill>
                  </w14:textFill>
                </w:rPr>
              </m:ctrlPr>
            </m:sub>
          </m:sSub>
        </m:oMath>
      </m:oMathPara>
    </w:p>
    <w:p w14:paraId="5EB733B2">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In these additive main-effects models, the fixed effects estimate the average additive associations of the six social-position dimensions with each outcome. The remaining stratum-level random effect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represents residual stratum-specific deviation from what would be expected based on the additive main effects alone. In line with the MAIHDA literature, these residual deviations were interpreted as evidence of non-additive patterning across intersectional strata, rather than as direct proof of underlying intersectional mechanisms [S1,</w:t>
      </w:r>
      <w:r>
        <w:rPr>
          <w:rFonts w:hint="eastAsia" w:eastAsia="宋体" w:cs="Times New Roman"/>
          <w:color w:val="000000" w:themeColor="text1"/>
          <w:lang w:eastAsia="zh-CN"/>
          <w14:textFill>
            <w14:solidFill>
              <w14:schemeClr w14:val="tx1"/>
            </w14:solidFill>
          </w14:textFill>
        </w:rPr>
        <w:t xml:space="preserve"> </w:t>
      </w:r>
      <w:r>
        <w:rPr>
          <w:rFonts w:cs="Times New Roman"/>
          <w:color w:val="000000" w:themeColor="text1"/>
          <w14:textFill>
            <w14:solidFill>
              <w14:schemeClr w14:val="tx1"/>
            </w14:solidFill>
          </w14:textFill>
        </w:rPr>
        <w:t>S2].</w:t>
      </w:r>
    </w:p>
    <w:p w14:paraId="35471034">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The PCV for Models B3/C3 was calculated relative to the null model using the formula described above. This PCV represents the proportion of the initial between-stratum variance explained by the additive main effects of the six social-position dimensions. The complement, 1 - PCV, represents the proportion of between-stratum variance remaining after accounting for these additive main effects.</w:t>
      </w:r>
    </w:p>
    <w:p w14:paraId="02455AE2">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S6. Decomposition of stratum-specific predictions and residual deviations</w:t>
      </w:r>
    </w:p>
    <w:p w14:paraId="39BC4839">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To aid interpretation, we derived two types of stratum-specific predictions from Models B3/C3.</w:t>
      </w:r>
    </w:p>
    <w:p w14:paraId="072B8E6D">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First, the total prediction incorporated both additive main effects and the stratum random effect. For multimorbidity, this was calculated as:</w:t>
      </w:r>
    </w:p>
    <w:p w14:paraId="2D039C4D">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up>
              <m:r>
                <m:rPr>
                  <m:sty m:val="p"/>
                </m:rPr>
                <w:rPr>
                  <w:rFonts w:ascii="Cambria Math" w:hAnsi="Cambria Math"/>
                  <w:color w:val="000000" w:themeColor="text1"/>
                  <w14:textFill>
                    <w14:solidFill>
                      <w14:schemeClr w14:val="tx1"/>
                    </w14:solidFill>
                  </w14:textFill>
                </w:rPr>
                <m:t>total</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p>
            <m:sSupPr>
              <m:ctrlPr>
                <w:rPr>
                  <w:rFonts w:ascii="Cambria Math" w:hAnsi="Cambria Math"/>
                  <w:color w:val="000000" w:themeColor="text1"/>
                  <w14:textFill>
                    <w14:solidFill>
                      <w14:schemeClr w14:val="tx1"/>
                    </w14:solidFill>
                  </w14:textFill>
                </w:rPr>
              </m:ctrlPr>
            </m:sSupPr>
            <m:e>
              <m:r>
                <m:rPr>
                  <m:sty m:val="p"/>
                </m:rPr>
                <w:rPr>
                  <w:rFonts w:ascii="Cambria Math" w:hAnsi="Cambria Math"/>
                  <w:color w:val="000000" w:themeColor="text1"/>
                  <w14:textFill>
                    <w14:solidFill>
                      <w14:schemeClr w14:val="tx1"/>
                    </w14:solidFill>
                  </w14:textFill>
                </w:rPr>
                <m:t>logit</m:t>
              </m:r>
              <m:ctrlPr>
                <w:rPr>
                  <w:rFonts w:ascii="Cambria Math" w:hAnsi="Cambria Math"/>
                  <w:color w:val="000000" w:themeColor="text1"/>
                  <w14:textFill>
                    <w14:solidFill>
                      <w14:schemeClr w14:val="tx1"/>
                    </w14:solidFill>
                  </w14:textFill>
                </w:rPr>
              </m:ctrlPr>
            </m:e>
            <m:sup>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p>
          </m:s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S</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R</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4</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5</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6</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O</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oMath>
      </m:oMathPara>
    </w:p>
    <w:p w14:paraId="7E90125B">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CMWI, the total prediction was:</w:t>
      </w:r>
    </w:p>
    <w:p w14:paraId="781D2BD6">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C,total</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S</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R</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4</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5</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6</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O</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m:oMathPara>
    </w:p>
    <w:p w14:paraId="12279779">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Second, the additive main-effects prediction excluded the stratum random effect. </w:t>
      </w:r>
    </w:p>
    <w:p w14:paraId="13EAB1A2">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multimorbidity:</w:t>
      </w:r>
    </w:p>
    <w:p w14:paraId="2DAD61EE">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additive</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p>
            <m:sSupPr>
              <m:ctrlPr>
                <w:rPr>
                  <w:rFonts w:ascii="Cambria Math" w:hAnsi="Cambria Math"/>
                  <w:color w:val="000000" w:themeColor="text1"/>
                  <w14:textFill>
                    <w14:solidFill>
                      <w14:schemeClr w14:val="tx1"/>
                    </w14:solidFill>
                  </w14:textFill>
                </w:rPr>
              </m:ctrlPr>
            </m:sSupPr>
            <m:e>
              <m:r>
                <m:rPr>
                  <m:sty m:val="p"/>
                </m:rPr>
                <w:rPr>
                  <w:rFonts w:ascii="Cambria Math" w:hAnsi="Cambria Math"/>
                  <w:color w:val="000000" w:themeColor="text1"/>
                  <w14:textFill>
                    <w14:solidFill>
                      <w14:schemeClr w14:val="tx1"/>
                    </w14:solidFill>
                  </w14:textFill>
                </w:rPr>
                <m:t>logit</m:t>
              </m:r>
              <m:ctrlPr>
                <w:rPr>
                  <w:rFonts w:ascii="Cambria Math" w:hAnsi="Cambria Math"/>
                  <w:color w:val="000000" w:themeColor="text1"/>
                  <w14:textFill>
                    <w14:solidFill>
                      <w14:schemeClr w14:val="tx1"/>
                    </w14:solidFill>
                  </w14:textFill>
                </w:rPr>
              </m:ctrlPr>
            </m:e>
            <m:sup>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p>
          </m:s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S</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R</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4</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5</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6</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O</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oMath>
      </m:oMathPara>
    </w:p>
    <w:p w14:paraId="6F92A546">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CMWI:</w:t>
      </w:r>
    </w:p>
    <w:p w14:paraId="67DB6903">
      <w:pPr>
        <w:spacing w:line="480" w:lineRule="auto"/>
        <w:jc w:val="center"/>
        <w:rPr>
          <w:rFonts w:cs="Times New Roman"/>
          <w:color w:val="000000" w:themeColor="text1"/>
          <w14:textFill>
            <w14:solidFill>
              <w14:schemeClr w14:val="tx1"/>
            </w14:solidFill>
          </w14:textFill>
        </w:rPr>
      </w:pPr>
      <m:oMathPara>
        <m:oMath>
          <m:sSubSup>
            <m:sSubSupPr>
              <m:ctrlPr>
                <w:rPr>
                  <w:rFonts w:ascii="Cambria Math" w:hAnsi="Cambria Math"/>
                  <w:color w:val="000000" w:themeColor="text1"/>
                  <w14:textFill>
                    <w14:solidFill>
                      <w14:schemeClr w14:val="tx1"/>
                    </w14:solidFill>
                  </w14:textFill>
                </w:rPr>
              </m:ctrlPr>
            </m:sSubSup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Y</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C,additive</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1</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A</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S</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R</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4</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5</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acc>
                <m:accPr>
                  <m:ctrlPr>
                    <w:rPr>
                      <w:rFonts w:ascii="Cambria Math" w:hAnsi="Cambria Math"/>
                      <w:color w:val="000000" w:themeColor="text1"/>
                      <w14:textFill>
                        <w14:solidFill>
                          <w14:schemeClr w14:val="tx1"/>
                        </w14:solidFill>
                      </w14:textFill>
                    </w:rPr>
                  </m:ctrlPr>
                </m:acc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acc>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6</m:t>
              </m:r>
              <m:ctrlPr>
                <w:rPr>
                  <w:rFonts w:ascii="Cambria Math" w:hAnsi="Cambria Math"/>
                  <w:color w:val="000000" w:themeColor="text1"/>
                  <w14:textFill>
                    <w14:solidFill>
                      <w14:schemeClr w14:val="tx1"/>
                    </w14:solidFill>
                  </w14:textFill>
                </w:rPr>
              </m:ctrlPr>
            </m:sub>
          </m:sSub>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O</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m:oMathPara>
    </w:p>
    <w:p w14:paraId="67587839">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The residual stratum-specific deviation was calculated as the difference between the total prediction and the additive main-effects prediction:</w:t>
      </w:r>
    </w:p>
    <w:p w14:paraId="4808FE45">
      <w:pPr>
        <w:spacing w:line="480" w:lineRule="auto"/>
        <w:jc w:val="center"/>
        <w:rPr>
          <w:rFonts w:cs="Times New Roman"/>
          <w:color w:val="000000" w:themeColor="text1"/>
          <w14:textFill>
            <w14:solidFill>
              <w14:schemeClr w14:val="tx1"/>
            </w14:solidFill>
          </w14:textFill>
        </w:rPr>
      </w:pPr>
      <m:oMathPara>
        <m:oMath>
          <m:r>
            <m:rPr/>
            <w:rPr>
              <w:rFonts w:ascii="Cambria Math" w:hAnsi="Cambria Math"/>
              <w:color w:val="000000" w:themeColor="text1"/>
              <w14:textFill>
                <w14:solidFill>
                  <w14:schemeClr w14:val="tx1"/>
                </w14:solidFill>
              </w14:textFill>
            </w:rPr>
            <m:t>Residualdeviatio</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n</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=Totalpredictio</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n</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−Additivepredictio</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n</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m:oMathPara>
    </w:p>
    <w:p w14:paraId="1C0F758F">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multimorbidity, this difference was calculated on the probability scale; for CMWI, it was calculated on the original CMWI scale. Positive residual deviations indicate strata with higher-than-expected outcomes under the additive model, whereas negative residual deviations indicate lower-than-expected outcomes. Confidence intervals for residual deviations were used to identify strata with deviations clearly different from zero.</w:t>
      </w:r>
    </w:p>
    <w:p w14:paraId="181DB649">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S7. Sensitivity analyses</w:t>
      </w:r>
    </w:p>
    <w:p w14:paraId="46E6BEFF">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We conducted five sensitivity analyses to evaluate the robustness of the primary findings.</w:t>
      </w:r>
    </w:p>
    <w:p w14:paraId="1D3A2A7C">
      <w:pPr>
        <w:pStyle w:val="16"/>
        <w:spacing w:after="40"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First, we restricted the sample to participants aged </w:t>
      </w:r>
      <w:r>
        <w:rPr>
          <w:rFonts w:hint="eastAsia" w:eastAsia="宋体"/>
          <w:color w:val="000000" w:themeColor="text1"/>
          <w:sz w:val="19"/>
          <w:lang w:eastAsia="zh-CN"/>
          <w14:textFill>
            <w14:solidFill>
              <w14:schemeClr w14:val="tx1"/>
            </w14:solidFill>
          </w14:textFill>
        </w:rPr>
        <w:t>≥</w:t>
      </w:r>
      <w:r>
        <w:rPr>
          <w:rFonts w:cs="Times New Roman"/>
          <w:color w:val="000000" w:themeColor="text1"/>
          <w14:textFill>
            <w14:solidFill>
              <w14:schemeClr w14:val="tx1"/>
            </w14:solidFill>
          </w14:textFill>
        </w:rPr>
        <w:t xml:space="preserve">45 years. Within this restricted sample, age was categorized as 45-59 years and </w:t>
      </w:r>
      <w:r>
        <w:rPr>
          <w:rFonts w:hint="eastAsia" w:eastAsia="宋体"/>
          <w:color w:val="000000" w:themeColor="text1"/>
          <w:sz w:val="19"/>
          <w:lang w:eastAsia="zh-CN"/>
          <w14:textFill>
            <w14:solidFill>
              <w14:schemeClr w14:val="tx1"/>
            </w14:solidFill>
          </w14:textFill>
        </w:rPr>
        <w:t>≥</w:t>
      </w:r>
      <w:r>
        <w:rPr>
          <w:rFonts w:cs="Times New Roman"/>
          <w:color w:val="000000" w:themeColor="text1"/>
          <w14:textFill>
            <w14:solidFill>
              <w14:schemeClr w14:val="tx1"/>
            </w14:solidFill>
          </w14:textFill>
        </w:rPr>
        <w:t>60 years. The MAIHDA model sequence was then repeated to assess whether inclusion of younger adults diluted multimorbidity patterning.</w:t>
      </w:r>
    </w:p>
    <w:p w14:paraId="5B7C9576">
      <w:pPr>
        <w:pStyle w:val="16"/>
        <w:spacing w:after="40"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Second, we repeated the analyses using an alternative outcome definition excluding memory-related diseases and emotional, nervous, or psychiatric problems from both the multimorbidity definition and the CMWI calculation. This analysis assessed whether the findings were driven by conditions with distinct age-related or social patterning.</w:t>
      </w:r>
    </w:p>
    <w:p w14:paraId="557EB578">
      <w:pPr>
        <w:pStyle w:val="16"/>
        <w:spacing w:after="40"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Third, to account for within-site correlation arising from the multistage cluster sampling design, we added a survey-site random intercept to the MAIHDA models.</w:t>
      </w:r>
    </w:p>
    <w:p w14:paraId="7904A21E">
      <w:pPr>
        <w:pStyle w:val="16"/>
        <w:spacing w:after="40"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Fourth, we repeated the MAIHDA models with additional adjustment for lifestyle-related variables, including smoking, alcohol consumption, BMI, and physical activity. These variables were not included in the primary models because they may lie downstream of social position and may partly mediate associations between social determinants and multimorbidity. The lifestyle-adjusted analysis was therefore treated as a supplementary robustness check rather than as the primary model sequence.</w:t>
      </w:r>
    </w:p>
    <w:p w14:paraId="41CC5DD2">
      <w:pPr>
        <w:pStyle w:val="16"/>
        <w:spacing w:after="40"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Fifth, we replaced current residence with birthplace in the construction of intersectional strata to assess whether the findings were robust to an alternative operationalization of residence-related social positioning.</w:t>
      </w:r>
    </w:p>
    <w:p w14:paraId="5838241E">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the site-clustering sensitivity analysis, the binary outcome model with both intersectional-stratum and survey-site random intercepts can be written as:</w:t>
      </w:r>
    </w:p>
    <w:p w14:paraId="7CCE8323">
      <w:pPr>
        <w:spacing w:line="480" w:lineRule="auto"/>
        <w:jc w:val="center"/>
        <w:rPr>
          <w:rFonts w:cs="Times New Roman"/>
          <w:color w:val="000000" w:themeColor="text1"/>
          <w14:textFill>
            <w14:solidFill>
              <w14:schemeClr w14:val="tx1"/>
            </w14:solidFill>
          </w14:textFill>
        </w:rPr>
      </w:pPr>
      <m:oMathPara>
        <m:oMath>
          <m:r>
            <m:rPr>
              <m:sty m:val="p"/>
            </m:rPr>
            <w:rPr>
              <w:rFonts w:ascii="Cambria Math" w:hAnsi="Cambria Math"/>
              <w:color w:val="000000" w:themeColor="text1"/>
              <w14:textFill>
                <w14:solidFill>
                  <w14:schemeClr w14:val="tx1"/>
                </w14:solidFill>
              </w14:textFill>
            </w:rPr>
            <m:t>logit</m:t>
          </m:r>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ijk</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β</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0</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+β</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X</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k</m:t>
              </m:r>
              <m:ctrlPr>
                <w:rPr>
                  <w:rFonts w:ascii="Cambria Math" w:hAnsi="Cambria Math"/>
                  <w:color w:val="000000" w:themeColor="text1"/>
                  <w14:textFill>
                    <w14:solidFill>
                      <w14:schemeClr w14:val="tx1"/>
                    </w14:solidFill>
                  </w14:textFill>
                </w:rPr>
              </m:ctrlPr>
            </m:sub>
          </m:sSub>
        </m:oMath>
      </m:oMathPara>
    </w:p>
    <w:p w14:paraId="1989D9AB">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∼N(0,</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), </m:t>
          </m:r>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k</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∼N(0,</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oMath>
      </m:oMathPara>
    </w:p>
    <w:p w14:paraId="587023A7">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where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j</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is the intersectional-stratum random effect and </w:t>
      </w:r>
      <m:oMath>
        <m:sSub>
          <m:sSubPr>
            <m:ctrlPr>
              <w:rPr>
                <w:rFonts w:ascii="Cambria Math" w:hAnsi="Cambria Math"/>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k</m:t>
            </m:r>
            <m:ctrlPr>
              <w:rPr>
                <w:rFonts w:ascii="Cambria Math" w:hAnsi="Cambria Math"/>
                <w:color w:val="000000" w:themeColor="text1"/>
                <w14:textFill>
                  <w14:solidFill>
                    <w14:schemeClr w14:val="tx1"/>
                  </w14:solidFill>
                </w14:textFill>
              </w:rPr>
            </m:ctrlPr>
          </m:sub>
        </m:sSub>
      </m:oMath>
      <w:r>
        <w:rPr>
          <w:rFonts w:cs="Times New Roman"/>
          <w:color w:val="000000" w:themeColor="text1"/>
          <w14:textFill>
            <w14:solidFill>
              <w14:schemeClr w14:val="tx1"/>
            </w14:solidFill>
          </w14:textFill>
        </w:rPr>
        <w:t xml:space="preserve"> is the survey-site random effect. The corresponding stratum-level VPC for the binary outcome was calculated as:</w:t>
      </w:r>
    </w:p>
    <w:p w14:paraId="61148FCA">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r>
                <m:rPr>
                  <m:sty m:val="p"/>
                </m:rPr>
                <w:rPr>
                  <w:rFonts w:ascii="Cambria Math" w:hAnsi="Cambria Math"/>
                  <w:color w:val="000000" w:themeColor="text1"/>
                  <w14:textFill>
                    <w14:solidFill>
                      <w14:schemeClr w14:val="tx1"/>
                    </w14:solidFill>
                  </w14:textFill>
                </w:rPr>
                <m:t>VPC</m:t>
              </m:r>
              <m:ctrlPr>
                <w:rPr>
                  <w:rFonts w:ascii="Cambria Math" w:hAnsi="Cambria Math"/>
                  <w:color w:val="000000" w:themeColor="text1"/>
                  <w14:textFill>
                    <w14:solidFill>
                      <w14:schemeClr w14:val="tx1"/>
                    </w14:solidFill>
                  </w14:textFill>
                </w:rPr>
              </m:ctrlPr>
            </m:e>
            <m:sub>
              <m:r>
                <m:rPr>
                  <m:sty m:val="p"/>
                </m:rPr>
                <w:rPr>
                  <w:rFonts w:ascii="Cambria Math" w:hAnsi="Cambria Math"/>
                  <w:color w:val="000000" w:themeColor="text1"/>
                  <w14:textFill>
                    <w14:solidFill>
                      <w14:schemeClr w14:val="tx1"/>
                    </w14:solidFill>
                  </w14:textFill>
                </w:rPr>
                <m:t>stratum</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color w:val="000000" w:themeColor="text1"/>
                  <w14:textFill>
                    <w14:solidFill>
                      <w14:schemeClr w14:val="tx1"/>
                    </w14:solidFill>
                  </w14:textFill>
                </w:rPr>
              </m:ctrlPr>
            </m:fPr>
            <m:num>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num>
            <m:den>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p>
                <m:sSupPr>
                  <m:ctrlPr>
                    <w:rPr>
                      <w:rFonts w:ascii="Cambria Math" w:hAnsi="Cambria Math"/>
                      <w:color w:val="000000" w:themeColor="text1"/>
                      <w14:textFill>
                        <w14:solidFill>
                          <w14:schemeClr w14:val="tx1"/>
                        </w14:solidFill>
                      </w14:textFill>
                    </w:rPr>
                  </m:ctrlPr>
                </m:sSup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p>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den>
          </m:f>
        </m:oMath>
      </m:oMathPara>
    </w:p>
    <w:p w14:paraId="6CDD1537">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and the site-level VPC was calculated as:</w:t>
      </w:r>
    </w:p>
    <w:p w14:paraId="7883E134">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r>
                <m:rPr>
                  <m:sty m:val="p"/>
                </m:rPr>
                <w:rPr>
                  <w:rFonts w:ascii="Cambria Math" w:hAnsi="Cambria Math"/>
                  <w:color w:val="000000" w:themeColor="text1"/>
                  <w14:textFill>
                    <w14:solidFill>
                      <w14:schemeClr w14:val="tx1"/>
                    </w14:solidFill>
                  </w14:textFill>
                </w:rPr>
                <m:t>VPC</m:t>
              </m:r>
              <m:ctrlPr>
                <w:rPr>
                  <w:rFonts w:ascii="Cambria Math" w:hAnsi="Cambria Math"/>
                  <w:color w:val="000000" w:themeColor="text1"/>
                  <w14:textFill>
                    <w14:solidFill>
                      <w14:schemeClr w14:val="tx1"/>
                    </w14:solidFill>
                  </w14:textFill>
                </w:rPr>
              </m:ctrlPr>
            </m:e>
            <m:sub>
              <m:r>
                <m:rPr>
                  <m:sty m:val="p"/>
                </m:rPr>
                <w:rPr>
                  <w:rFonts w:ascii="Cambria Math" w:hAnsi="Cambria Math"/>
                  <w:color w:val="000000" w:themeColor="text1"/>
                  <w14:textFill>
                    <w14:solidFill>
                      <w14:schemeClr w14:val="tx1"/>
                    </w14:solidFill>
                  </w14:textFill>
                </w:rPr>
                <m:t>site</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color w:val="000000" w:themeColor="text1"/>
                  <w14:textFill>
                    <w14:solidFill>
                      <w14:schemeClr w14:val="tx1"/>
                    </w14:solidFill>
                  </w14:textFill>
                </w:rPr>
              </m:ctrlPr>
            </m:fPr>
            <m:num>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num>
            <m:den>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p>
                <m:sSupPr>
                  <m:ctrlPr>
                    <w:rPr>
                      <w:rFonts w:ascii="Cambria Math" w:hAnsi="Cambria Math"/>
                      <w:color w:val="000000" w:themeColor="text1"/>
                      <w14:textFill>
                        <w14:solidFill>
                          <w14:schemeClr w14:val="tx1"/>
                        </w14:solidFill>
                      </w14:textFill>
                    </w:rPr>
                  </m:ctrlPr>
                </m:sSupPr>
                <m:e>
                  <m:r>
                    <m:rPr/>
                    <w:rPr>
                      <w:rFonts w:ascii="Cambria Math" w:hAnsi="Cambria Math"/>
                      <w:color w:val="000000" w:themeColor="text1"/>
                      <w14:textFill>
                        <w14:solidFill>
                          <w14:schemeClr w14:val="tx1"/>
                        </w14:solidFill>
                      </w14:textFill>
                    </w:rPr>
                    <m:t>π</m:t>
                  </m:r>
                  <m:ctrlPr>
                    <w:rPr>
                      <w:rFonts w:ascii="Cambria Math" w:hAnsi="Cambria Math"/>
                      <w:color w:val="000000" w:themeColor="text1"/>
                      <w14:textFill>
                        <w14:solidFill>
                          <w14:schemeClr w14:val="tx1"/>
                        </w14:solidFill>
                      </w14:textFill>
                    </w:rPr>
                  </m:ctrlPr>
                </m:e>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p>
              <m:r>
                <m:rPr/>
                <w:rPr>
                  <w:rFonts w:ascii="Cambria Math" w:hAnsi="Cambria Math"/>
                  <w:color w:val="000000" w:themeColor="text1"/>
                  <w14:textFill>
                    <w14:solidFill>
                      <w14:schemeClr w14:val="tx1"/>
                    </w14:solidFill>
                  </w14:textFill>
                </w:rPr>
                <m:t>/3</m:t>
              </m:r>
              <m:ctrlPr>
                <w:rPr>
                  <w:rFonts w:ascii="Cambria Math" w:hAnsi="Cambria Math"/>
                  <w:color w:val="000000" w:themeColor="text1"/>
                  <w14:textFill>
                    <w14:solidFill>
                      <w14:schemeClr w14:val="tx1"/>
                    </w14:solidFill>
                  </w14:textFill>
                </w:rPr>
              </m:ctrlPr>
            </m:den>
          </m:f>
        </m:oMath>
      </m:oMathPara>
    </w:p>
    <w:p w14:paraId="76637C67">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For CMWI, the stratum-level and site-level VPCs were calculated as:</w:t>
      </w:r>
    </w:p>
    <w:p w14:paraId="61A866A3">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r>
                <m:rPr>
                  <m:sty m:val="p"/>
                </m:rPr>
                <w:rPr>
                  <w:rFonts w:ascii="Cambria Math" w:hAnsi="Cambria Math"/>
                  <w:color w:val="000000" w:themeColor="text1"/>
                  <w14:textFill>
                    <w14:solidFill>
                      <w14:schemeClr w14:val="tx1"/>
                    </w14:solidFill>
                  </w14:textFill>
                </w:rPr>
                <m:t>VPC</m:t>
              </m:r>
              <m:ctrlPr>
                <w:rPr>
                  <w:rFonts w:ascii="Cambria Math" w:hAnsi="Cambria Math"/>
                  <w:color w:val="000000" w:themeColor="text1"/>
                  <w14:textFill>
                    <w14:solidFill>
                      <w14:schemeClr w14:val="tx1"/>
                    </w14:solidFill>
                  </w14:textFill>
                </w:rPr>
              </m:ctrlPr>
            </m:e>
            <m:sub>
              <m:r>
                <m:rPr>
                  <m:sty m:val="p"/>
                </m:rPr>
                <w:rPr>
                  <w:rFonts w:ascii="Cambria Math" w:hAnsi="Cambria Math"/>
                  <w:color w:val="000000" w:themeColor="text1"/>
                  <w14:textFill>
                    <w14:solidFill>
                      <w14:schemeClr w14:val="tx1"/>
                    </w14:solidFill>
                  </w14:textFill>
                </w:rPr>
                <m:t>stratum</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color w:val="000000" w:themeColor="text1"/>
                  <w14:textFill>
                    <w14:solidFill>
                      <w14:schemeClr w14:val="tx1"/>
                    </w14:solidFill>
                  </w14:textFill>
                </w:rPr>
              </m:ctrlPr>
            </m:fPr>
            <m:num>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num>
            <m:den>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den>
          </m:f>
        </m:oMath>
      </m:oMathPara>
    </w:p>
    <w:p w14:paraId="147678B9">
      <w:pPr>
        <w:spacing w:line="480" w:lineRule="auto"/>
        <w:jc w:val="center"/>
        <w:rPr>
          <w:rFonts w:cs="Times New Roman"/>
          <w:color w:val="000000" w:themeColor="text1"/>
          <w14:textFill>
            <w14:solidFill>
              <w14:schemeClr w14:val="tx1"/>
            </w14:solidFill>
          </w14:textFill>
        </w:rPr>
      </w:pPr>
      <m:oMathPara>
        <m:oMath>
          <m:sSub>
            <m:sSubPr>
              <m:ctrlPr>
                <w:rPr>
                  <w:rFonts w:ascii="Cambria Math" w:hAnsi="Cambria Math"/>
                  <w:color w:val="000000" w:themeColor="text1"/>
                  <w14:textFill>
                    <w14:solidFill>
                      <w14:schemeClr w14:val="tx1"/>
                    </w14:solidFill>
                  </w14:textFill>
                </w:rPr>
              </m:ctrlPr>
            </m:sSubPr>
            <m:e>
              <m:r>
                <m:rPr>
                  <m:sty m:val="p"/>
                </m:rPr>
                <w:rPr>
                  <w:rFonts w:ascii="Cambria Math" w:hAnsi="Cambria Math"/>
                  <w:color w:val="000000" w:themeColor="text1"/>
                  <w14:textFill>
                    <w14:solidFill>
                      <w14:schemeClr w14:val="tx1"/>
                    </w14:solidFill>
                  </w14:textFill>
                </w:rPr>
                <m:t>VPC</m:t>
              </m:r>
              <m:ctrlPr>
                <w:rPr>
                  <w:rFonts w:ascii="Cambria Math" w:hAnsi="Cambria Math"/>
                  <w:color w:val="000000" w:themeColor="text1"/>
                  <w14:textFill>
                    <w14:solidFill>
                      <w14:schemeClr w14:val="tx1"/>
                    </w14:solidFill>
                  </w14:textFill>
                </w:rPr>
              </m:ctrlPr>
            </m:e>
            <m:sub>
              <m:r>
                <m:rPr>
                  <m:sty m:val="p"/>
                </m:rPr>
                <w:rPr>
                  <w:rFonts w:ascii="Cambria Math" w:hAnsi="Cambria Math"/>
                  <w:color w:val="000000" w:themeColor="text1"/>
                  <w14:textFill>
                    <w14:solidFill>
                      <w14:schemeClr w14:val="tx1"/>
                    </w14:solidFill>
                  </w14:textFill>
                </w:rPr>
                <m:t>site</m:t>
              </m:r>
              <m:ctrlPr>
                <w:rPr>
                  <w:rFonts w:ascii="Cambria Math" w:hAnsi="Cambria Math"/>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color w:val="000000" w:themeColor="text1"/>
                  <w14:textFill>
                    <w14:solidFill>
                      <w14:schemeClr w14:val="tx1"/>
                    </w14:solidFill>
                  </w14:textFill>
                </w:rPr>
              </m:ctrlPr>
            </m:fPr>
            <m:num>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num>
            <m:den>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u</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v</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r>
                <m:rPr/>
                <w:rPr>
                  <w:rFonts w:ascii="Cambria Math" w:hAnsi="Cambria Math"/>
                  <w:color w:val="000000" w:themeColor="text1"/>
                  <w14:textFill>
                    <w14:solidFill>
                      <w14:schemeClr w14:val="tx1"/>
                    </w14:solidFill>
                  </w14:textFill>
                </w:rPr>
                <m:t>+</m:t>
              </m:r>
              <m:sSubSup>
                <m:sSubSupPr>
                  <m:ctrlPr>
                    <w:rPr>
                      <w:rFonts w:ascii="Cambria Math" w:hAnsi="Cambria Math"/>
                      <w:color w:val="000000" w:themeColor="text1"/>
                      <w14:textFill>
                        <w14:solidFill>
                          <w14:schemeClr w14:val="tx1"/>
                        </w14:solidFill>
                      </w14:textFill>
                    </w:rPr>
                  </m:ctrlPr>
                </m:sSubSupPr>
                <m:e>
                  <m:r>
                    <m:rPr/>
                    <w:rPr>
                      <w:rFonts w:ascii="Cambria Math" w:hAnsi="Cambria Math"/>
                      <w:color w:val="000000" w:themeColor="text1"/>
                      <w14:textFill>
                        <w14:solidFill>
                          <w14:schemeClr w14:val="tx1"/>
                        </w14:solidFill>
                      </w14:textFill>
                    </w:rPr>
                    <m:t>σ</m:t>
                  </m:r>
                  <m:ctrlPr>
                    <w:rPr>
                      <w:rFonts w:ascii="Cambria Math" w:hAnsi="Cambria Math"/>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e</m:t>
                  </m:r>
                  <m:ctrlPr>
                    <w:rPr>
                      <w:rFonts w:ascii="Cambria Math" w:hAnsi="Cambria Math"/>
                      <w:color w:val="000000" w:themeColor="text1"/>
                      <w14:textFill>
                        <w14:solidFill>
                          <w14:schemeClr w14:val="tx1"/>
                        </w14:solidFill>
                      </w14:textFill>
                    </w:rPr>
                  </m:ctrlPr>
                </m:sub>
                <m:sup>
                  <m:r>
                    <m:rPr/>
                    <w:rPr>
                      <w:rFonts w:ascii="Cambria Math" w:hAnsi="Cambria Math"/>
                      <w:color w:val="000000" w:themeColor="text1"/>
                      <w14:textFill>
                        <w14:solidFill>
                          <w14:schemeClr w14:val="tx1"/>
                        </w14:solidFill>
                      </w14:textFill>
                    </w:rPr>
                    <m:t>2</m:t>
                  </m:r>
                  <m:ctrlPr>
                    <w:rPr>
                      <w:rFonts w:ascii="Cambria Math" w:hAnsi="Cambria Math"/>
                      <w:color w:val="000000" w:themeColor="text1"/>
                      <w14:textFill>
                        <w14:solidFill>
                          <w14:schemeClr w14:val="tx1"/>
                        </w14:solidFill>
                      </w14:textFill>
                    </w:rPr>
                  </m:ctrlPr>
                </m:sup>
              </m:sSubSup>
              <m:ctrlPr>
                <w:rPr>
                  <w:rFonts w:ascii="Cambria Math" w:hAnsi="Cambria Math"/>
                  <w:color w:val="000000" w:themeColor="text1"/>
                  <w14:textFill>
                    <w14:solidFill>
                      <w14:schemeClr w14:val="tx1"/>
                    </w14:solidFill>
                  </w14:textFill>
                </w:rPr>
              </m:ctrlPr>
            </m:den>
          </m:f>
        </m:oMath>
      </m:oMathPara>
    </w:p>
    <w:p w14:paraId="20020E33">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S8. Estimation and software</w:t>
      </w:r>
    </w:p>
    <w:p w14:paraId="09E78ED3">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All analyses were performed using R version 4.4.3. Multilevel logistic regression and linear mixed-effects models were fitted using the </w:t>
      </w:r>
      <w:r>
        <w:rPr>
          <w:rFonts w:cs="Times New Roman"/>
          <w:i/>
          <w:iCs/>
          <w:color w:val="000000" w:themeColor="text1"/>
          <w14:textFill>
            <w14:solidFill>
              <w14:schemeClr w14:val="tx1"/>
            </w14:solidFill>
          </w14:textFill>
        </w:rPr>
        <w:t>lme4</w:t>
      </w:r>
      <w:r>
        <w:rPr>
          <w:rFonts w:cs="Times New Roman"/>
          <w:color w:val="000000" w:themeColor="text1"/>
          <w14:textFill>
            <w14:solidFill>
              <w14:schemeClr w14:val="tx1"/>
            </w14:solidFill>
          </w14:textFill>
        </w:rPr>
        <w:t xml:space="preserve"> package [S4,</w:t>
      </w:r>
      <w:r>
        <w:rPr>
          <w:rFonts w:hint="eastAsia" w:eastAsia="宋体" w:cs="Times New Roman"/>
          <w:color w:val="000000" w:themeColor="text1"/>
          <w:lang w:eastAsia="zh-CN"/>
          <w14:textFill>
            <w14:solidFill>
              <w14:schemeClr w14:val="tx1"/>
            </w14:solidFill>
          </w14:textFill>
        </w:rPr>
        <w:t xml:space="preserve"> </w:t>
      </w:r>
      <w:r>
        <w:rPr>
          <w:rFonts w:cs="Times New Roman"/>
          <w:color w:val="000000" w:themeColor="text1"/>
          <w14:textFill>
            <w14:solidFill>
              <w14:schemeClr w14:val="tx1"/>
            </w14:solidFill>
          </w14:textFill>
        </w:rPr>
        <w:t xml:space="preserve">S5]. The </w:t>
      </w:r>
      <w:r>
        <w:rPr>
          <w:rFonts w:cs="Times New Roman"/>
          <w:i/>
          <w:iCs/>
          <w:color w:val="000000" w:themeColor="text1"/>
          <w14:textFill>
            <w14:solidFill>
              <w14:schemeClr w14:val="tx1"/>
            </w14:solidFill>
          </w14:textFill>
        </w:rPr>
        <w:t>glmer()</w:t>
      </w:r>
      <w:r>
        <w:rPr>
          <w:rFonts w:cs="Times New Roman"/>
          <w:color w:val="000000" w:themeColor="text1"/>
          <w14:textFill>
            <w14:solidFill>
              <w14:schemeClr w14:val="tx1"/>
            </w14:solidFill>
          </w14:textFill>
        </w:rPr>
        <w:t xml:space="preserve"> function was used for the binary multimorbidity outcome, and the </w:t>
      </w:r>
      <w:r>
        <w:rPr>
          <w:rFonts w:cs="Times New Roman"/>
          <w:i/>
          <w:iCs/>
          <w:color w:val="000000" w:themeColor="text1"/>
          <w14:textFill>
            <w14:solidFill>
              <w14:schemeClr w14:val="tx1"/>
            </w14:solidFill>
          </w14:textFill>
        </w:rPr>
        <w:t>lmer()</w:t>
      </w:r>
      <w:r>
        <w:rPr>
          <w:rFonts w:cs="Times New Roman"/>
          <w:color w:val="000000" w:themeColor="text1"/>
          <w14:textFill>
            <w14:solidFill>
              <w14:schemeClr w14:val="tx1"/>
            </w14:solidFill>
          </w14:textFill>
        </w:rPr>
        <w:t xml:space="preserve"> function was used for the continuous CMWI outcome. Parameters were estimated using maximum likelihood. Odds ratios (ORs) and 95% confidence intervals were reported for fixed effects in logistic models, and regression coefficients with 95% confidence intervals were reported for fixed effects in linear models.</w:t>
      </w:r>
    </w:p>
    <w:p w14:paraId="135EF565">
      <w:pPr>
        <w:spacing w:line="48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Predicted values and random effects were extracted from fitted models to obtain stratum-specific predictions and residual deviations. AUC for multimorbidity was calculated from predicted probabilities using the fitted null intersectional model. All analyses used individual-level data. Sampling weights and complete survey design variables were not available in the analytic dataset; therefore, fully design-weighted MAIHDA models could not be implemented. The site-clustering sensitivity analysis described above was used to assess whether within-site correlation materially affected the main findings.</w:t>
      </w:r>
    </w:p>
    <w:p w14:paraId="3CF8D4C5">
      <w:pPr>
        <w:pStyle w:val="3"/>
        <w:spacing w:line="48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Supplementary References</w:t>
      </w:r>
    </w:p>
    <w:p w14:paraId="3107626F">
      <w:pPr>
        <w:spacing w:line="480" w:lineRule="auto"/>
        <w:ind w:left="360" w:hanging="36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S1. Merlo J. Multilevel analysis of individual heterogeneity and discriminatory accuracy (MAIHDA) within an intersectional framework. Social Science &amp; Medicine. 2018;203:74-80. doi:10.1016/j.socscimed.2017.12.026.</w:t>
      </w:r>
    </w:p>
    <w:p w14:paraId="03580023">
      <w:pPr>
        <w:spacing w:line="480" w:lineRule="auto"/>
        <w:ind w:left="360" w:hanging="36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S2. Evans CR, Williams DR, Onnela JP, Subramanian SV. A multilevel approach to modeling health inequalities at the intersection of multiple social identities. Social Science &amp; Medicine. 2018;203:64-73. doi:10.1016/j.socscimed.2017.11.011.</w:t>
      </w:r>
    </w:p>
    <w:p w14:paraId="620A00F3">
      <w:pPr>
        <w:spacing w:line="480" w:lineRule="auto"/>
        <w:ind w:left="360" w:hanging="36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S3. Zou KH, O'Malley AJ, Mauri L. Receiver-operating characteristic analysis for evaluating diagnostic tests and predictive models. Circulation. 2007;115(5):654-657. doi:10.1161/CIRCULATIONAHA.105.594929.</w:t>
      </w:r>
    </w:p>
    <w:p w14:paraId="34D359FF">
      <w:pPr>
        <w:spacing w:line="480" w:lineRule="auto"/>
        <w:ind w:left="360" w:hanging="36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S4. Bates D, Maechler M, Bolker B, Walker S. Fitting linear mixed-effects models using lme4. Journal of Statistical Software. 2015;67(1):1-48. doi:10.18637/jss.v067.i01.</w:t>
      </w:r>
    </w:p>
    <w:p w14:paraId="2B305ECF">
      <w:pPr>
        <w:spacing w:line="480" w:lineRule="auto"/>
        <w:ind w:left="360" w:hanging="36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S5. R Core Team. R: A language and environment for statistical computing. R Foundation for Statistical Computing; 2024.</w:t>
      </w:r>
    </w:p>
    <w:sectPr>
      <w:pgSz w:w="12240" w:h="15840"/>
      <w:pgMar w:top="1224" w:right="1224" w:bottom="1224"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Cambria Math">
    <w:panose1 w:val="02040503050406030204"/>
    <w:charset w:val="00"/>
    <w:family w:val="roman"/>
    <w:pitch w:val="default"/>
    <w:sig w:usb0="E00006FF" w:usb1="420024FF" w:usb2="02000000" w:usb3="00000000" w:csb0="2000019F" w:csb1="00000000"/>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42BFD"/>
    <w:rsid w:val="0015074B"/>
    <w:rsid w:val="0029639D"/>
    <w:rsid w:val="00326F90"/>
    <w:rsid w:val="003842DA"/>
    <w:rsid w:val="00412420"/>
    <w:rsid w:val="00776978"/>
    <w:rsid w:val="00AA1D8D"/>
    <w:rsid w:val="00B47730"/>
    <w:rsid w:val="00CB0664"/>
    <w:rsid w:val="00FC693F"/>
    <w:rsid w:val="0E087EAB"/>
    <w:rsid w:val="24A81B3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80" w:line="259" w:lineRule="auto"/>
    </w:pPr>
    <w:rPr>
      <w:rFonts w:ascii="Times New Roman" w:hAnsi="Times New Roman" w:eastAsia="Times New Roman"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0"/>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5"/>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3"/>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8</Pages>
  <Words>888</Words>
  <Characters>4578</Characters>
  <Lines>207</Lines>
  <Paragraphs>149</Paragraphs>
  <TotalTime>13</TotalTime>
  <ScaleCrop>false</ScaleCrop>
  <LinksUpToDate>false</LinksUpToDate>
  <CharactersWithSpaces>5246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陈智立</dc:creator>
  <cp:lastModifiedBy>陈智立</cp:lastModifiedBy>
  <dcterms:modified xsi:type="dcterms:W3CDTF">2026-04-28T06:09:40Z</dcterms:modified>
  <dc:title>Supplementary Methods: Statistical details of the MAIHDA models</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eyJoZGlkIjoiYjkyZmNhZmMwYTRkMzdjNDc0ZDBiODA4ZTNmNjg2YzYiLCJ1c2VySWQiOiI1MDg0MjA5MDMifQ==</vt:lpwstr>
  </property>
  <property fmtid="{D5CDD505-2E9C-101B-9397-08002B2CF9AE}" pid="3" name="KSOProductBuildVer">
    <vt:lpwstr>2052-12.1.0.25865</vt:lpwstr>
  </property>
  <property fmtid="{D5CDD505-2E9C-101B-9397-08002B2CF9AE}" pid="4" name="ICV">
    <vt:lpwstr>C1817BB6A2B946DA96C36F7715A40318_12</vt:lpwstr>
  </property>
</Properties>
</file>