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F36C" w14:textId="77777777" w:rsidR="007732F7" w:rsidRPr="00D655AE" w:rsidRDefault="00000000">
      <w:pPr>
        <w:spacing w:before="100" w:after="160" w:line="270" w:lineRule="auto"/>
        <w:jc w:val="center"/>
        <w:rPr>
          <w:color w:val="000000" w:themeColor="text1"/>
        </w:rPr>
      </w:pPr>
      <w:r w:rsidRPr="00D655AE">
        <w:rPr>
          <w:rFonts w:eastAsia="Arial"/>
          <w:b/>
          <w:bCs/>
          <w:color w:val="000000" w:themeColor="text1"/>
          <w:sz w:val="28"/>
          <w:szCs w:val="28"/>
        </w:rPr>
        <w:t>Supplementary File 1: Literature Search Strategy and Flow Diagram</w:t>
      </w:r>
    </w:p>
    <w:p w14:paraId="789B729D" w14:textId="77777777" w:rsidR="007732F7" w:rsidRPr="00D655AE" w:rsidRDefault="00000000">
      <w:pPr>
        <w:spacing w:before="100" w:after="120" w:line="270" w:lineRule="auto"/>
        <w:jc w:val="center"/>
        <w:rPr>
          <w:color w:val="000000" w:themeColor="text1"/>
        </w:rPr>
      </w:pPr>
      <w:r w:rsidRPr="00D655AE">
        <w:rPr>
          <w:color w:val="000000" w:themeColor="text1"/>
          <w:sz w:val="20"/>
          <w:szCs w:val="20"/>
        </w:rPr>
        <w:t>Toward Equitable Digital Health: An Integrated Framework Addressing Exclusion, Ethics, and Implementation Across Healthcare Systems</w:t>
      </w:r>
    </w:p>
    <w:p w14:paraId="7E88DEF4" w14:textId="77777777" w:rsidR="007732F7" w:rsidRPr="00D655AE" w:rsidRDefault="007732F7">
      <w:pPr>
        <w:spacing w:before="60" w:after="60" w:line="270" w:lineRule="auto"/>
        <w:rPr>
          <w:color w:val="000000" w:themeColor="text1"/>
        </w:rPr>
      </w:pPr>
    </w:p>
    <w:p w14:paraId="63DE2276" w14:textId="77777777" w:rsidR="007732F7" w:rsidRPr="00D655AE" w:rsidRDefault="00000000">
      <w:pPr>
        <w:pStyle w:val="Heading1"/>
        <w:spacing w:after="120"/>
        <w:rPr>
          <w:rFonts w:ascii="Times New Roman" w:hAnsi="Times New Roman" w:cs="Times New Roman"/>
          <w:color w:val="000000" w:themeColor="text1"/>
        </w:rPr>
      </w:pPr>
      <w:r w:rsidRPr="00D655AE">
        <w:rPr>
          <w:rFonts w:ascii="Times New Roman" w:hAnsi="Times New Roman" w:cs="Times New Roman"/>
          <w:color w:val="000000" w:themeColor="text1"/>
        </w:rPr>
        <w:t>S1.1 Search Databases and Date Range</w:t>
      </w:r>
    </w:p>
    <w:p w14:paraId="5BDCF164" w14:textId="77777777" w:rsidR="007732F7" w:rsidRPr="00D655AE" w:rsidRDefault="00000000">
      <w:pPr>
        <w:spacing w:before="100" w:after="100" w:line="270" w:lineRule="auto"/>
        <w:rPr>
          <w:color w:val="000000" w:themeColor="text1"/>
        </w:rPr>
      </w:pPr>
      <w:r w:rsidRPr="00D655AE">
        <w:rPr>
          <w:color w:val="000000" w:themeColor="text1"/>
        </w:rPr>
        <w:t>Searches were conducted across four electronic databases: PubMed/MEDLINE, Scopus, Web of Science (Core Collection), and the WHO Global Health Library. All searches were restricted to materials published between 1 January 2015 and 31 December 2025. Database searches were supplemented by targeted grey literature retrieval and reference list screening of highly cited publications.</w:t>
      </w:r>
    </w:p>
    <w:p w14:paraId="46257214" w14:textId="77777777" w:rsidR="007732F7" w:rsidRPr="00D655AE" w:rsidRDefault="00000000">
      <w:pPr>
        <w:pStyle w:val="Heading1"/>
        <w:spacing w:after="120"/>
        <w:rPr>
          <w:rFonts w:ascii="Times New Roman" w:hAnsi="Times New Roman" w:cs="Times New Roman"/>
          <w:color w:val="000000" w:themeColor="text1"/>
        </w:rPr>
      </w:pPr>
      <w:r w:rsidRPr="00D655AE">
        <w:rPr>
          <w:rFonts w:ascii="Times New Roman" w:hAnsi="Times New Roman" w:cs="Times New Roman"/>
          <w:color w:val="000000" w:themeColor="text1"/>
        </w:rPr>
        <w:t>S1.2 Search Terms by Domain</w:t>
      </w:r>
    </w:p>
    <w:p w14:paraId="2596408F" w14:textId="77777777" w:rsidR="007732F7" w:rsidRPr="00D655AE" w:rsidRDefault="00000000">
      <w:pPr>
        <w:spacing w:before="100" w:after="100" w:line="270" w:lineRule="auto"/>
        <w:rPr>
          <w:color w:val="000000" w:themeColor="text1"/>
        </w:rPr>
      </w:pPr>
      <w:r w:rsidRPr="00D655AE">
        <w:rPr>
          <w:color w:val="000000" w:themeColor="text1"/>
        </w:rPr>
        <w:t>Search terms were organized into three conceptual domains, combined with Boolean operators (OR within domains; AND across domains):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880"/>
        <w:gridCol w:w="3880"/>
      </w:tblGrid>
      <w:tr w:rsidR="00D655AE" w:rsidRPr="00D655AE" w14:paraId="5C845A32" w14:textId="77777777">
        <w:tc>
          <w:tcPr>
            <w:tcW w:w="16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3778E1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Domain</w:t>
            </w:r>
          </w:p>
        </w:tc>
        <w:tc>
          <w:tcPr>
            <w:tcW w:w="388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51BCB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Key Terms (OR within domain)</w:t>
            </w:r>
          </w:p>
        </w:tc>
        <w:tc>
          <w:tcPr>
            <w:tcW w:w="388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D6E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7FC3C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Notes</w:t>
            </w:r>
          </w:p>
        </w:tc>
      </w:tr>
      <w:tr w:rsidR="00D655AE" w:rsidRPr="00D655AE" w14:paraId="37363B48" w14:textId="77777777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85062E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Domain 1: Digital Health Technologies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4B00A1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"digital health" OR "eHealth" OR "mHealth" OR "telemedicine" OR "telehealth" OR "health information system*" OR "electronic health record*" OR "EHR" OR "artificial intelligence" AND "health*" OR "machine learning" AND "health*" OR "mobile health" OR "patient portal" OR "remote patient monitoring"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40C3C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Broad scope to capture full range of digital health modalities</w:t>
            </w:r>
          </w:p>
        </w:tc>
      </w:tr>
      <w:tr w:rsidR="00D655AE" w:rsidRPr="00D655AE" w14:paraId="3450DB69" w14:textId="77777777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CF8B2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Domain 2: Equity and Access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D9FB3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 xml:space="preserve">"health </w:t>
            </w:r>
            <w:proofErr w:type="spellStart"/>
            <w:r w:rsidRPr="00D655AE">
              <w:rPr>
                <w:color w:val="000000" w:themeColor="text1"/>
                <w:sz w:val="20"/>
                <w:szCs w:val="20"/>
              </w:rPr>
              <w:t>equit</w:t>
            </w:r>
            <w:proofErr w:type="spellEnd"/>
            <w:r w:rsidRPr="00D655AE">
              <w:rPr>
                <w:color w:val="000000" w:themeColor="text1"/>
                <w:sz w:val="20"/>
                <w:szCs w:val="20"/>
              </w:rPr>
              <w:t xml:space="preserve">*" OR "digital divide" OR "digital exclusion" OR "health </w:t>
            </w:r>
            <w:proofErr w:type="spellStart"/>
            <w:r w:rsidRPr="00D655AE">
              <w:rPr>
                <w:color w:val="000000" w:themeColor="text1"/>
                <w:sz w:val="20"/>
                <w:szCs w:val="20"/>
              </w:rPr>
              <w:t>disparit</w:t>
            </w:r>
            <w:proofErr w:type="spellEnd"/>
            <w:r w:rsidRPr="00D655AE">
              <w:rPr>
                <w:color w:val="000000" w:themeColor="text1"/>
                <w:sz w:val="20"/>
                <w:szCs w:val="20"/>
              </w:rPr>
              <w:t xml:space="preserve">*" OR "health </w:t>
            </w:r>
            <w:proofErr w:type="spellStart"/>
            <w:r w:rsidRPr="00D655AE">
              <w:rPr>
                <w:color w:val="000000" w:themeColor="text1"/>
                <w:sz w:val="20"/>
                <w:szCs w:val="20"/>
              </w:rPr>
              <w:t>inequit</w:t>
            </w:r>
            <w:proofErr w:type="spellEnd"/>
            <w:r w:rsidRPr="00D655AE">
              <w:rPr>
                <w:color w:val="000000" w:themeColor="text1"/>
                <w:sz w:val="20"/>
                <w:szCs w:val="20"/>
              </w:rPr>
              <w:t>*" OR "marginalised population*" OR "underserved population*" OR "health access" OR "rural health" OR "vulnerable population*" OR "social determinants"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548A77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Includes both supply-side (access) and demand-side (exclusion) terminology</w:t>
            </w:r>
          </w:p>
        </w:tc>
      </w:tr>
      <w:tr w:rsidR="00D655AE" w:rsidRPr="00D655AE" w14:paraId="48615550" w14:textId="77777777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E1F5E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Domain 3: Ethics, Governance, and Implementation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0612EB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 xml:space="preserve">"informed consent" AND "digital*" OR "data </w:t>
            </w:r>
            <w:proofErr w:type="spellStart"/>
            <w:r w:rsidRPr="00D655AE">
              <w:rPr>
                <w:color w:val="000000" w:themeColor="text1"/>
                <w:sz w:val="20"/>
                <w:szCs w:val="20"/>
              </w:rPr>
              <w:t>privac</w:t>
            </w:r>
            <w:proofErr w:type="spellEnd"/>
            <w:r w:rsidRPr="00D655AE">
              <w:rPr>
                <w:color w:val="000000" w:themeColor="text1"/>
                <w:sz w:val="20"/>
                <w:szCs w:val="20"/>
              </w:rPr>
              <w:t xml:space="preserve">*" OR "data protection" OR "algorithmic bias" OR "AI ethics" OR "cybersecurity" AND "health*" OR "implementation </w:t>
            </w:r>
            <w:proofErr w:type="spellStart"/>
            <w:r w:rsidRPr="00D655AE">
              <w:rPr>
                <w:color w:val="000000" w:themeColor="text1"/>
                <w:sz w:val="20"/>
                <w:szCs w:val="20"/>
              </w:rPr>
              <w:t>scienc</w:t>
            </w:r>
            <w:proofErr w:type="spellEnd"/>
            <w:r w:rsidRPr="00D655AE">
              <w:rPr>
                <w:color w:val="000000" w:themeColor="text1"/>
                <w:sz w:val="20"/>
                <w:szCs w:val="20"/>
              </w:rPr>
              <w:t xml:space="preserve">*" OR "LMIC" OR "low- and middle-income </w:t>
            </w:r>
            <w:proofErr w:type="spellStart"/>
            <w:r w:rsidRPr="00D655AE">
              <w:rPr>
                <w:color w:val="000000" w:themeColor="text1"/>
                <w:sz w:val="20"/>
                <w:szCs w:val="20"/>
              </w:rPr>
              <w:t>countr</w:t>
            </w:r>
            <w:proofErr w:type="spellEnd"/>
            <w:r w:rsidRPr="00D655AE">
              <w:rPr>
                <w:color w:val="000000" w:themeColor="text1"/>
                <w:sz w:val="20"/>
                <w:szCs w:val="20"/>
              </w:rPr>
              <w:t>*" OR "India" OR "ABDM" OR "Ayushman Bharat" OR "Co-WIN" OR "governance" AND "digital health"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109CEE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Targeted to capture India-specific and LMIC literature; ethical and governance dimensions</w:t>
            </w:r>
          </w:p>
        </w:tc>
      </w:tr>
    </w:tbl>
    <w:p w14:paraId="5912CBD5" w14:textId="77777777" w:rsidR="007732F7" w:rsidRPr="00D655AE" w:rsidRDefault="00000000">
      <w:pPr>
        <w:spacing w:before="60" w:after="120" w:line="270" w:lineRule="auto"/>
        <w:rPr>
          <w:color w:val="000000" w:themeColor="text1"/>
        </w:rPr>
      </w:pPr>
      <w:r w:rsidRPr="00D655AE">
        <w:rPr>
          <w:b/>
          <w:bCs/>
          <w:color w:val="000000" w:themeColor="text1"/>
          <w:sz w:val="20"/>
          <w:szCs w:val="20"/>
        </w:rPr>
        <w:lastRenderedPageBreak/>
        <w:t>Table S1. Search Terms by Conceptual Domain.</w:t>
      </w:r>
    </w:p>
    <w:p w14:paraId="41228830" w14:textId="77777777" w:rsidR="007732F7" w:rsidRPr="00D655AE" w:rsidRDefault="007732F7">
      <w:pPr>
        <w:spacing w:before="60" w:after="60" w:line="270" w:lineRule="auto"/>
        <w:rPr>
          <w:color w:val="000000" w:themeColor="text1"/>
        </w:rPr>
      </w:pPr>
    </w:p>
    <w:p w14:paraId="64CF8329" w14:textId="77777777" w:rsidR="007732F7" w:rsidRPr="00D655AE" w:rsidRDefault="00000000">
      <w:pPr>
        <w:pStyle w:val="Heading1"/>
        <w:spacing w:after="120"/>
        <w:rPr>
          <w:rFonts w:ascii="Times New Roman" w:hAnsi="Times New Roman" w:cs="Times New Roman"/>
          <w:color w:val="000000" w:themeColor="text1"/>
        </w:rPr>
      </w:pPr>
      <w:r w:rsidRPr="00D655AE">
        <w:rPr>
          <w:rFonts w:ascii="Times New Roman" w:hAnsi="Times New Roman" w:cs="Times New Roman"/>
          <w:color w:val="000000" w:themeColor="text1"/>
        </w:rPr>
        <w:t>S1.3 Grey Literature Sources</w:t>
      </w:r>
    </w:p>
    <w:p w14:paraId="07E7A10D" w14:textId="77777777" w:rsidR="007732F7" w:rsidRPr="00D655AE" w:rsidRDefault="00000000">
      <w:pPr>
        <w:spacing w:before="100" w:after="100" w:line="270" w:lineRule="auto"/>
        <w:rPr>
          <w:color w:val="000000" w:themeColor="text1"/>
        </w:rPr>
      </w:pPr>
      <w:r w:rsidRPr="00D655AE">
        <w:rPr>
          <w:color w:val="000000" w:themeColor="text1"/>
        </w:rPr>
        <w:t>Grey literature was retrieved through targeted searches of the following institutional sources:</w:t>
      </w:r>
    </w:p>
    <w:p w14:paraId="5C1A2B70" w14:textId="0F4F9A10" w:rsidR="007732F7" w:rsidRPr="00D655AE" w:rsidRDefault="00000000">
      <w:pPr>
        <w:pStyle w:val="ListParagraph"/>
        <w:numPr>
          <w:ilvl w:val="0"/>
          <w:numId w:val="2"/>
        </w:numPr>
        <w:spacing w:before="50" w:after="50"/>
        <w:rPr>
          <w:color w:val="000000" w:themeColor="text1"/>
        </w:rPr>
      </w:pPr>
      <w:r w:rsidRPr="00D655AE">
        <w:rPr>
          <w:color w:val="000000" w:themeColor="text1"/>
          <w:sz w:val="20"/>
          <w:szCs w:val="20"/>
        </w:rPr>
        <w:t>World Health Organization (who.int) including the WHO Global Strategy on Digital Health 2020–2025</w:t>
      </w:r>
    </w:p>
    <w:p w14:paraId="73015EF8" w14:textId="77777777" w:rsidR="007732F7" w:rsidRPr="00D655AE" w:rsidRDefault="00000000">
      <w:pPr>
        <w:pStyle w:val="ListParagraph"/>
        <w:numPr>
          <w:ilvl w:val="0"/>
          <w:numId w:val="2"/>
        </w:numPr>
        <w:spacing w:before="50" w:after="50"/>
        <w:rPr>
          <w:color w:val="000000" w:themeColor="text1"/>
        </w:rPr>
      </w:pPr>
      <w:r w:rsidRPr="00D655AE">
        <w:rPr>
          <w:color w:val="000000" w:themeColor="text1"/>
          <w:sz w:val="20"/>
          <w:szCs w:val="20"/>
        </w:rPr>
        <w:t>Ministry of Health and Family Welfare, Government of India (mohfw.gov.in)</w:t>
      </w:r>
    </w:p>
    <w:p w14:paraId="16A556E5" w14:textId="4E4D8762" w:rsidR="007732F7" w:rsidRPr="00D655AE" w:rsidRDefault="00000000">
      <w:pPr>
        <w:pStyle w:val="ListParagraph"/>
        <w:numPr>
          <w:ilvl w:val="0"/>
          <w:numId w:val="2"/>
        </w:numPr>
        <w:spacing w:before="50" w:after="50"/>
        <w:rPr>
          <w:color w:val="000000" w:themeColor="text1"/>
        </w:rPr>
      </w:pPr>
      <w:r w:rsidRPr="00D655AE">
        <w:rPr>
          <w:color w:val="000000" w:themeColor="text1"/>
          <w:sz w:val="20"/>
          <w:szCs w:val="20"/>
        </w:rPr>
        <w:t>National Health Authority, Government of India (abdm.gov.in) including ABDM Annual Reports</w:t>
      </w:r>
    </w:p>
    <w:p w14:paraId="600339F9" w14:textId="77777777" w:rsidR="007732F7" w:rsidRPr="00D655AE" w:rsidRDefault="00000000">
      <w:pPr>
        <w:pStyle w:val="ListParagraph"/>
        <w:numPr>
          <w:ilvl w:val="0"/>
          <w:numId w:val="2"/>
        </w:numPr>
        <w:spacing w:before="50" w:after="50"/>
        <w:rPr>
          <w:color w:val="000000" w:themeColor="text1"/>
        </w:rPr>
      </w:pPr>
      <w:r w:rsidRPr="00D655AE">
        <w:rPr>
          <w:color w:val="000000" w:themeColor="text1"/>
          <w:sz w:val="20"/>
          <w:szCs w:val="20"/>
        </w:rPr>
        <w:t>World Bank digital development publications</w:t>
      </w:r>
    </w:p>
    <w:p w14:paraId="76D3FACB" w14:textId="77777777" w:rsidR="007732F7" w:rsidRPr="00D655AE" w:rsidRDefault="00000000">
      <w:pPr>
        <w:pStyle w:val="ListParagraph"/>
        <w:numPr>
          <w:ilvl w:val="0"/>
          <w:numId w:val="2"/>
        </w:numPr>
        <w:spacing w:before="50" w:after="50"/>
        <w:rPr>
          <w:color w:val="000000" w:themeColor="text1"/>
        </w:rPr>
      </w:pPr>
      <w:r w:rsidRPr="00D655AE">
        <w:rPr>
          <w:color w:val="000000" w:themeColor="text1"/>
          <w:sz w:val="20"/>
          <w:szCs w:val="20"/>
        </w:rPr>
        <w:t>Reference lists of included peer-reviewed publications</w:t>
      </w:r>
    </w:p>
    <w:p w14:paraId="3D4928D2" w14:textId="77777777" w:rsidR="007732F7" w:rsidRPr="00D655AE" w:rsidRDefault="007732F7">
      <w:pPr>
        <w:spacing w:before="60" w:after="60" w:line="270" w:lineRule="auto"/>
        <w:rPr>
          <w:color w:val="000000" w:themeColor="text1"/>
        </w:rPr>
      </w:pPr>
    </w:p>
    <w:p w14:paraId="3AAFC97F" w14:textId="77777777" w:rsidR="007732F7" w:rsidRPr="00D655AE" w:rsidRDefault="00000000">
      <w:pPr>
        <w:pStyle w:val="Heading1"/>
        <w:spacing w:after="120"/>
        <w:rPr>
          <w:rFonts w:ascii="Times New Roman" w:hAnsi="Times New Roman" w:cs="Times New Roman"/>
          <w:color w:val="000000" w:themeColor="text1"/>
        </w:rPr>
      </w:pPr>
      <w:r w:rsidRPr="00D655AE">
        <w:rPr>
          <w:rFonts w:ascii="Times New Roman" w:hAnsi="Times New Roman" w:cs="Times New Roman"/>
          <w:color w:val="000000" w:themeColor="text1"/>
        </w:rPr>
        <w:t>S1.4 Inclusion and Exclusion Criteria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880"/>
        <w:gridCol w:w="3880"/>
      </w:tblGrid>
      <w:tr w:rsidR="00D655AE" w:rsidRPr="00D655AE" w14:paraId="77CDE6B8" w14:textId="77777777" w:rsidTr="00D655AE">
        <w:tc>
          <w:tcPr>
            <w:tcW w:w="16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1D260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Criterion</w:t>
            </w:r>
          </w:p>
        </w:tc>
        <w:tc>
          <w:tcPr>
            <w:tcW w:w="388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805A10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Included</w:t>
            </w:r>
          </w:p>
        </w:tc>
        <w:tc>
          <w:tcPr>
            <w:tcW w:w="388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0BB93B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Excluded</w:t>
            </w:r>
          </w:p>
        </w:tc>
      </w:tr>
      <w:tr w:rsidR="00D655AE" w:rsidRPr="00D655AE" w14:paraId="517ADCF9" w14:textId="77777777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927CA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Study types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84F78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Empirical quantitative and qualitative studies, systematic reviews, scoping reviews, policy analyses, national program evaluations, conceptual or analytical frameworks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D7554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Opinion/editorial pieces without substantive analytical content; conference abstracts without full paper; before 2015; non-English language</w:t>
            </w:r>
          </w:p>
        </w:tc>
      </w:tr>
      <w:tr w:rsidR="00D655AE" w:rsidRPr="00D655AE" w14:paraId="72CD027E" w14:textId="77777777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C24E8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Phenomena of interest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0BA10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Digital health equity and exclusion mechanisms; ethical, legal, or governance challenges in digital health; real-world implementation experiences; policy or conceptual frameworks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ED34D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Technical performance evaluations without equity relevance; hospital IT infrastructure studies unrelated to patient-facing outcomes</w:t>
            </w:r>
          </w:p>
        </w:tc>
      </w:tr>
      <w:tr w:rsidR="00D655AE" w:rsidRPr="00D655AE" w14:paraId="299CDA72" w14:textId="77777777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58D97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Context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5B066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Any healthcare setting or country; emphasis on LMICs and India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FD0B06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Digital divide studies in non-health sectors (banking, education) without linkage to health outcomes</w:t>
            </w:r>
          </w:p>
        </w:tc>
      </w:tr>
      <w:tr w:rsidR="00D655AE" w:rsidRPr="00D655AE" w14:paraId="0287898A" w14:textId="77777777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75053C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Quality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67CA8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No formal quality scoring (narrative design); greater interpretive weight given to recent systematic reviews, large-scale implementation studies, authoritative policy sources</w:t>
            </w:r>
          </w:p>
        </w:tc>
        <w:tc>
          <w:tcPr>
            <w:tcW w:w="38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F8F2CD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Sources without identifiable institutional affiliation; full text not retrievable after two retrieval attempts</w:t>
            </w:r>
          </w:p>
        </w:tc>
      </w:tr>
    </w:tbl>
    <w:p w14:paraId="24B41CDF" w14:textId="77777777" w:rsidR="007732F7" w:rsidRPr="00D655AE" w:rsidRDefault="00000000">
      <w:pPr>
        <w:spacing w:before="60" w:after="120" w:line="270" w:lineRule="auto"/>
        <w:rPr>
          <w:color w:val="000000" w:themeColor="text1"/>
        </w:rPr>
      </w:pPr>
      <w:r w:rsidRPr="00D655AE">
        <w:rPr>
          <w:b/>
          <w:bCs/>
          <w:color w:val="000000" w:themeColor="text1"/>
          <w:sz w:val="20"/>
          <w:szCs w:val="20"/>
        </w:rPr>
        <w:t>Table S2. Inclusion and Exclusion Criteria Applied During Screening.</w:t>
      </w:r>
    </w:p>
    <w:p w14:paraId="2CC45129" w14:textId="77777777" w:rsidR="007732F7" w:rsidRPr="00D655AE" w:rsidRDefault="007732F7">
      <w:pPr>
        <w:spacing w:before="60" w:after="60" w:line="270" w:lineRule="auto"/>
        <w:rPr>
          <w:color w:val="000000" w:themeColor="text1"/>
        </w:rPr>
      </w:pPr>
    </w:p>
    <w:p w14:paraId="026A5A94" w14:textId="77777777" w:rsidR="007732F7" w:rsidRPr="00D655AE" w:rsidRDefault="00000000">
      <w:pPr>
        <w:pStyle w:val="Heading1"/>
        <w:spacing w:after="120"/>
        <w:rPr>
          <w:rFonts w:ascii="Times New Roman" w:hAnsi="Times New Roman" w:cs="Times New Roman"/>
          <w:color w:val="000000" w:themeColor="text1"/>
        </w:rPr>
      </w:pPr>
      <w:r w:rsidRPr="00D655AE">
        <w:rPr>
          <w:rFonts w:ascii="Times New Roman" w:hAnsi="Times New Roman" w:cs="Times New Roman"/>
          <w:color w:val="000000" w:themeColor="text1"/>
        </w:rPr>
        <w:t>S1.5 Literature Flow Diagram</w:t>
      </w:r>
    </w:p>
    <w:p w14:paraId="45219A96" w14:textId="3F63AF6D" w:rsidR="007732F7" w:rsidRPr="00D655AE" w:rsidRDefault="007D4666">
      <w:pPr>
        <w:spacing w:before="140" w:after="60"/>
        <w:jc w:val="center"/>
        <w:rPr>
          <w:color w:val="000000" w:themeColor="text1"/>
        </w:rPr>
      </w:pPr>
      <w:r w:rsidRPr="00D655AE">
        <w:rPr>
          <w:color w:val="000000" w:themeColor="text1"/>
        </w:rPr>
        <w:lastRenderedPageBreak/>
        <w:fldChar w:fldCharType="begin"/>
      </w:r>
      <w:r w:rsidRPr="00D655AE">
        <w:rPr>
          <w:color w:val="000000" w:themeColor="text1"/>
        </w:rPr>
        <w:instrText xml:space="preserve"> INCLUDEPICTURE "/Users/suresh/Library/Group Containers/UBF8T346G9.ms/WebArchiveCopyPasteTempFiles/com.microsoft.Word/2ed28888-c5fd-46e5-9dfb-30802c918f61" \* MERGEFORMATINET </w:instrText>
      </w:r>
      <w:r w:rsidRPr="00D655AE">
        <w:rPr>
          <w:color w:val="000000" w:themeColor="text1"/>
        </w:rPr>
        <w:fldChar w:fldCharType="separate"/>
      </w:r>
      <w:r w:rsidRPr="00D655AE">
        <w:rPr>
          <w:noProof/>
          <w:color w:val="000000" w:themeColor="text1"/>
        </w:rPr>
        <w:drawing>
          <wp:inline distT="0" distB="0" distL="0" distR="0" wp14:anchorId="0C48F9F6" wp14:editId="415C3B2C">
            <wp:extent cx="5943600" cy="3244215"/>
            <wp:effectExtent l="0" t="0" r="0" b="0"/>
            <wp:docPr id="1585641410" name="Picture 1" descr=", AI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, AI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917" cy="326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5AE">
        <w:rPr>
          <w:color w:val="000000" w:themeColor="text1"/>
        </w:rPr>
        <w:fldChar w:fldCharType="end"/>
      </w:r>
    </w:p>
    <w:p w14:paraId="35343686" w14:textId="77777777" w:rsidR="007732F7" w:rsidRPr="00D655AE" w:rsidRDefault="00000000">
      <w:pPr>
        <w:spacing w:before="60" w:after="100" w:line="270" w:lineRule="auto"/>
        <w:rPr>
          <w:color w:val="000000" w:themeColor="text1"/>
        </w:rPr>
      </w:pPr>
      <w:r w:rsidRPr="00D655AE">
        <w:rPr>
          <w:b/>
          <w:bCs/>
          <w:color w:val="000000" w:themeColor="text1"/>
          <w:sz w:val="20"/>
          <w:szCs w:val="20"/>
        </w:rPr>
        <w:t>Supplementary Figure S1. Literature Search Flow Diagram (narrative review; adapted from PRISMA 2020 reporting standards). Note: No AI-assisted screening tools were employed at any stage of the review process. All title/abstract and full-text screening was conducted manually by the authors.</w:t>
      </w:r>
    </w:p>
    <w:p w14:paraId="2F1C8ED8" w14:textId="77777777" w:rsidR="007732F7" w:rsidRPr="00D655AE" w:rsidRDefault="007732F7">
      <w:pPr>
        <w:spacing w:before="60" w:after="60" w:line="270" w:lineRule="auto"/>
        <w:rPr>
          <w:color w:val="000000" w:themeColor="text1"/>
        </w:rPr>
      </w:pPr>
    </w:p>
    <w:p w14:paraId="75A0B7FA" w14:textId="77777777" w:rsidR="007732F7" w:rsidRPr="00D655AE" w:rsidRDefault="00000000">
      <w:pPr>
        <w:pStyle w:val="Heading1"/>
        <w:spacing w:after="120"/>
        <w:rPr>
          <w:rFonts w:ascii="Times New Roman" w:hAnsi="Times New Roman" w:cs="Times New Roman"/>
          <w:color w:val="000000" w:themeColor="text1"/>
        </w:rPr>
      </w:pPr>
      <w:r w:rsidRPr="00D655AE">
        <w:rPr>
          <w:rFonts w:ascii="Times New Roman" w:hAnsi="Times New Roman" w:cs="Times New Roman"/>
          <w:color w:val="000000" w:themeColor="text1"/>
        </w:rPr>
        <w:t>S1.6 Full-Text Exclusion Reasons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4900"/>
        <w:gridCol w:w="2360"/>
      </w:tblGrid>
      <w:tr w:rsidR="00D655AE" w:rsidRPr="00D655AE" w14:paraId="7DC3D23B" w14:textId="77777777" w:rsidTr="00D655AE">
        <w:tc>
          <w:tcPr>
            <w:tcW w:w="21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BEE4E9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Reason</w:t>
            </w:r>
          </w:p>
        </w:tc>
        <w:tc>
          <w:tcPr>
            <w:tcW w:w="49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60987D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Description</w:t>
            </w:r>
          </w:p>
        </w:tc>
        <w:tc>
          <w:tcPr>
            <w:tcW w:w="236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C69EB8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</w:tr>
      <w:tr w:rsidR="00D655AE" w:rsidRPr="00D655AE" w14:paraId="0492AC5C" w14:textId="77777777"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651605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Insufficient equity focus</w:t>
            </w:r>
          </w:p>
        </w:tc>
        <w:tc>
          <w:tcPr>
            <w:tcW w:w="4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AAFEF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Studies addressing digital health technologies but with no substantive equity analysis or consideration of differential outcomes across population subgroups</w:t>
            </w:r>
          </w:p>
        </w:tc>
        <w:tc>
          <w:tcPr>
            <w:tcW w:w="2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C2FCE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18</w:t>
            </w:r>
          </w:p>
        </w:tc>
      </w:tr>
      <w:tr w:rsidR="00D655AE" w:rsidRPr="00D655AE" w14:paraId="1D9F89B3" w14:textId="77777777"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EAF395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Technical performance only</w:t>
            </w:r>
          </w:p>
        </w:tc>
        <w:tc>
          <w:tcPr>
            <w:tcW w:w="4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F4A69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Studies evaluating algorithm accuracy, system performance, or technical specifications without addressing equity dimensions, population subgroup performance, or implementation experience</w:t>
            </w:r>
          </w:p>
        </w:tc>
        <w:tc>
          <w:tcPr>
            <w:tcW w:w="2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266939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14</w:t>
            </w:r>
          </w:p>
        </w:tc>
      </w:tr>
      <w:tr w:rsidR="00D655AE" w:rsidRPr="00D655AE" w14:paraId="24AC9CBC" w14:textId="77777777"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725147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Opinion without analysis</w:t>
            </w:r>
          </w:p>
        </w:tc>
        <w:tc>
          <w:tcPr>
            <w:tcW w:w="4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4BB94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Editorial, commentary, or opinion pieces without substantive analytical framework, empirical data, or systematic evidence review</w:t>
            </w:r>
          </w:p>
        </w:tc>
        <w:tc>
          <w:tcPr>
            <w:tcW w:w="2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BCEBBE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D655AE" w:rsidRPr="00D655AE" w14:paraId="60452D80" w14:textId="77777777"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05A16F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Full text not retrievable</w:t>
            </w:r>
          </w:p>
        </w:tc>
        <w:tc>
          <w:tcPr>
            <w:tcW w:w="4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0ECE3B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Studies meeting eligibility criteria on title/abstract screening but for which full text was unavailable after two retrieval attempts</w:t>
            </w:r>
          </w:p>
        </w:tc>
        <w:tc>
          <w:tcPr>
            <w:tcW w:w="2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0A7C08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D655AE" w:rsidRPr="00D655AE" w14:paraId="111B64EC" w14:textId="77777777"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F653C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49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B918D" w14:textId="77777777" w:rsidR="007732F7" w:rsidRPr="00D655AE" w:rsidRDefault="007732F7">
            <w:pPr>
              <w:spacing w:before="60" w:after="60" w:line="270" w:lineRule="auto"/>
              <w:rPr>
                <w:color w:val="000000" w:themeColor="text1"/>
              </w:rPr>
            </w:pPr>
          </w:p>
        </w:tc>
        <w:tc>
          <w:tcPr>
            <w:tcW w:w="2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BB780" w14:textId="77777777" w:rsidR="007732F7" w:rsidRPr="00D655AE" w:rsidRDefault="00000000">
            <w:pPr>
              <w:spacing w:before="60" w:after="60" w:line="270" w:lineRule="auto"/>
              <w:rPr>
                <w:color w:val="000000" w:themeColor="text1"/>
              </w:rPr>
            </w:pPr>
            <w:r w:rsidRPr="00D655AE">
              <w:rPr>
                <w:b/>
                <w:bCs/>
                <w:color w:val="000000" w:themeColor="text1"/>
                <w:sz w:val="20"/>
                <w:szCs w:val="20"/>
              </w:rPr>
              <w:t>47</w:t>
            </w:r>
          </w:p>
        </w:tc>
      </w:tr>
    </w:tbl>
    <w:p w14:paraId="62FB66C8" w14:textId="77777777" w:rsidR="007732F7" w:rsidRPr="00D655AE" w:rsidRDefault="00000000">
      <w:pPr>
        <w:spacing w:before="60" w:after="100" w:line="270" w:lineRule="auto"/>
        <w:rPr>
          <w:color w:val="000000" w:themeColor="text1"/>
        </w:rPr>
      </w:pPr>
      <w:r w:rsidRPr="00D655AE">
        <w:rPr>
          <w:b/>
          <w:bCs/>
          <w:color w:val="000000" w:themeColor="text1"/>
          <w:sz w:val="20"/>
          <w:szCs w:val="20"/>
        </w:rPr>
        <w:lastRenderedPageBreak/>
        <w:t>Table S3. Reasons for Full-Text Exclusion (n = 47).</w:t>
      </w:r>
    </w:p>
    <w:p w14:paraId="61A2F792" w14:textId="77777777" w:rsidR="007732F7" w:rsidRPr="00D655AE" w:rsidRDefault="007732F7">
      <w:pPr>
        <w:spacing w:before="60" w:after="60" w:line="270" w:lineRule="auto"/>
        <w:rPr>
          <w:color w:val="000000" w:themeColor="text1"/>
        </w:rPr>
      </w:pPr>
    </w:p>
    <w:p w14:paraId="440091FA" w14:textId="77777777" w:rsidR="007732F7" w:rsidRPr="00D655AE" w:rsidRDefault="00000000">
      <w:pPr>
        <w:spacing w:before="100" w:after="100" w:line="270" w:lineRule="auto"/>
        <w:rPr>
          <w:color w:val="000000" w:themeColor="text1"/>
        </w:rPr>
      </w:pPr>
      <w:r w:rsidRPr="00D655AE">
        <w:rPr>
          <w:color w:val="000000" w:themeColor="text1"/>
          <w:sz w:val="20"/>
          <w:szCs w:val="20"/>
        </w:rPr>
        <w:t>The 22 included sources comprise 20 peer-reviewed publications and 2 grey literature/policy documents (WHO Global Strategy on Digital Health 2020–2025 [ref 22]; NHA Annual Report 2022–23 [ref 23]). All included sources are listed in full in the manuscript reference list.</w:t>
      </w:r>
    </w:p>
    <w:sectPr w:rsidR="007732F7" w:rsidRPr="00D655AE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66E2"/>
    <w:multiLevelType w:val="hybridMultilevel"/>
    <w:tmpl w:val="505C5BC6"/>
    <w:lvl w:ilvl="0" w:tplc="3C609AF4">
      <w:start w:val="1"/>
      <w:numFmt w:val="bullet"/>
      <w:lvlText w:val="•"/>
      <w:lvlJc w:val="left"/>
      <w:pPr>
        <w:ind w:left="720" w:hanging="360"/>
      </w:pPr>
    </w:lvl>
    <w:lvl w:ilvl="1" w:tplc="075C994C">
      <w:numFmt w:val="decimal"/>
      <w:lvlText w:val=""/>
      <w:lvlJc w:val="left"/>
    </w:lvl>
    <w:lvl w:ilvl="2" w:tplc="9F10BD22">
      <w:numFmt w:val="decimal"/>
      <w:lvlText w:val=""/>
      <w:lvlJc w:val="left"/>
    </w:lvl>
    <w:lvl w:ilvl="3" w:tplc="70A283E4">
      <w:numFmt w:val="decimal"/>
      <w:lvlText w:val=""/>
      <w:lvlJc w:val="left"/>
    </w:lvl>
    <w:lvl w:ilvl="4" w:tplc="4DC25912">
      <w:numFmt w:val="decimal"/>
      <w:lvlText w:val=""/>
      <w:lvlJc w:val="left"/>
    </w:lvl>
    <w:lvl w:ilvl="5" w:tplc="5E3A5EA2">
      <w:numFmt w:val="decimal"/>
      <w:lvlText w:val=""/>
      <w:lvlJc w:val="left"/>
    </w:lvl>
    <w:lvl w:ilvl="6" w:tplc="CB844316">
      <w:numFmt w:val="decimal"/>
      <w:lvlText w:val=""/>
      <w:lvlJc w:val="left"/>
    </w:lvl>
    <w:lvl w:ilvl="7" w:tplc="1AB03EA2">
      <w:numFmt w:val="decimal"/>
      <w:lvlText w:val=""/>
      <w:lvlJc w:val="left"/>
    </w:lvl>
    <w:lvl w:ilvl="8" w:tplc="1A348CA8">
      <w:numFmt w:val="decimal"/>
      <w:lvlText w:val=""/>
      <w:lvlJc w:val="left"/>
    </w:lvl>
  </w:abstractNum>
  <w:abstractNum w:abstractNumId="1" w15:restartNumberingAfterBreak="0">
    <w:nsid w:val="4E986F7E"/>
    <w:multiLevelType w:val="hybridMultilevel"/>
    <w:tmpl w:val="2CA4F91A"/>
    <w:lvl w:ilvl="0" w:tplc="EA36B6DE">
      <w:start w:val="1"/>
      <w:numFmt w:val="bullet"/>
      <w:lvlText w:val="●"/>
      <w:lvlJc w:val="left"/>
      <w:pPr>
        <w:ind w:left="720" w:hanging="360"/>
      </w:pPr>
    </w:lvl>
    <w:lvl w:ilvl="1" w:tplc="DF42A052">
      <w:start w:val="1"/>
      <w:numFmt w:val="bullet"/>
      <w:lvlText w:val="○"/>
      <w:lvlJc w:val="left"/>
      <w:pPr>
        <w:ind w:left="1440" w:hanging="360"/>
      </w:pPr>
    </w:lvl>
    <w:lvl w:ilvl="2" w:tplc="F0A48D6E">
      <w:start w:val="1"/>
      <w:numFmt w:val="bullet"/>
      <w:lvlText w:val="■"/>
      <w:lvlJc w:val="left"/>
      <w:pPr>
        <w:ind w:left="2160" w:hanging="360"/>
      </w:pPr>
    </w:lvl>
    <w:lvl w:ilvl="3" w:tplc="1D0CA58A">
      <w:start w:val="1"/>
      <w:numFmt w:val="bullet"/>
      <w:lvlText w:val="●"/>
      <w:lvlJc w:val="left"/>
      <w:pPr>
        <w:ind w:left="2880" w:hanging="360"/>
      </w:pPr>
    </w:lvl>
    <w:lvl w:ilvl="4" w:tplc="2A3E0BC0">
      <w:start w:val="1"/>
      <w:numFmt w:val="bullet"/>
      <w:lvlText w:val="○"/>
      <w:lvlJc w:val="left"/>
      <w:pPr>
        <w:ind w:left="3600" w:hanging="360"/>
      </w:pPr>
    </w:lvl>
    <w:lvl w:ilvl="5" w:tplc="07580F0A">
      <w:start w:val="1"/>
      <w:numFmt w:val="bullet"/>
      <w:lvlText w:val="■"/>
      <w:lvlJc w:val="left"/>
      <w:pPr>
        <w:ind w:left="4320" w:hanging="360"/>
      </w:pPr>
    </w:lvl>
    <w:lvl w:ilvl="6" w:tplc="54A0F414">
      <w:start w:val="1"/>
      <w:numFmt w:val="bullet"/>
      <w:lvlText w:val="●"/>
      <w:lvlJc w:val="left"/>
      <w:pPr>
        <w:ind w:left="5040" w:hanging="360"/>
      </w:pPr>
    </w:lvl>
    <w:lvl w:ilvl="7" w:tplc="6248DB52">
      <w:start w:val="1"/>
      <w:numFmt w:val="bullet"/>
      <w:lvlText w:val="●"/>
      <w:lvlJc w:val="left"/>
      <w:pPr>
        <w:ind w:left="5760" w:hanging="360"/>
      </w:pPr>
    </w:lvl>
    <w:lvl w:ilvl="8" w:tplc="61DCC3CE">
      <w:start w:val="1"/>
      <w:numFmt w:val="bullet"/>
      <w:lvlText w:val="●"/>
      <w:lvlJc w:val="left"/>
      <w:pPr>
        <w:ind w:left="6480" w:hanging="360"/>
      </w:pPr>
    </w:lvl>
  </w:abstractNum>
  <w:num w:numId="1" w16cid:durableId="348608668">
    <w:abstractNumId w:val="1"/>
    <w:lvlOverride w:ilvl="0">
      <w:startOverride w:val="1"/>
    </w:lvlOverride>
  </w:num>
  <w:num w:numId="2" w16cid:durableId="4473153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2F7"/>
    <w:rsid w:val="00326F1F"/>
    <w:rsid w:val="00505B51"/>
    <w:rsid w:val="00592CE3"/>
    <w:rsid w:val="006D216F"/>
    <w:rsid w:val="007732F7"/>
    <w:rsid w:val="007D4666"/>
    <w:rsid w:val="00D655AE"/>
    <w:rsid w:val="00D8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363F07"/>
  <w15:docId w15:val="{DDE7260F-C411-5649-B6BD-40122EA4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00"/>
      <w:outlineLvl w:val="0"/>
    </w:pPr>
    <w:rPr>
      <w:rFonts w:ascii="Arial" w:eastAsia="Arial" w:hAnsi="Arial" w:cs="Arial"/>
      <w:b/>
      <w:bCs/>
      <w:color w:val="1F3864"/>
      <w:sz w:val="30"/>
      <w:szCs w:val="30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811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Girish J [MAHE-KMCMLR]</cp:lastModifiedBy>
  <cp:revision>6</cp:revision>
  <dcterms:created xsi:type="dcterms:W3CDTF">2026-04-30T13:52:00Z</dcterms:created>
  <dcterms:modified xsi:type="dcterms:W3CDTF">2026-05-07T10:29:00Z</dcterms:modified>
</cp:coreProperties>
</file>