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55825" w14:textId="698B45F4" w:rsidR="005D4605" w:rsidRPr="005D4605" w:rsidRDefault="007B0556" w:rsidP="005D4605">
      <w:pPr>
        <w:pStyle w:val="Heading2"/>
        <w:rPr>
          <w:rFonts w:ascii="Times New Roman" w:hAnsi="Times New Roman" w:cs="Times New Roman"/>
        </w:rPr>
      </w:pPr>
      <w:r w:rsidRPr="005D4605">
        <w:rPr>
          <w:rFonts w:ascii="Times New Roman" w:hAnsi="Times New Roman" w:cs="Times New Roman"/>
        </w:rPr>
        <w:t xml:space="preserve">Additional File 4: Descriptive </w:t>
      </w:r>
      <w:r w:rsidR="005D4605" w:rsidRPr="005D4605">
        <w:rPr>
          <w:rFonts w:ascii="Times New Roman" w:hAnsi="Times New Roman" w:cs="Times New Roman"/>
        </w:rPr>
        <w:t>and Analytical T</w:t>
      </w:r>
      <w:r w:rsidRPr="005D4605">
        <w:rPr>
          <w:rFonts w:ascii="Times New Roman" w:hAnsi="Times New Roman" w:cs="Times New Roman"/>
        </w:rPr>
        <w:t>hemes</w:t>
      </w:r>
    </w:p>
    <w:tbl>
      <w:tblPr>
        <w:tblStyle w:val="GridTable4-Accent1"/>
        <w:tblW w:w="5000" w:type="pct"/>
        <w:tblLook w:val="04A0" w:firstRow="1" w:lastRow="0" w:firstColumn="1" w:lastColumn="0" w:noHBand="0" w:noVBand="1"/>
      </w:tblPr>
      <w:tblGrid>
        <w:gridCol w:w="1837"/>
        <w:gridCol w:w="7179"/>
      </w:tblGrid>
      <w:tr w:rsidR="007B0556" w:rsidRPr="005D4605" w14:paraId="593E1D7C" w14:textId="77777777" w:rsidTr="007B05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3BD29C60" w14:textId="77777777" w:rsidR="007B0556" w:rsidRPr="005D4605" w:rsidRDefault="007B0556" w:rsidP="006F2040">
            <w:pPr>
              <w:spacing w:line="276" w:lineRule="auto"/>
              <w:rPr>
                <w:sz w:val="20"/>
                <w:szCs w:val="20"/>
              </w:rPr>
            </w:pPr>
            <w:r w:rsidRPr="005D4605">
              <w:rPr>
                <w:sz w:val="20"/>
                <w:szCs w:val="20"/>
              </w:rPr>
              <w:t>Descriptive theme</w:t>
            </w:r>
          </w:p>
        </w:tc>
        <w:tc>
          <w:tcPr>
            <w:tcW w:w="3981" w:type="pct"/>
          </w:tcPr>
          <w:p w14:paraId="19C5EDBD" w14:textId="77777777" w:rsidR="007B0556" w:rsidRPr="005D4605" w:rsidRDefault="007B0556" w:rsidP="006F2040">
            <w:pPr>
              <w:spacing w:line="276" w:lineRule="auto"/>
              <w:cnfStyle w:val="100000000000" w:firstRow="1" w:lastRow="0" w:firstColumn="0" w:lastColumn="0" w:oddVBand="0" w:evenVBand="0" w:oddHBand="0" w:evenHBand="0" w:firstRowFirstColumn="0" w:firstRowLastColumn="0" w:lastRowFirstColumn="0" w:lastRowLastColumn="0"/>
              <w:rPr>
                <w:sz w:val="20"/>
                <w:szCs w:val="20"/>
              </w:rPr>
            </w:pPr>
            <w:r w:rsidRPr="005D4605">
              <w:rPr>
                <w:sz w:val="20"/>
                <w:szCs w:val="20"/>
              </w:rPr>
              <w:t>Explanation</w:t>
            </w:r>
          </w:p>
        </w:tc>
      </w:tr>
      <w:tr w:rsidR="007B0556" w:rsidRPr="005D4605" w14:paraId="1556F356" w14:textId="77777777" w:rsidTr="007B0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3EFE163B" w14:textId="77777777" w:rsidR="007B0556" w:rsidRPr="005D4605" w:rsidRDefault="007B0556" w:rsidP="006F2040">
            <w:pPr>
              <w:spacing w:line="276" w:lineRule="auto"/>
              <w:rPr>
                <w:sz w:val="20"/>
                <w:szCs w:val="20"/>
              </w:rPr>
            </w:pPr>
            <w:r w:rsidRPr="005D4605">
              <w:rPr>
                <w:sz w:val="20"/>
                <w:szCs w:val="20"/>
              </w:rPr>
              <w:t>Cultural and personal identity shifts after resettlement</w:t>
            </w:r>
          </w:p>
        </w:tc>
        <w:tc>
          <w:tcPr>
            <w:tcW w:w="3981" w:type="pct"/>
          </w:tcPr>
          <w:p w14:paraId="34A7BCC3"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Refugees encounter stress balancing cultural heritage with adapting to new norms, often encountering racism, stereotypes, and shifting gender roles. While new opportunities arise (e.g. women accessing work and education), they are complicated by identity loss and distrust from host communities.</w:t>
            </w:r>
          </w:p>
          <w:p w14:paraId="22014AD3"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26A04D28"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Codes:</w:t>
            </w:r>
          </w:p>
          <w:p w14:paraId="6EBCBC76"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 Opportunities for new gender roles</w:t>
            </w:r>
          </w:p>
          <w:p w14:paraId="5996FF44"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2. Stereotypes, racism, and assumptions about refugees</w:t>
            </w:r>
          </w:p>
          <w:p w14:paraId="10CBAC0C"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3. Stress associated with changes to social and cultural norms</w:t>
            </w:r>
          </w:p>
          <w:p w14:paraId="709401C0"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4. Stress of losing and dishonouring cultural heritage</w:t>
            </w:r>
          </w:p>
          <w:p w14:paraId="0054CA1D"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5. Stress of traditional and changing general roles</w:t>
            </w:r>
          </w:p>
          <w:p w14:paraId="0A05F767" w14:textId="77777777" w:rsidR="005D4605" w:rsidRPr="005D4605" w:rsidRDefault="005D4605"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706B26DA" w14:textId="77777777" w:rsidR="005D4605" w:rsidRPr="005D4605" w:rsidRDefault="005D4605" w:rsidP="005D4605">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 xml:space="preserve">Corresponding Analytical Theme/s: </w:t>
            </w:r>
          </w:p>
          <w:p w14:paraId="2577FD02" w14:textId="279CFEBD"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Power of the Social</w:t>
            </w:r>
          </w:p>
          <w:p w14:paraId="79142832" w14:textId="624FABA0"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Domains of Influence</w:t>
            </w:r>
          </w:p>
        </w:tc>
      </w:tr>
      <w:tr w:rsidR="007B0556" w:rsidRPr="005D4605" w14:paraId="43BEBA88" w14:textId="77777777" w:rsidTr="007B0556">
        <w:tc>
          <w:tcPr>
            <w:cnfStyle w:val="001000000000" w:firstRow="0" w:lastRow="0" w:firstColumn="1" w:lastColumn="0" w:oddVBand="0" w:evenVBand="0" w:oddHBand="0" w:evenHBand="0" w:firstRowFirstColumn="0" w:firstRowLastColumn="0" w:lastRowFirstColumn="0" w:lastRowLastColumn="0"/>
            <w:tcW w:w="1019" w:type="pct"/>
          </w:tcPr>
          <w:p w14:paraId="43C1F6BE" w14:textId="77777777" w:rsidR="007B0556" w:rsidRPr="005D4605" w:rsidRDefault="007B0556" w:rsidP="006F2040">
            <w:pPr>
              <w:spacing w:line="276" w:lineRule="auto"/>
              <w:rPr>
                <w:sz w:val="20"/>
                <w:szCs w:val="20"/>
              </w:rPr>
            </w:pPr>
            <w:r w:rsidRPr="005D4605">
              <w:rPr>
                <w:sz w:val="20"/>
                <w:szCs w:val="20"/>
              </w:rPr>
              <w:t>Displacement affects emotional and psychological well-being</w:t>
            </w:r>
          </w:p>
        </w:tc>
        <w:tc>
          <w:tcPr>
            <w:tcW w:w="3981" w:type="pct"/>
          </w:tcPr>
          <w:p w14:paraId="0323C253" w14:textId="19F7C161"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Past trauma, separation from loved ones, and isolation impact refugees' mental health. Stigma and disempowerment discourage help-seeking, and somatisation complicates care, especially in rural areas where mental health services are often scarce.</w:t>
            </w:r>
          </w:p>
          <w:p w14:paraId="0DE2A1D4"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4A66F3EB"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 xml:space="preserve">Codes: </w:t>
            </w:r>
          </w:p>
          <w:p w14:paraId="6AA86E29"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6. Past trauma and its emotional impacts affect daily functioning</w:t>
            </w:r>
          </w:p>
          <w:p w14:paraId="5A971B65"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7. Stress of family, friends and community left behind</w:t>
            </w:r>
          </w:p>
          <w:p w14:paraId="7202DF3C"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29. Negative perceptions of mental health conditions and healthcare</w:t>
            </w:r>
          </w:p>
          <w:p w14:paraId="733AF010"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35. Disempowerment to advocate or change circumstances</w:t>
            </w:r>
          </w:p>
          <w:p w14:paraId="0932F4A4"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51. Stress and challenge of disconnection and loneliness during resettlement</w:t>
            </w:r>
          </w:p>
          <w:p w14:paraId="633DCA46" w14:textId="77777777" w:rsidR="005D4605" w:rsidRPr="005D4605" w:rsidRDefault="005D4605"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79EDFF1D" w14:textId="77777777" w:rsidR="005D4605" w:rsidRPr="005D4605" w:rsidRDefault="005D4605" w:rsidP="005D4605">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Corresponding Analytical Theme/s:</w:t>
            </w:r>
            <w:r w:rsidRPr="005D4605">
              <w:rPr>
                <w:b/>
                <w:bCs/>
                <w:sz w:val="20"/>
                <w:szCs w:val="20"/>
              </w:rPr>
              <w:t xml:space="preserve"> </w:t>
            </w:r>
          </w:p>
          <w:p w14:paraId="537D808F" w14:textId="77777777"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Power of the Social</w:t>
            </w:r>
          </w:p>
          <w:p w14:paraId="37188BFA" w14:textId="5DE0DB6A"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The Rural Effect</w:t>
            </w:r>
          </w:p>
        </w:tc>
      </w:tr>
      <w:tr w:rsidR="007B0556" w:rsidRPr="005D4605" w14:paraId="5DA23442" w14:textId="77777777" w:rsidTr="007B0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0706BC8A" w14:textId="77777777" w:rsidR="007B0556" w:rsidRPr="005D4605" w:rsidRDefault="007B0556" w:rsidP="006F2040">
            <w:pPr>
              <w:spacing w:line="276" w:lineRule="auto"/>
              <w:rPr>
                <w:sz w:val="20"/>
                <w:szCs w:val="20"/>
              </w:rPr>
            </w:pPr>
            <w:r w:rsidRPr="005D4605">
              <w:rPr>
                <w:sz w:val="20"/>
                <w:szCs w:val="20"/>
              </w:rPr>
              <w:t>Language remains a major obstacle</w:t>
            </w:r>
          </w:p>
        </w:tc>
        <w:tc>
          <w:tcPr>
            <w:tcW w:w="3981" w:type="pct"/>
          </w:tcPr>
          <w:p w14:paraId="287BB866"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Limited English proficiency restricts access to healthcare, education, and employment. Learning English is stressful, especially for those with caregiving responsibilities or little formal education, and older refugees may struggle with language barriers long after resettlement.</w:t>
            </w:r>
          </w:p>
          <w:p w14:paraId="2D5DF8B9"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091B989E"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Codes:</w:t>
            </w:r>
          </w:p>
          <w:p w14:paraId="02BA9CD9"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8. Age and carer-responsibilities as a barrier to language learning</w:t>
            </w:r>
          </w:p>
          <w:p w14:paraId="4C1FF431"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10. Lack of education as a barrier to English language learning</w:t>
            </w:r>
          </w:p>
          <w:p w14:paraId="00E7E0F6"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11. Lack of English as a barrier and stressor during resettlement</w:t>
            </w:r>
          </w:p>
          <w:p w14:paraId="5AADE9B9"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12. Role of English language proficiency to successful resettlement</w:t>
            </w:r>
          </w:p>
          <w:p w14:paraId="5CEC4C6D"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13. Stress and challenges of learning English</w:t>
            </w:r>
          </w:p>
          <w:p w14:paraId="703CDE51"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 xml:space="preserve">26. Language barriers impacting access to health services </w:t>
            </w:r>
          </w:p>
          <w:p w14:paraId="556870D3"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 xml:space="preserve">37. Language barriers contributing to non-medical stressors </w:t>
            </w:r>
          </w:p>
          <w:p w14:paraId="508A5BA1" w14:textId="77777777" w:rsidR="005D4605" w:rsidRPr="005D4605" w:rsidRDefault="005D4605" w:rsidP="006F2040">
            <w:pPr>
              <w:cnfStyle w:val="000000100000" w:firstRow="0" w:lastRow="0" w:firstColumn="0" w:lastColumn="0" w:oddVBand="0" w:evenVBand="0" w:oddHBand="1" w:evenHBand="0" w:firstRowFirstColumn="0" w:firstRowLastColumn="0" w:lastRowFirstColumn="0" w:lastRowLastColumn="0"/>
              <w:rPr>
                <w:sz w:val="20"/>
                <w:szCs w:val="20"/>
              </w:rPr>
            </w:pPr>
          </w:p>
          <w:p w14:paraId="66EA1EE8" w14:textId="77777777" w:rsidR="005D4605" w:rsidRPr="005D4605" w:rsidRDefault="005D4605" w:rsidP="005D4605">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 xml:space="preserve">Corresponding Analytical Theme/s: </w:t>
            </w:r>
          </w:p>
          <w:p w14:paraId="6A29B8C4" w14:textId="1437F9A8"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Domains of Influence</w:t>
            </w:r>
          </w:p>
        </w:tc>
      </w:tr>
      <w:tr w:rsidR="007B0556" w:rsidRPr="005D4605" w14:paraId="28893622" w14:textId="77777777" w:rsidTr="007B0556">
        <w:tc>
          <w:tcPr>
            <w:cnfStyle w:val="001000000000" w:firstRow="0" w:lastRow="0" w:firstColumn="1" w:lastColumn="0" w:oddVBand="0" w:evenVBand="0" w:oddHBand="0" w:evenHBand="0" w:firstRowFirstColumn="0" w:firstRowLastColumn="0" w:lastRowFirstColumn="0" w:lastRowLastColumn="0"/>
            <w:tcW w:w="1019" w:type="pct"/>
          </w:tcPr>
          <w:p w14:paraId="32BBA7E3" w14:textId="77777777" w:rsidR="007B0556" w:rsidRPr="005D4605" w:rsidRDefault="007B0556" w:rsidP="006F2040">
            <w:pPr>
              <w:spacing w:line="276" w:lineRule="auto"/>
              <w:rPr>
                <w:sz w:val="20"/>
                <w:szCs w:val="20"/>
              </w:rPr>
            </w:pPr>
            <w:r w:rsidRPr="005D4605">
              <w:rPr>
                <w:sz w:val="20"/>
                <w:szCs w:val="20"/>
              </w:rPr>
              <w:t>Navigating the health system is complex</w:t>
            </w:r>
          </w:p>
        </w:tc>
        <w:tc>
          <w:tcPr>
            <w:tcW w:w="3981" w:type="pct"/>
          </w:tcPr>
          <w:p w14:paraId="6424761F"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Refugees appreciate that healthcare is available but struggle with complex systems, long wait times, and limited services. Mistrust and resource shortages create barriers, though co-located services in rural and regional areas can improve access. Over time, as they learn the new systems refugees integrate traditional and Western health practices.</w:t>
            </w:r>
          </w:p>
          <w:p w14:paraId="65D4681D"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20AB0D1C"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Codes:</w:t>
            </w:r>
          </w:p>
          <w:p w14:paraId="5D22A637"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14. Appreciation that health services are provided compared to home countries</w:t>
            </w:r>
          </w:p>
          <w:p w14:paraId="154F6AEB"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15. Challenges of complex health systems and pathways, including long wait times</w:t>
            </w:r>
          </w:p>
          <w:p w14:paraId="22C5722B"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22. Importance of government funding to facilitate healthcare access, including financial barriers</w:t>
            </w:r>
          </w:p>
          <w:p w14:paraId="0BB9A953"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24. Insufficient health and social support resources for refugees</w:t>
            </w:r>
          </w:p>
          <w:p w14:paraId="6CA1967D"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25. Integration into host health systems, including combining traditional and western healthcare</w:t>
            </w:r>
          </w:p>
          <w:p w14:paraId="54D0CB9C"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31. Refugees falling through health service gaps</w:t>
            </w:r>
          </w:p>
          <w:p w14:paraId="0B15A3DE" w14:textId="77777777" w:rsidR="005D4605" w:rsidRPr="005D4605" w:rsidRDefault="005D4605" w:rsidP="006F2040">
            <w:pPr>
              <w:cnfStyle w:val="000000000000" w:firstRow="0" w:lastRow="0" w:firstColumn="0" w:lastColumn="0" w:oddVBand="0" w:evenVBand="0" w:oddHBand="0" w:evenHBand="0" w:firstRowFirstColumn="0" w:firstRowLastColumn="0" w:lastRowFirstColumn="0" w:lastRowLastColumn="0"/>
              <w:rPr>
                <w:sz w:val="20"/>
                <w:szCs w:val="20"/>
              </w:rPr>
            </w:pPr>
          </w:p>
          <w:p w14:paraId="583C3C03" w14:textId="77777777" w:rsidR="005D4605" w:rsidRPr="005D4605" w:rsidRDefault="005D4605" w:rsidP="005D4605">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 xml:space="preserve">Corresponding Analytical Theme/s: </w:t>
            </w:r>
          </w:p>
          <w:p w14:paraId="56ED2BC2" w14:textId="28527825"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D4605">
              <w:rPr>
                <w:rFonts w:ascii="Times New Roman" w:hAnsi="Times New Roman" w:cs="Times New Roman"/>
                <w:b/>
                <w:bCs/>
                <w:sz w:val="20"/>
                <w:szCs w:val="20"/>
              </w:rPr>
              <w:t>Domains of Influence</w:t>
            </w:r>
          </w:p>
          <w:p w14:paraId="0E17223D" w14:textId="2A43075A"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The Rural Effect</w:t>
            </w:r>
          </w:p>
        </w:tc>
      </w:tr>
      <w:tr w:rsidR="007B0556" w:rsidRPr="005D4605" w14:paraId="1BE4BE7D" w14:textId="77777777" w:rsidTr="007B0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32EE8421" w14:textId="77777777" w:rsidR="007B0556" w:rsidRPr="005D4605" w:rsidRDefault="007B0556" w:rsidP="006F2040">
            <w:pPr>
              <w:spacing w:line="276" w:lineRule="auto"/>
              <w:rPr>
                <w:sz w:val="20"/>
                <w:szCs w:val="20"/>
              </w:rPr>
            </w:pPr>
            <w:r w:rsidRPr="005D4605">
              <w:rPr>
                <w:sz w:val="20"/>
                <w:szCs w:val="20"/>
              </w:rPr>
              <w:lastRenderedPageBreak/>
              <w:t>Care in health settings must be safe, accessible, and culturally appropriate</w:t>
            </w:r>
          </w:p>
        </w:tc>
        <w:tc>
          <w:tcPr>
            <w:tcW w:w="3981" w:type="pct"/>
          </w:tcPr>
          <w:p w14:paraId="034FAE4C"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 xml:space="preserve">Healthcare quality significantly affects refugee experiences. Culturally appropriate, trauma-informed care is often lacking, whilst language barriers and health literacy gaps make care provision difficult. Racism within healthcare settings further erodes trust, compounding the challenge of limited resourcing and leaving community and social networks to fill critical gaps. </w:t>
            </w:r>
          </w:p>
          <w:p w14:paraId="22DE57F4"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46E0E3EA"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Codes:</w:t>
            </w:r>
          </w:p>
          <w:p w14:paraId="3C94624C"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16. Challenges of cultural differences related to healthcare</w:t>
            </w:r>
          </w:p>
          <w:p w14:paraId="238BD2BB"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17. Collective understandings of health</w:t>
            </w:r>
          </w:p>
          <w:p w14:paraId="46201099"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18. Cultural support workers and community members filling service gaps, including opportunities for this</w:t>
            </w:r>
          </w:p>
          <w:p w14:paraId="57298E0E"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21. Importance of culturally appropriate and trauma-informed healthcare</w:t>
            </w:r>
          </w:p>
          <w:p w14:paraId="703B8C12"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 xml:space="preserve">26. Language barriers impacting access to health services </w:t>
            </w:r>
          </w:p>
          <w:p w14:paraId="37797857"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27. Limited health literacy and education as a barrier to care</w:t>
            </w:r>
          </w:p>
          <w:p w14:paraId="4A0A675D"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28. Mistrust of healthcare providers in host community</w:t>
            </w:r>
          </w:p>
          <w:p w14:paraId="0C2C38C0"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 xml:space="preserve">30. Racism and discrimination in healthcare settings </w:t>
            </w:r>
          </w:p>
          <w:p w14:paraId="22D10A1A"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32. Resettlement providers helping refugees access healthcare</w:t>
            </w:r>
          </w:p>
          <w:p w14:paraId="0C24098A" w14:textId="77777777" w:rsidR="005D4605" w:rsidRPr="005D4605" w:rsidRDefault="005D4605" w:rsidP="006F2040">
            <w:pPr>
              <w:cnfStyle w:val="000000100000" w:firstRow="0" w:lastRow="0" w:firstColumn="0" w:lastColumn="0" w:oddVBand="0" w:evenVBand="0" w:oddHBand="1" w:evenHBand="0" w:firstRowFirstColumn="0" w:firstRowLastColumn="0" w:lastRowFirstColumn="0" w:lastRowLastColumn="0"/>
              <w:rPr>
                <w:sz w:val="20"/>
                <w:szCs w:val="20"/>
              </w:rPr>
            </w:pPr>
          </w:p>
          <w:p w14:paraId="5D8EBCF0" w14:textId="77777777" w:rsidR="005D4605" w:rsidRPr="005D4605" w:rsidRDefault="005D4605" w:rsidP="005D4605">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 xml:space="preserve">Corresponding Analytical Theme/s: </w:t>
            </w:r>
          </w:p>
          <w:p w14:paraId="1E124D61" w14:textId="77777777"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Domains of Influence</w:t>
            </w:r>
          </w:p>
          <w:p w14:paraId="1789C8B0" w14:textId="313B12A5"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Power of the Social</w:t>
            </w:r>
          </w:p>
        </w:tc>
      </w:tr>
      <w:tr w:rsidR="007B0556" w:rsidRPr="005D4605" w14:paraId="20EC6DAE" w14:textId="77777777" w:rsidTr="007B0556">
        <w:tc>
          <w:tcPr>
            <w:cnfStyle w:val="001000000000" w:firstRow="0" w:lastRow="0" w:firstColumn="1" w:lastColumn="0" w:oddVBand="0" w:evenVBand="0" w:oddHBand="0" w:evenHBand="0" w:firstRowFirstColumn="0" w:firstRowLastColumn="0" w:lastRowFirstColumn="0" w:lastRowLastColumn="0"/>
            <w:tcW w:w="1019" w:type="pct"/>
          </w:tcPr>
          <w:p w14:paraId="316C7DE1" w14:textId="77777777" w:rsidR="007B0556" w:rsidRPr="005D4605" w:rsidRDefault="007B0556" w:rsidP="006F2040">
            <w:pPr>
              <w:spacing w:line="276" w:lineRule="auto"/>
              <w:rPr>
                <w:sz w:val="20"/>
                <w:szCs w:val="20"/>
              </w:rPr>
            </w:pPr>
            <w:r w:rsidRPr="005D4605">
              <w:rPr>
                <w:sz w:val="20"/>
                <w:szCs w:val="20"/>
              </w:rPr>
              <w:t xml:space="preserve">Employment is key to financial security and healthcare access </w:t>
            </w:r>
          </w:p>
        </w:tc>
        <w:tc>
          <w:tcPr>
            <w:tcW w:w="3981" w:type="pct"/>
          </w:tcPr>
          <w:p w14:paraId="2A25EA9F"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 xml:space="preserve">Employment is key to financial security and healthcare access, yet refugees face employment challenges like qualification non-recognition, unemployment, and financial stress. Volunteering helps build skills but risks exploitation, while age-based education placement hinders career prospects. </w:t>
            </w:r>
          </w:p>
          <w:p w14:paraId="0BA68CFD"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p w14:paraId="0F7B745E" w14:textId="77777777" w:rsidR="007B0556" w:rsidRPr="005D4605" w:rsidRDefault="007B0556" w:rsidP="006F2040">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Codes:</w:t>
            </w:r>
          </w:p>
          <w:p w14:paraId="0E2C054E"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9. Stress from age-based rather than ability-based expectations for educational ability</w:t>
            </w:r>
          </w:p>
          <w:p w14:paraId="49D43BEE"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34. Benefits of employment and volunteering opportunities</w:t>
            </w:r>
          </w:p>
          <w:p w14:paraId="6E0BF4F2"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36. Government role in addressing employment issues</w:t>
            </w:r>
          </w:p>
          <w:p w14:paraId="5BC0DFCC"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40. Stress and challenges of unemployment and education- including unemployment</w:t>
            </w:r>
          </w:p>
          <w:p w14:paraId="115686EE"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41. Stress and challenges of finances</w:t>
            </w:r>
          </w:p>
          <w:p w14:paraId="1589B913" w14:textId="77777777" w:rsidR="007B0556" w:rsidRPr="005D4605" w:rsidRDefault="007B0556" w:rsidP="006F2040">
            <w:pPr>
              <w:cnfStyle w:val="000000000000" w:firstRow="0" w:lastRow="0" w:firstColumn="0" w:lastColumn="0" w:oddVBand="0" w:evenVBand="0" w:oddHBand="0" w:evenHBand="0" w:firstRowFirstColumn="0" w:firstRowLastColumn="0" w:lastRowFirstColumn="0" w:lastRowLastColumn="0"/>
              <w:rPr>
                <w:sz w:val="20"/>
                <w:szCs w:val="20"/>
              </w:rPr>
            </w:pPr>
            <w:r w:rsidRPr="005D4605">
              <w:rPr>
                <w:sz w:val="20"/>
                <w:szCs w:val="20"/>
              </w:rPr>
              <w:t>43. Stress and challenges of not recognising overseas qualifications and education</w:t>
            </w:r>
          </w:p>
          <w:p w14:paraId="5DD8A58B" w14:textId="77777777" w:rsidR="005D4605" w:rsidRPr="005D4605" w:rsidRDefault="005D4605" w:rsidP="006F2040">
            <w:pPr>
              <w:cnfStyle w:val="000000000000" w:firstRow="0" w:lastRow="0" w:firstColumn="0" w:lastColumn="0" w:oddVBand="0" w:evenVBand="0" w:oddHBand="0" w:evenHBand="0" w:firstRowFirstColumn="0" w:firstRowLastColumn="0" w:lastRowFirstColumn="0" w:lastRowLastColumn="0"/>
              <w:rPr>
                <w:sz w:val="20"/>
                <w:szCs w:val="20"/>
              </w:rPr>
            </w:pPr>
          </w:p>
          <w:p w14:paraId="5B53BB82" w14:textId="77777777" w:rsidR="005D4605" w:rsidRPr="005D4605" w:rsidRDefault="005D4605" w:rsidP="005D4605">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5D4605">
              <w:rPr>
                <w:b/>
                <w:bCs/>
                <w:sz w:val="20"/>
                <w:szCs w:val="20"/>
              </w:rPr>
              <w:t xml:space="preserve">Corresponding Analytical Theme/s: </w:t>
            </w:r>
          </w:p>
          <w:p w14:paraId="50E4E86E" w14:textId="77777777"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Domains of Influence</w:t>
            </w:r>
            <w:r w:rsidRPr="005D4605">
              <w:rPr>
                <w:rFonts w:ascii="Times New Roman" w:hAnsi="Times New Roman" w:cs="Times New Roman"/>
                <w:b/>
                <w:bCs/>
                <w:sz w:val="20"/>
                <w:szCs w:val="20"/>
              </w:rPr>
              <w:t xml:space="preserve"> </w:t>
            </w:r>
          </w:p>
          <w:p w14:paraId="3F830891" w14:textId="55059420" w:rsidR="005D4605" w:rsidRPr="005D4605" w:rsidRDefault="005D4605" w:rsidP="005D4605">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The Rural Effect</w:t>
            </w:r>
          </w:p>
        </w:tc>
      </w:tr>
      <w:tr w:rsidR="007B0556" w:rsidRPr="005D4605" w14:paraId="5A9CB9C3" w14:textId="77777777" w:rsidTr="007B05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tcPr>
          <w:p w14:paraId="29387F3C" w14:textId="77777777" w:rsidR="007B0556" w:rsidRPr="005D4605" w:rsidRDefault="007B0556" w:rsidP="006F2040">
            <w:pPr>
              <w:spacing w:line="276" w:lineRule="auto"/>
              <w:rPr>
                <w:sz w:val="20"/>
                <w:szCs w:val="20"/>
              </w:rPr>
            </w:pPr>
            <w:r w:rsidRPr="005D4605">
              <w:rPr>
                <w:sz w:val="20"/>
                <w:szCs w:val="20"/>
              </w:rPr>
              <w:t xml:space="preserve">Housing and transport challenges shape health and access to care </w:t>
            </w:r>
          </w:p>
        </w:tc>
        <w:tc>
          <w:tcPr>
            <w:tcW w:w="3981" w:type="pct"/>
          </w:tcPr>
          <w:p w14:paraId="7775DE29"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Housing shortages, affordability issues, and vast geographic distance impact refugees’ health, wellbeing, and access to care. Limited public transport in rural and regional areas further restricts access. Cultural stereotypes influence housing access, acting as either an enabler or barrier depending on community stereotypes.</w:t>
            </w:r>
          </w:p>
          <w:p w14:paraId="7FD8C207"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p w14:paraId="39987F67" w14:textId="77777777" w:rsidR="007B0556" w:rsidRPr="005D4605" w:rsidRDefault="007B0556" w:rsidP="006F2040">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lastRenderedPageBreak/>
              <w:t>Codes:</w:t>
            </w:r>
          </w:p>
          <w:p w14:paraId="2A5C6BCF"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2. Stereotypes, racism and assumptions about refugees</w:t>
            </w:r>
          </w:p>
          <w:p w14:paraId="36A0B26D"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3. Stress and challenge of travelling to health services</w:t>
            </w:r>
          </w:p>
          <w:p w14:paraId="4DE9CB5A"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4. Limitations of regional areas causing issues</w:t>
            </w:r>
          </w:p>
          <w:p w14:paraId="1D2B07AD"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39. Limited transport options in regional areas causing difficulties</w:t>
            </w:r>
          </w:p>
          <w:p w14:paraId="16D2325F"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42. Stress and challenges of housing access</w:t>
            </w:r>
          </w:p>
          <w:p w14:paraId="27425486" w14:textId="77777777" w:rsidR="007B0556" w:rsidRPr="005D4605" w:rsidRDefault="007B0556" w:rsidP="006F2040">
            <w:pPr>
              <w:cnfStyle w:val="000000100000" w:firstRow="0" w:lastRow="0" w:firstColumn="0" w:lastColumn="0" w:oddVBand="0" w:evenVBand="0" w:oddHBand="1" w:evenHBand="0" w:firstRowFirstColumn="0" w:firstRowLastColumn="0" w:lastRowFirstColumn="0" w:lastRowLastColumn="0"/>
              <w:rPr>
                <w:sz w:val="20"/>
                <w:szCs w:val="20"/>
              </w:rPr>
            </w:pPr>
            <w:r w:rsidRPr="005D4605">
              <w:rPr>
                <w:sz w:val="20"/>
                <w:szCs w:val="20"/>
              </w:rPr>
              <w:t>46. Benefits of cultural stereotyping and community reputation by host communities</w:t>
            </w:r>
          </w:p>
          <w:p w14:paraId="4B6FE471" w14:textId="77777777" w:rsidR="005D4605" w:rsidRPr="005D4605" w:rsidRDefault="005D4605" w:rsidP="006F2040">
            <w:pPr>
              <w:cnfStyle w:val="000000100000" w:firstRow="0" w:lastRow="0" w:firstColumn="0" w:lastColumn="0" w:oddVBand="0" w:evenVBand="0" w:oddHBand="1" w:evenHBand="0" w:firstRowFirstColumn="0" w:firstRowLastColumn="0" w:lastRowFirstColumn="0" w:lastRowLastColumn="0"/>
              <w:rPr>
                <w:sz w:val="20"/>
                <w:szCs w:val="20"/>
              </w:rPr>
            </w:pPr>
          </w:p>
          <w:p w14:paraId="1E9BB1B9" w14:textId="77777777" w:rsidR="005D4605" w:rsidRPr="005D4605" w:rsidRDefault="005D4605" w:rsidP="005D4605">
            <w:pPr>
              <w:spacing w:line="276" w:lineRule="auto"/>
              <w:cnfStyle w:val="000000100000" w:firstRow="0" w:lastRow="0" w:firstColumn="0" w:lastColumn="0" w:oddVBand="0" w:evenVBand="0" w:oddHBand="1" w:evenHBand="0" w:firstRowFirstColumn="0" w:firstRowLastColumn="0" w:lastRowFirstColumn="0" w:lastRowLastColumn="0"/>
              <w:rPr>
                <w:b/>
                <w:bCs/>
                <w:sz w:val="20"/>
                <w:szCs w:val="20"/>
              </w:rPr>
            </w:pPr>
            <w:r w:rsidRPr="005D4605">
              <w:rPr>
                <w:b/>
                <w:bCs/>
                <w:sz w:val="20"/>
                <w:szCs w:val="20"/>
              </w:rPr>
              <w:t xml:space="preserve">Corresponding Analytical Theme/s: </w:t>
            </w:r>
          </w:p>
          <w:p w14:paraId="74AA62AC" w14:textId="77777777"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The Rural Effect</w:t>
            </w:r>
          </w:p>
          <w:p w14:paraId="18E314AC" w14:textId="7E393B71" w:rsidR="005D4605" w:rsidRPr="005D4605" w:rsidRDefault="005D4605" w:rsidP="005D4605">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D4605">
              <w:rPr>
                <w:rFonts w:ascii="Times New Roman" w:hAnsi="Times New Roman" w:cs="Times New Roman"/>
                <w:b/>
                <w:bCs/>
                <w:sz w:val="20"/>
                <w:szCs w:val="20"/>
              </w:rPr>
              <w:t>Domains of Influence</w:t>
            </w:r>
          </w:p>
        </w:tc>
      </w:tr>
    </w:tbl>
    <w:p w14:paraId="5C17EA8A" w14:textId="77777777" w:rsidR="005D4605" w:rsidRPr="005D4605" w:rsidRDefault="005D4605" w:rsidP="005D4605">
      <w:pPr>
        <w:rPr>
          <w:lang w:eastAsia="en-US"/>
        </w:rPr>
      </w:pPr>
    </w:p>
    <w:sectPr w:rsidR="005D4605" w:rsidRPr="005D46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62AA1"/>
    <w:multiLevelType w:val="hybridMultilevel"/>
    <w:tmpl w:val="206E8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3A4EFC"/>
    <w:multiLevelType w:val="hybridMultilevel"/>
    <w:tmpl w:val="BED6C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0074983">
    <w:abstractNumId w:val="0"/>
  </w:num>
  <w:num w:numId="2" w16cid:durableId="70272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56"/>
    <w:rsid w:val="00027194"/>
    <w:rsid w:val="00036F53"/>
    <w:rsid w:val="00060802"/>
    <w:rsid w:val="00065DEA"/>
    <w:rsid w:val="000B4CA1"/>
    <w:rsid w:val="000B7654"/>
    <w:rsid w:val="000C3D09"/>
    <w:rsid w:val="000C620C"/>
    <w:rsid w:val="00115ED9"/>
    <w:rsid w:val="001277BE"/>
    <w:rsid w:val="001E2F93"/>
    <w:rsid w:val="002103E8"/>
    <w:rsid w:val="00227656"/>
    <w:rsid w:val="00247B46"/>
    <w:rsid w:val="00264B24"/>
    <w:rsid w:val="002832E8"/>
    <w:rsid w:val="002B546E"/>
    <w:rsid w:val="002C36E3"/>
    <w:rsid w:val="002F7B7A"/>
    <w:rsid w:val="00301092"/>
    <w:rsid w:val="003019DC"/>
    <w:rsid w:val="00303112"/>
    <w:rsid w:val="0030392C"/>
    <w:rsid w:val="003634C5"/>
    <w:rsid w:val="003D6EB2"/>
    <w:rsid w:val="00426DD3"/>
    <w:rsid w:val="004B2941"/>
    <w:rsid w:val="004D03D4"/>
    <w:rsid w:val="004D1954"/>
    <w:rsid w:val="004D658E"/>
    <w:rsid w:val="004E34B6"/>
    <w:rsid w:val="0050159C"/>
    <w:rsid w:val="005A4581"/>
    <w:rsid w:val="005A6876"/>
    <w:rsid w:val="005D4605"/>
    <w:rsid w:val="005D7361"/>
    <w:rsid w:val="00645E5A"/>
    <w:rsid w:val="0065484B"/>
    <w:rsid w:val="00655E84"/>
    <w:rsid w:val="00656827"/>
    <w:rsid w:val="006858FA"/>
    <w:rsid w:val="00691AF6"/>
    <w:rsid w:val="0069543F"/>
    <w:rsid w:val="006C4687"/>
    <w:rsid w:val="006C71C1"/>
    <w:rsid w:val="006D08FB"/>
    <w:rsid w:val="00736ACF"/>
    <w:rsid w:val="00746F67"/>
    <w:rsid w:val="00747856"/>
    <w:rsid w:val="0074795C"/>
    <w:rsid w:val="0075259A"/>
    <w:rsid w:val="007630ED"/>
    <w:rsid w:val="00770868"/>
    <w:rsid w:val="007B0556"/>
    <w:rsid w:val="007B75E7"/>
    <w:rsid w:val="008175B3"/>
    <w:rsid w:val="00827C96"/>
    <w:rsid w:val="00871F51"/>
    <w:rsid w:val="008914A5"/>
    <w:rsid w:val="00891D7B"/>
    <w:rsid w:val="008A018A"/>
    <w:rsid w:val="008A562E"/>
    <w:rsid w:val="008D5153"/>
    <w:rsid w:val="008E231E"/>
    <w:rsid w:val="009324E5"/>
    <w:rsid w:val="00933BC4"/>
    <w:rsid w:val="00935E13"/>
    <w:rsid w:val="00935ECC"/>
    <w:rsid w:val="00942515"/>
    <w:rsid w:val="009B2872"/>
    <w:rsid w:val="009B4705"/>
    <w:rsid w:val="009C7B17"/>
    <w:rsid w:val="009D0FA5"/>
    <w:rsid w:val="00A37806"/>
    <w:rsid w:val="00A96050"/>
    <w:rsid w:val="00AA42E9"/>
    <w:rsid w:val="00AA63C0"/>
    <w:rsid w:val="00AB37AA"/>
    <w:rsid w:val="00B2477A"/>
    <w:rsid w:val="00C00024"/>
    <w:rsid w:val="00C71071"/>
    <w:rsid w:val="00C97FE1"/>
    <w:rsid w:val="00CC5608"/>
    <w:rsid w:val="00D10164"/>
    <w:rsid w:val="00D23015"/>
    <w:rsid w:val="00D23E24"/>
    <w:rsid w:val="00D34F6A"/>
    <w:rsid w:val="00D34FE8"/>
    <w:rsid w:val="00D54519"/>
    <w:rsid w:val="00DC33D6"/>
    <w:rsid w:val="00DD06FF"/>
    <w:rsid w:val="00DD65DA"/>
    <w:rsid w:val="00DE3800"/>
    <w:rsid w:val="00E43B53"/>
    <w:rsid w:val="00E90ECA"/>
    <w:rsid w:val="00EA2658"/>
    <w:rsid w:val="00EB73B3"/>
    <w:rsid w:val="00EE21E7"/>
    <w:rsid w:val="00EF2AC9"/>
    <w:rsid w:val="00EF2C30"/>
    <w:rsid w:val="00EF6FF2"/>
    <w:rsid w:val="00F05D8D"/>
    <w:rsid w:val="00F15B96"/>
    <w:rsid w:val="00F3464C"/>
    <w:rsid w:val="00F55173"/>
    <w:rsid w:val="00F93882"/>
    <w:rsid w:val="00FC30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6C338B1"/>
  <w15:chartTrackingRefBased/>
  <w15:docId w15:val="{1F976690-A148-E348-B680-8403B2EA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55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7B0556"/>
    <w:pPr>
      <w:keepNext/>
      <w:keepLines/>
      <w:spacing w:before="360" w:after="80"/>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7B0556"/>
    <w:pPr>
      <w:keepNext/>
      <w:keepLines/>
      <w:spacing w:before="160" w:after="80"/>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7B0556"/>
    <w:pPr>
      <w:keepNext/>
      <w:keepLines/>
      <w:spacing w:before="160" w:after="80"/>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7B0556"/>
    <w:pPr>
      <w:keepNext/>
      <w:keepLines/>
      <w:spacing w:before="80" w:after="40"/>
      <w:outlineLvl w:val="3"/>
    </w:pPr>
    <w:rPr>
      <w:rFonts w:asciiTheme="minorHAnsi" w:eastAsiaTheme="majorEastAsia" w:hAnsiTheme="minorHAnsi"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7B0556"/>
    <w:pPr>
      <w:keepNext/>
      <w:keepLines/>
      <w:spacing w:before="80" w:after="40"/>
      <w:outlineLvl w:val="4"/>
    </w:pPr>
    <w:rPr>
      <w:rFonts w:asciiTheme="minorHAnsi" w:eastAsiaTheme="majorEastAsia" w:hAnsiTheme="minorHAnsi"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7B0556"/>
    <w:pPr>
      <w:keepNext/>
      <w:keepLines/>
      <w:spacing w:before="40"/>
      <w:outlineLvl w:val="5"/>
    </w:pPr>
    <w:rPr>
      <w:rFonts w:asciiTheme="minorHAnsi" w:eastAsiaTheme="majorEastAsia" w:hAnsiTheme="minorHAnsi"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7B0556"/>
    <w:pPr>
      <w:keepNext/>
      <w:keepLines/>
      <w:spacing w:before="40"/>
      <w:outlineLvl w:val="6"/>
    </w:pPr>
    <w:rPr>
      <w:rFonts w:asciiTheme="minorHAnsi" w:eastAsiaTheme="majorEastAsia" w:hAnsiTheme="minorHAnsi"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7B0556"/>
    <w:pPr>
      <w:keepNext/>
      <w:keepLines/>
      <w:outlineLvl w:val="7"/>
    </w:pPr>
    <w:rPr>
      <w:rFonts w:asciiTheme="minorHAnsi" w:eastAsiaTheme="majorEastAsia" w:hAnsiTheme="minorHAnsi"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7B0556"/>
    <w:pPr>
      <w:keepNext/>
      <w:keepLines/>
      <w:outlineLvl w:val="8"/>
    </w:pPr>
    <w:rPr>
      <w:rFonts w:asciiTheme="minorHAnsi" w:eastAsiaTheme="majorEastAsia" w:hAnsiTheme="minorHAnsi"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05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0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556"/>
    <w:rPr>
      <w:rFonts w:eastAsiaTheme="majorEastAsia" w:cstheme="majorBidi"/>
      <w:color w:val="272727" w:themeColor="text1" w:themeTint="D8"/>
    </w:rPr>
  </w:style>
  <w:style w:type="paragraph" w:styleId="Title">
    <w:name w:val="Title"/>
    <w:basedOn w:val="Normal"/>
    <w:next w:val="Normal"/>
    <w:link w:val="TitleChar"/>
    <w:uiPriority w:val="10"/>
    <w:qFormat/>
    <w:rsid w:val="007B055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7B0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556"/>
    <w:pPr>
      <w:numPr>
        <w:ilvl w:val="1"/>
      </w:numPr>
      <w:spacing w:after="160"/>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7B0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556"/>
    <w:pPr>
      <w:spacing w:before="160" w:after="160"/>
      <w:jc w:val="center"/>
    </w:pPr>
    <w:rPr>
      <w:rFonts w:asciiTheme="minorHAnsi" w:eastAsiaTheme="minorHAnsi" w:hAnsiTheme="minorHAnsi" w:cstheme="minorBidi"/>
      <w:i/>
      <w:iCs/>
      <w:color w:val="404040" w:themeColor="text1" w:themeTint="BF"/>
      <w:lang w:eastAsia="en-US"/>
    </w:rPr>
  </w:style>
  <w:style w:type="character" w:customStyle="1" w:styleId="QuoteChar">
    <w:name w:val="Quote Char"/>
    <w:basedOn w:val="DefaultParagraphFont"/>
    <w:link w:val="Quote"/>
    <w:uiPriority w:val="29"/>
    <w:rsid w:val="007B0556"/>
    <w:rPr>
      <w:i/>
      <w:iCs/>
      <w:color w:val="404040" w:themeColor="text1" w:themeTint="BF"/>
    </w:rPr>
  </w:style>
  <w:style w:type="paragraph" w:styleId="ListParagraph">
    <w:name w:val="List Paragraph"/>
    <w:basedOn w:val="Normal"/>
    <w:uiPriority w:val="34"/>
    <w:qFormat/>
    <w:rsid w:val="007B0556"/>
    <w:pPr>
      <w:ind w:left="720"/>
      <w:contextualSpacing/>
    </w:pPr>
    <w:rPr>
      <w:rFonts w:asciiTheme="minorHAnsi" w:eastAsiaTheme="minorHAnsi" w:hAnsiTheme="minorHAnsi" w:cstheme="minorBidi"/>
      <w:lang w:eastAsia="en-US"/>
    </w:rPr>
  </w:style>
  <w:style w:type="character" w:styleId="IntenseEmphasis">
    <w:name w:val="Intense Emphasis"/>
    <w:basedOn w:val="DefaultParagraphFont"/>
    <w:uiPriority w:val="21"/>
    <w:qFormat/>
    <w:rsid w:val="007B0556"/>
    <w:rPr>
      <w:i/>
      <w:iCs/>
      <w:color w:val="0F4761" w:themeColor="accent1" w:themeShade="BF"/>
    </w:rPr>
  </w:style>
  <w:style w:type="paragraph" w:styleId="IntenseQuote">
    <w:name w:val="Intense Quote"/>
    <w:basedOn w:val="Normal"/>
    <w:next w:val="Normal"/>
    <w:link w:val="IntenseQuoteChar"/>
    <w:uiPriority w:val="30"/>
    <w:qFormat/>
    <w:rsid w:val="007B055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lang w:eastAsia="en-US"/>
    </w:rPr>
  </w:style>
  <w:style w:type="character" w:customStyle="1" w:styleId="IntenseQuoteChar">
    <w:name w:val="Intense Quote Char"/>
    <w:basedOn w:val="DefaultParagraphFont"/>
    <w:link w:val="IntenseQuote"/>
    <w:uiPriority w:val="30"/>
    <w:rsid w:val="007B0556"/>
    <w:rPr>
      <w:i/>
      <w:iCs/>
      <w:color w:val="0F4761" w:themeColor="accent1" w:themeShade="BF"/>
    </w:rPr>
  </w:style>
  <w:style w:type="character" w:styleId="IntenseReference">
    <w:name w:val="Intense Reference"/>
    <w:basedOn w:val="DefaultParagraphFont"/>
    <w:uiPriority w:val="32"/>
    <w:qFormat/>
    <w:rsid w:val="007B0556"/>
    <w:rPr>
      <w:b/>
      <w:bCs/>
      <w:smallCaps/>
      <w:color w:val="0F4761" w:themeColor="accent1" w:themeShade="BF"/>
      <w:spacing w:val="5"/>
    </w:rPr>
  </w:style>
  <w:style w:type="table" w:styleId="GridTable4-Accent1">
    <w:name w:val="Grid Table 4 Accent 1"/>
    <w:basedOn w:val="TableNormal"/>
    <w:uiPriority w:val="49"/>
    <w:rsid w:val="007B055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900</Words>
  <Characters>5133</Characters>
  <Application>Microsoft Office Word</Application>
  <DocSecurity>0</DocSecurity>
  <Lines>42</Lines>
  <Paragraphs>12</Paragraphs>
  <ScaleCrop>false</ScaleCrop>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Woodward</dc:creator>
  <cp:keywords/>
  <dc:description/>
  <cp:lastModifiedBy>Kathryn Woodward</cp:lastModifiedBy>
  <cp:revision>2</cp:revision>
  <dcterms:created xsi:type="dcterms:W3CDTF">2026-05-12T14:24:00Z</dcterms:created>
  <dcterms:modified xsi:type="dcterms:W3CDTF">2026-05-12T14:24:00Z</dcterms:modified>
</cp:coreProperties>
</file>