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text" w:horzAnchor="margin" w:tblpXSpec="center" w:tblpY="128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1466"/>
        <w:gridCol w:w="1468"/>
        <w:gridCol w:w="1468"/>
        <w:gridCol w:w="1468"/>
        <w:gridCol w:w="2063"/>
      </w:tblGrid>
      <w:tr w:rsidR="00861CBB" w:rsidRPr="00782B82" w14:paraId="420E1BD7" w14:textId="77777777" w:rsidTr="00C11BD0">
        <w:tc>
          <w:tcPr>
            <w:tcW w:w="2268" w:type="dxa"/>
            <w:shd w:val="clear" w:color="auto" w:fill="000000" w:themeFill="text1"/>
          </w:tcPr>
          <w:p w14:paraId="51115D77" w14:textId="77777777" w:rsidR="00861CBB" w:rsidRPr="00782B82" w:rsidRDefault="00861CBB" w:rsidP="00861CBB">
            <w:pPr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782B82">
              <w:rPr>
                <w:b/>
                <w:bCs/>
                <w:color w:val="FFFFFF" w:themeColor="background1"/>
                <w:sz w:val="21"/>
                <w:szCs w:val="21"/>
              </w:rPr>
              <w:t>Variable</w:t>
            </w:r>
          </w:p>
        </w:tc>
        <w:tc>
          <w:tcPr>
            <w:tcW w:w="1466" w:type="dxa"/>
            <w:shd w:val="clear" w:color="auto" w:fill="000000" w:themeFill="text1"/>
          </w:tcPr>
          <w:p w14:paraId="223B7513" w14:textId="722F67D6" w:rsidR="00C11BD0" w:rsidRPr="00782B82" w:rsidRDefault="00861CBB" w:rsidP="00861CBB">
            <w:pPr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782B82">
              <w:rPr>
                <w:b/>
                <w:bCs/>
                <w:color w:val="FFFFFF" w:themeColor="background1"/>
                <w:sz w:val="21"/>
                <w:szCs w:val="21"/>
              </w:rPr>
              <w:t xml:space="preserve">Overall </w:t>
            </w:r>
            <w:proofErr w:type="spellStart"/>
            <w:r w:rsidRPr="00782B82">
              <w:rPr>
                <w:b/>
                <w:bCs/>
                <w:color w:val="FFFFFF" w:themeColor="background1"/>
                <w:sz w:val="21"/>
                <w:szCs w:val="21"/>
              </w:rPr>
              <w:t>cohort</w:t>
            </w:r>
            <w:proofErr w:type="spellEnd"/>
          </w:p>
        </w:tc>
        <w:tc>
          <w:tcPr>
            <w:tcW w:w="4404" w:type="dxa"/>
            <w:gridSpan w:val="3"/>
            <w:shd w:val="clear" w:color="auto" w:fill="000000" w:themeFill="text1"/>
          </w:tcPr>
          <w:p w14:paraId="2AE1C7E8" w14:textId="77777777" w:rsidR="00861CBB" w:rsidRPr="00782B82" w:rsidRDefault="00861CBB" w:rsidP="00861CBB">
            <w:pPr>
              <w:jc w:val="center"/>
              <w:rPr>
                <w:b/>
                <w:bCs/>
                <w:color w:val="FFFFFF" w:themeColor="background1"/>
                <w:sz w:val="21"/>
                <w:szCs w:val="21"/>
                <w:lang w:val="en-US"/>
              </w:rPr>
            </w:pPr>
            <w:proofErr w:type="spellStart"/>
            <w:r w:rsidRPr="00782B82">
              <w:rPr>
                <w:b/>
                <w:bCs/>
                <w:color w:val="FFFFFF" w:themeColor="background1"/>
                <w:sz w:val="21"/>
                <w:szCs w:val="21"/>
                <w:lang w:val="en-US"/>
              </w:rPr>
              <w:t>antiHCV</w:t>
            </w:r>
            <w:proofErr w:type="spellEnd"/>
            <w:r w:rsidRPr="00782B82">
              <w:rPr>
                <w:b/>
                <w:bCs/>
                <w:color w:val="FFFFFF" w:themeColor="background1"/>
                <w:sz w:val="21"/>
                <w:szCs w:val="21"/>
                <w:lang w:val="en-US"/>
              </w:rPr>
              <w:t>- and/or HCV-RNA- subgroup</w:t>
            </w:r>
          </w:p>
          <w:p w14:paraId="5E072162" w14:textId="77777777" w:rsidR="00861CBB" w:rsidRPr="00782B82" w:rsidRDefault="00861CBB" w:rsidP="00861CBB">
            <w:pPr>
              <w:jc w:val="center"/>
              <w:rPr>
                <w:b/>
                <w:bCs/>
                <w:color w:val="FFFFFF" w:themeColor="background1"/>
                <w:sz w:val="21"/>
                <w:szCs w:val="21"/>
                <w:lang w:val="en-US"/>
              </w:rPr>
            </w:pPr>
          </w:p>
        </w:tc>
        <w:tc>
          <w:tcPr>
            <w:tcW w:w="2063" w:type="dxa"/>
            <w:shd w:val="clear" w:color="auto" w:fill="000000" w:themeFill="text1"/>
          </w:tcPr>
          <w:p w14:paraId="52989161" w14:textId="77777777" w:rsidR="00861CBB" w:rsidRPr="00782B82" w:rsidRDefault="00861CBB" w:rsidP="00861CBB">
            <w:pPr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782B82">
              <w:rPr>
                <w:b/>
                <w:bCs/>
                <w:color w:val="FFFFFF" w:themeColor="background1"/>
                <w:sz w:val="21"/>
                <w:szCs w:val="21"/>
              </w:rPr>
              <w:t xml:space="preserve">HCV-RNA+ </w:t>
            </w:r>
            <w:proofErr w:type="spellStart"/>
            <w:r w:rsidRPr="00782B82">
              <w:rPr>
                <w:b/>
                <w:bCs/>
                <w:color w:val="FFFFFF" w:themeColor="background1"/>
                <w:sz w:val="21"/>
                <w:szCs w:val="21"/>
              </w:rPr>
              <w:t>subgroup</w:t>
            </w:r>
            <w:proofErr w:type="spellEnd"/>
          </w:p>
        </w:tc>
      </w:tr>
      <w:tr w:rsidR="00C11BD0" w:rsidRPr="00782B82" w14:paraId="30087501" w14:textId="77777777" w:rsidTr="00C11BD0">
        <w:tc>
          <w:tcPr>
            <w:tcW w:w="2268" w:type="dxa"/>
            <w:shd w:val="clear" w:color="auto" w:fill="000000" w:themeFill="text1"/>
          </w:tcPr>
          <w:p w14:paraId="324EECA2" w14:textId="77777777" w:rsidR="00861CBB" w:rsidRPr="00782B82" w:rsidRDefault="00861CBB" w:rsidP="00861CBB">
            <w:pPr>
              <w:rPr>
                <w:b/>
                <w:bCs/>
                <w:color w:val="FFFFFF" w:themeColor="background1"/>
                <w:sz w:val="21"/>
                <w:szCs w:val="21"/>
              </w:rPr>
            </w:pPr>
          </w:p>
        </w:tc>
        <w:tc>
          <w:tcPr>
            <w:tcW w:w="1466" w:type="dxa"/>
            <w:tcBorders>
              <w:right w:val="single" w:sz="4" w:space="0" w:color="000000"/>
            </w:tcBorders>
            <w:shd w:val="clear" w:color="auto" w:fill="000000" w:themeFill="text1"/>
          </w:tcPr>
          <w:p w14:paraId="18D8E16A" w14:textId="77777777" w:rsidR="00861CBB" w:rsidRPr="00782B82" w:rsidRDefault="00861CBB" w:rsidP="00861CBB">
            <w:pPr>
              <w:rPr>
                <w:b/>
                <w:bCs/>
                <w:color w:val="FFFFFF" w:themeColor="background1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534C5BD3" w14:textId="77777777" w:rsidR="00861CBB" w:rsidRPr="00782B82" w:rsidRDefault="00861CBB" w:rsidP="00861CBB">
            <w:pPr>
              <w:rPr>
                <w:color w:val="FFFFFF" w:themeColor="background1"/>
                <w:sz w:val="21"/>
                <w:szCs w:val="21"/>
                <w:lang w:val="en-US"/>
              </w:rPr>
            </w:pPr>
            <w:proofErr w:type="spellStart"/>
            <w:r w:rsidRPr="00782B82">
              <w:rPr>
                <w:color w:val="FFFFFF" w:themeColor="background1"/>
                <w:sz w:val="21"/>
                <w:szCs w:val="21"/>
                <w:lang w:val="en-US"/>
              </w:rPr>
              <w:t>antiHCV</w:t>
            </w:r>
            <w:proofErr w:type="spellEnd"/>
            <w:r w:rsidRPr="00782B82">
              <w:rPr>
                <w:color w:val="FFFFFF" w:themeColor="background1"/>
                <w:sz w:val="21"/>
                <w:szCs w:val="21"/>
                <w:lang w:val="en-US"/>
              </w:rPr>
              <w:t>-/</w:t>
            </w:r>
          </w:p>
          <w:p w14:paraId="336B8FF6" w14:textId="1104F38C" w:rsidR="00C11BD0" w:rsidRPr="00782B82" w:rsidRDefault="00861CBB" w:rsidP="00861CBB">
            <w:pPr>
              <w:rPr>
                <w:color w:val="FFFFFF" w:themeColor="background1"/>
                <w:sz w:val="21"/>
                <w:szCs w:val="21"/>
                <w:lang w:val="en-US"/>
              </w:rPr>
            </w:pPr>
            <w:r w:rsidRPr="00782B82">
              <w:rPr>
                <w:color w:val="FFFFFF" w:themeColor="background1"/>
                <w:sz w:val="21"/>
                <w:szCs w:val="21"/>
                <w:lang w:val="en-US"/>
              </w:rPr>
              <w:t>no HCV-RNA</w:t>
            </w:r>
          </w:p>
        </w:tc>
        <w:tc>
          <w:tcPr>
            <w:tcW w:w="1468" w:type="dxa"/>
            <w:tcBorders>
              <w:left w:val="single" w:sz="4" w:space="0" w:color="000000"/>
            </w:tcBorders>
            <w:shd w:val="clear" w:color="auto" w:fill="000000" w:themeFill="text1"/>
          </w:tcPr>
          <w:p w14:paraId="407E8FD5" w14:textId="77777777" w:rsidR="00861CBB" w:rsidRPr="00782B82" w:rsidRDefault="00861CBB" w:rsidP="00861CBB">
            <w:pPr>
              <w:rPr>
                <w:color w:val="FFFFFF" w:themeColor="background1"/>
                <w:sz w:val="21"/>
                <w:szCs w:val="21"/>
                <w:lang w:val="en-US"/>
              </w:rPr>
            </w:pPr>
            <w:proofErr w:type="spellStart"/>
            <w:r w:rsidRPr="00782B82">
              <w:rPr>
                <w:color w:val="FFFFFF" w:themeColor="background1"/>
                <w:sz w:val="21"/>
                <w:szCs w:val="21"/>
                <w:lang w:val="en-US"/>
              </w:rPr>
              <w:t>antiHCV</w:t>
            </w:r>
            <w:proofErr w:type="spellEnd"/>
            <w:r w:rsidRPr="00782B82">
              <w:rPr>
                <w:color w:val="FFFFFF" w:themeColor="background1"/>
                <w:sz w:val="21"/>
                <w:szCs w:val="21"/>
                <w:lang w:val="en-US"/>
              </w:rPr>
              <w:t>+/</w:t>
            </w:r>
          </w:p>
          <w:p w14:paraId="5260B273" w14:textId="77777777" w:rsidR="00861CBB" w:rsidRPr="00782B82" w:rsidRDefault="00861CBB" w:rsidP="00861CBB">
            <w:pPr>
              <w:rPr>
                <w:color w:val="FFFFFF" w:themeColor="background1"/>
                <w:sz w:val="21"/>
                <w:szCs w:val="21"/>
                <w:lang w:val="en-US"/>
              </w:rPr>
            </w:pPr>
            <w:r w:rsidRPr="00782B82">
              <w:rPr>
                <w:color w:val="FFFFFF" w:themeColor="background1"/>
                <w:sz w:val="21"/>
                <w:szCs w:val="21"/>
                <w:lang w:val="en-US"/>
              </w:rPr>
              <w:t>HCV-RNA-</w:t>
            </w:r>
          </w:p>
        </w:tc>
        <w:tc>
          <w:tcPr>
            <w:tcW w:w="1468" w:type="dxa"/>
            <w:shd w:val="clear" w:color="auto" w:fill="000000" w:themeFill="text1"/>
          </w:tcPr>
          <w:p w14:paraId="62AAB7F9" w14:textId="77777777" w:rsidR="00861CBB" w:rsidRPr="00782B82" w:rsidRDefault="00861CBB" w:rsidP="00861CBB">
            <w:pPr>
              <w:rPr>
                <w:color w:val="FFFFFF" w:themeColor="background1"/>
                <w:sz w:val="21"/>
                <w:szCs w:val="21"/>
                <w:lang w:val="en-US"/>
              </w:rPr>
            </w:pPr>
            <w:r w:rsidRPr="00782B82">
              <w:rPr>
                <w:color w:val="FFFFFF" w:themeColor="background1"/>
                <w:sz w:val="21"/>
                <w:szCs w:val="21"/>
                <w:lang w:val="en-US"/>
              </w:rPr>
              <w:t xml:space="preserve">no </w:t>
            </w:r>
            <w:proofErr w:type="spellStart"/>
            <w:r w:rsidRPr="00782B82">
              <w:rPr>
                <w:color w:val="FFFFFF" w:themeColor="background1"/>
                <w:sz w:val="21"/>
                <w:szCs w:val="21"/>
                <w:lang w:val="en-US"/>
              </w:rPr>
              <w:t>antiHCV</w:t>
            </w:r>
            <w:proofErr w:type="spellEnd"/>
            <w:r w:rsidRPr="00782B82">
              <w:rPr>
                <w:color w:val="FFFFFF" w:themeColor="background1"/>
                <w:sz w:val="21"/>
                <w:szCs w:val="21"/>
                <w:lang w:val="en-US"/>
              </w:rPr>
              <w:t>/</w:t>
            </w:r>
          </w:p>
          <w:p w14:paraId="4A60AF43" w14:textId="77777777" w:rsidR="00861CBB" w:rsidRPr="00782B82" w:rsidRDefault="00861CBB" w:rsidP="00861CBB">
            <w:pPr>
              <w:rPr>
                <w:color w:val="FFFFFF" w:themeColor="background1"/>
                <w:sz w:val="21"/>
                <w:szCs w:val="21"/>
                <w:lang w:val="en-US"/>
              </w:rPr>
            </w:pPr>
            <w:r w:rsidRPr="00782B82">
              <w:rPr>
                <w:color w:val="FFFFFF" w:themeColor="background1"/>
                <w:sz w:val="21"/>
                <w:szCs w:val="21"/>
                <w:lang w:val="en-US"/>
              </w:rPr>
              <w:t>HCV-RNA-</w:t>
            </w:r>
          </w:p>
        </w:tc>
        <w:tc>
          <w:tcPr>
            <w:tcW w:w="2063" w:type="dxa"/>
            <w:shd w:val="clear" w:color="auto" w:fill="000000" w:themeFill="text1"/>
          </w:tcPr>
          <w:p w14:paraId="7A307514" w14:textId="77777777" w:rsidR="00861CBB" w:rsidRPr="00782B82" w:rsidRDefault="00861CBB" w:rsidP="00861CBB">
            <w:pPr>
              <w:rPr>
                <w:b/>
                <w:bCs/>
                <w:color w:val="FFFFFF" w:themeColor="background1"/>
                <w:sz w:val="21"/>
                <w:szCs w:val="21"/>
              </w:rPr>
            </w:pPr>
          </w:p>
        </w:tc>
      </w:tr>
      <w:tr w:rsidR="00C11BD0" w:rsidRPr="00782B82" w14:paraId="7812E652" w14:textId="77777777" w:rsidTr="00C11BD0">
        <w:tc>
          <w:tcPr>
            <w:tcW w:w="2268" w:type="dxa"/>
            <w:shd w:val="clear" w:color="auto" w:fill="000000" w:themeFill="text1"/>
          </w:tcPr>
          <w:p w14:paraId="4F7D8134" w14:textId="77777777" w:rsidR="00861CBB" w:rsidRPr="00782B82" w:rsidRDefault="00861CBB" w:rsidP="00861CBB">
            <w:pPr>
              <w:rPr>
                <w:color w:val="FFFFFF" w:themeColor="background1"/>
                <w:sz w:val="21"/>
                <w:szCs w:val="21"/>
              </w:rPr>
            </w:pPr>
            <w:r w:rsidRPr="00782B82">
              <w:rPr>
                <w:color w:val="FFFFFF" w:themeColor="background1"/>
                <w:sz w:val="21"/>
                <w:szCs w:val="21"/>
              </w:rPr>
              <w:t>n (%)</w:t>
            </w:r>
          </w:p>
        </w:tc>
        <w:tc>
          <w:tcPr>
            <w:tcW w:w="1466" w:type="dxa"/>
            <w:tcBorders>
              <w:right w:val="single" w:sz="4" w:space="0" w:color="000000"/>
            </w:tcBorders>
            <w:shd w:val="clear" w:color="auto" w:fill="000000" w:themeFill="text1"/>
          </w:tcPr>
          <w:p w14:paraId="1CD27991" w14:textId="77777777" w:rsidR="00861CBB" w:rsidRPr="00782B82" w:rsidRDefault="00861CBB" w:rsidP="00861CBB">
            <w:pPr>
              <w:rPr>
                <w:color w:val="FFFFFF" w:themeColor="background1"/>
                <w:sz w:val="21"/>
                <w:szCs w:val="21"/>
              </w:rPr>
            </w:pPr>
            <w:r w:rsidRPr="00782B82">
              <w:rPr>
                <w:color w:val="FFFFFF" w:themeColor="background1"/>
                <w:sz w:val="21"/>
                <w:szCs w:val="21"/>
              </w:rPr>
              <w:t>238 (100)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518E62B4" w14:textId="77777777" w:rsidR="00861CBB" w:rsidRPr="00782B82" w:rsidRDefault="00861CBB" w:rsidP="00861CBB">
            <w:pPr>
              <w:rPr>
                <w:color w:val="FFFFFF" w:themeColor="background1"/>
                <w:sz w:val="21"/>
                <w:szCs w:val="21"/>
              </w:rPr>
            </w:pPr>
            <w:r w:rsidRPr="00782B82">
              <w:rPr>
                <w:color w:val="FFFFFF" w:themeColor="background1"/>
                <w:sz w:val="21"/>
                <w:szCs w:val="21"/>
              </w:rPr>
              <w:t>102 (42.9)</w:t>
            </w:r>
          </w:p>
        </w:tc>
        <w:tc>
          <w:tcPr>
            <w:tcW w:w="1468" w:type="dxa"/>
            <w:tcBorders>
              <w:left w:val="single" w:sz="4" w:space="0" w:color="000000"/>
            </w:tcBorders>
            <w:shd w:val="clear" w:color="auto" w:fill="000000" w:themeFill="text1"/>
          </w:tcPr>
          <w:p w14:paraId="5E6D619D" w14:textId="77777777" w:rsidR="00861CBB" w:rsidRPr="00782B82" w:rsidRDefault="00861CBB" w:rsidP="00861CBB">
            <w:pPr>
              <w:rPr>
                <w:color w:val="FFFFFF" w:themeColor="background1"/>
                <w:sz w:val="21"/>
                <w:szCs w:val="21"/>
              </w:rPr>
            </w:pPr>
            <w:r w:rsidRPr="00782B82">
              <w:rPr>
                <w:color w:val="FFFFFF" w:themeColor="background1"/>
                <w:sz w:val="21"/>
                <w:szCs w:val="21"/>
              </w:rPr>
              <w:t>63 (26.5)</w:t>
            </w:r>
          </w:p>
        </w:tc>
        <w:tc>
          <w:tcPr>
            <w:tcW w:w="1468" w:type="dxa"/>
            <w:shd w:val="clear" w:color="auto" w:fill="000000" w:themeFill="text1"/>
          </w:tcPr>
          <w:p w14:paraId="2546B627" w14:textId="77777777" w:rsidR="00861CBB" w:rsidRPr="00782B82" w:rsidRDefault="00861CBB" w:rsidP="00861CBB">
            <w:pPr>
              <w:rPr>
                <w:color w:val="FFFFFF" w:themeColor="background1"/>
                <w:sz w:val="21"/>
                <w:szCs w:val="21"/>
              </w:rPr>
            </w:pPr>
            <w:r w:rsidRPr="00782B82">
              <w:rPr>
                <w:color w:val="FFFFFF" w:themeColor="background1"/>
                <w:sz w:val="21"/>
                <w:szCs w:val="21"/>
              </w:rPr>
              <w:t>3 (1.3)</w:t>
            </w:r>
          </w:p>
        </w:tc>
        <w:tc>
          <w:tcPr>
            <w:tcW w:w="2063" w:type="dxa"/>
            <w:shd w:val="clear" w:color="auto" w:fill="000000" w:themeFill="text1"/>
          </w:tcPr>
          <w:p w14:paraId="24C6C226" w14:textId="77777777" w:rsidR="00861CBB" w:rsidRPr="00782B82" w:rsidRDefault="00861CBB" w:rsidP="00861CBB">
            <w:pPr>
              <w:rPr>
                <w:color w:val="FFFFFF" w:themeColor="background1"/>
                <w:sz w:val="21"/>
                <w:szCs w:val="21"/>
              </w:rPr>
            </w:pPr>
            <w:r w:rsidRPr="00782B82">
              <w:rPr>
                <w:color w:val="FFFFFF" w:themeColor="background1"/>
                <w:sz w:val="21"/>
                <w:szCs w:val="21"/>
              </w:rPr>
              <w:t>53 (22.3)</w:t>
            </w:r>
          </w:p>
        </w:tc>
      </w:tr>
      <w:tr w:rsidR="00782B82" w:rsidRPr="00782B82" w14:paraId="42253516" w14:textId="77777777" w:rsidTr="00C11BD0">
        <w:tc>
          <w:tcPr>
            <w:tcW w:w="2268" w:type="dxa"/>
            <w:shd w:val="clear" w:color="auto" w:fill="auto"/>
          </w:tcPr>
          <w:p w14:paraId="081AD2AD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Age [median (IQR)]</w:t>
            </w:r>
          </w:p>
        </w:tc>
        <w:tc>
          <w:tcPr>
            <w:tcW w:w="1466" w:type="dxa"/>
            <w:shd w:val="clear" w:color="auto" w:fill="auto"/>
          </w:tcPr>
          <w:p w14:paraId="0810E622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30.0 (27.0; 34.0)</w:t>
            </w:r>
          </w:p>
        </w:tc>
        <w:tc>
          <w:tcPr>
            <w:tcW w:w="1468" w:type="dxa"/>
            <w:tcBorders>
              <w:top w:val="single" w:sz="4" w:space="0" w:color="000000"/>
            </w:tcBorders>
            <w:shd w:val="clear" w:color="auto" w:fill="auto"/>
          </w:tcPr>
          <w:p w14:paraId="0B594B12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29.0 (25.0; 32.0)</w:t>
            </w:r>
          </w:p>
        </w:tc>
        <w:tc>
          <w:tcPr>
            <w:tcW w:w="1468" w:type="dxa"/>
            <w:shd w:val="clear" w:color="auto" w:fill="auto"/>
          </w:tcPr>
          <w:p w14:paraId="7BA1A529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30.0 (27.0; 34.0)</w:t>
            </w:r>
          </w:p>
        </w:tc>
        <w:tc>
          <w:tcPr>
            <w:tcW w:w="1468" w:type="dxa"/>
            <w:shd w:val="clear" w:color="auto" w:fill="auto"/>
          </w:tcPr>
          <w:p w14:paraId="034A1BDF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  <w:vertAlign w:val="superscript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 xml:space="preserve">28.0 (26.0; </w:t>
            </w:r>
            <w:proofErr w:type="gramStart"/>
            <w:r w:rsidRPr="00782B82">
              <w:rPr>
                <w:color w:val="000000" w:themeColor="text1"/>
                <w:sz w:val="21"/>
                <w:szCs w:val="21"/>
              </w:rPr>
              <w:t>30.0)</w:t>
            </w:r>
            <w:r w:rsidRPr="00782B82">
              <w:rPr>
                <w:color w:val="000000" w:themeColor="text1"/>
                <w:sz w:val="21"/>
                <w:szCs w:val="21"/>
                <w:vertAlign w:val="superscript"/>
              </w:rPr>
              <w:t>b</w:t>
            </w:r>
            <w:proofErr w:type="gramEnd"/>
          </w:p>
        </w:tc>
        <w:tc>
          <w:tcPr>
            <w:tcW w:w="2063" w:type="dxa"/>
            <w:shd w:val="clear" w:color="auto" w:fill="auto"/>
          </w:tcPr>
          <w:p w14:paraId="4D1BE4CC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31.0 (27.0; 32.0)</w:t>
            </w:r>
          </w:p>
        </w:tc>
      </w:tr>
      <w:tr w:rsidR="00782B82" w:rsidRPr="00782B82" w14:paraId="403BE6E8" w14:textId="77777777" w:rsidTr="00C11BD0">
        <w:tc>
          <w:tcPr>
            <w:tcW w:w="2268" w:type="dxa"/>
            <w:shd w:val="clear" w:color="auto" w:fill="auto"/>
          </w:tcPr>
          <w:p w14:paraId="287268B5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  <w:vertAlign w:val="superscript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HIV coinfection [n (%)]</w:t>
            </w:r>
          </w:p>
        </w:tc>
        <w:tc>
          <w:tcPr>
            <w:tcW w:w="1466" w:type="dxa"/>
            <w:shd w:val="clear" w:color="auto" w:fill="auto"/>
          </w:tcPr>
          <w:p w14:paraId="4827A7D1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10/211 (4.7)</w:t>
            </w:r>
          </w:p>
        </w:tc>
        <w:tc>
          <w:tcPr>
            <w:tcW w:w="1468" w:type="dxa"/>
            <w:shd w:val="clear" w:color="auto" w:fill="auto"/>
          </w:tcPr>
          <w:p w14:paraId="345DE261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0/89 (0.0)</w:t>
            </w:r>
          </w:p>
        </w:tc>
        <w:tc>
          <w:tcPr>
            <w:tcW w:w="1468" w:type="dxa"/>
            <w:shd w:val="clear" w:color="auto" w:fill="auto"/>
          </w:tcPr>
          <w:p w14:paraId="10C27AD5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6/60 (10.0)</w:t>
            </w:r>
          </w:p>
        </w:tc>
        <w:tc>
          <w:tcPr>
            <w:tcW w:w="1468" w:type="dxa"/>
            <w:shd w:val="clear" w:color="auto" w:fill="auto"/>
          </w:tcPr>
          <w:p w14:paraId="0FEEFDD2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0/2 (0.0)</w:t>
            </w:r>
          </w:p>
        </w:tc>
        <w:tc>
          <w:tcPr>
            <w:tcW w:w="2063" w:type="dxa"/>
            <w:shd w:val="clear" w:color="auto" w:fill="auto"/>
          </w:tcPr>
          <w:p w14:paraId="5E8C1CDB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4/47 (8.5)</w:t>
            </w:r>
          </w:p>
        </w:tc>
      </w:tr>
      <w:tr w:rsidR="00782B82" w:rsidRPr="00782B82" w14:paraId="50FE25DB" w14:textId="77777777" w:rsidTr="00C11BD0">
        <w:tc>
          <w:tcPr>
            <w:tcW w:w="2268" w:type="dxa"/>
            <w:shd w:val="clear" w:color="auto" w:fill="auto"/>
          </w:tcPr>
          <w:p w14:paraId="55163AF5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  <w:vertAlign w:val="superscript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HBV coinfection [n (%)]</w:t>
            </w:r>
          </w:p>
        </w:tc>
        <w:tc>
          <w:tcPr>
            <w:tcW w:w="1466" w:type="dxa"/>
            <w:shd w:val="clear" w:color="auto" w:fill="auto"/>
          </w:tcPr>
          <w:p w14:paraId="50E09954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4/237 (1.7)</w:t>
            </w:r>
          </w:p>
        </w:tc>
        <w:tc>
          <w:tcPr>
            <w:tcW w:w="1468" w:type="dxa"/>
            <w:shd w:val="clear" w:color="auto" w:fill="auto"/>
          </w:tcPr>
          <w:p w14:paraId="5366FA90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1/102 (1.0)</w:t>
            </w:r>
          </w:p>
        </w:tc>
        <w:tc>
          <w:tcPr>
            <w:tcW w:w="1468" w:type="dxa"/>
            <w:shd w:val="clear" w:color="auto" w:fill="auto"/>
          </w:tcPr>
          <w:p w14:paraId="30A7585B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3/63 (4.8)</w:t>
            </w:r>
          </w:p>
        </w:tc>
        <w:tc>
          <w:tcPr>
            <w:tcW w:w="1468" w:type="dxa"/>
            <w:shd w:val="clear" w:color="auto" w:fill="auto"/>
          </w:tcPr>
          <w:p w14:paraId="1EF56012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0/3 (0.0)</w:t>
            </w:r>
          </w:p>
        </w:tc>
        <w:tc>
          <w:tcPr>
            <w:tcW w:w="2063" w:type="dxa"/>
            <w:shd w:val="clear" w:color="auto" w:fill="auto"/>
          </w:tcPr>
          <w:p w14:paraId="4673512E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0/53 (0.0)</w:t>
            </w:r>
          </w:p>
        </w:tc>
      </w:tr>
      <w:tr w:rsidR="00782B82" w:rsidRPr="00782B82" w14:paraId="0118AC90" w14:textId="77777777" w:rsidTr="00C11BD0">
        <w:tc>
          <w:tcPr>
            <w:tcW w:w="2268" w:type="dxa"/>
            <w:shd w:val="clear" w:color="auto" w:fill="auto"/>
          </w:tcPr>
          <w:p w14:paraId="40FF1BB9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  <w:vertAlign w:val="superscript"/>
              </w:rPr>
            </w:pPr>
            <w:proofErr w:type="spellStart"/>
            <w:r w:rsidRPr="00782B82">
              <w:rPr>
                <w:color w:val="000000" w:themeColor="text1"/>
                <w:sz w:val="21"/>
                <w:szCs w:val="21"/>
              </w:rPr>
              <w:t>AntiHCV</w:t>
            </w:r>
            <w:proofErr w:type="spellEnd"/>
            <w:r w:rsidRPr="00782B82">
              <w:rPr>
                <w:color w:val="000000" w:themeColor="text1"/>
                <w:sz w:val="21"/>
                <w:szCs w:val="21"/>
              </w:rPr>
              <w:t>+</w:t>
            </w:r>
            <w:r w:rsidRPr="00782B82">
              <w:rPr>
                <w:color w:val="000000" w:themeColor="text1"/>
                <w:sz w:val="21"/>
                <w:szCs w:val="21"/>
                <w:vertAlign w:val="superscript"/>
                <w:lang w:val="en-US"/>
              </w:rPr>
              <w:t xml:space="preserve"> </w:t>
            </w:r>
            <w:r w:rsidRPr="00782B82">
              <w:rPr>
                <w:color w:val="000000" w:themeColor="text1"/>
                <w:sz w:val="21"/>
                <w:szCs w:val="21"/>
              </w:rPr>
              <w:t>[n (%)]</w:t>
            </w:r>
          </w:p>
        </w:tc>
        <w:tc>
          <w:tcPr>
            <w:tcW w:w="1466" w:type="dxa"/>
            <w:shd w:val="clear" w:color="auto" w:fill="auto"/>
          </w:tcPr>
          <w:p w14:paraId="15D767E5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116/218 (53.2)</w:t>
            </w:r>
          </w:p>
        </w:tc>
        <w:tc>
          <w:tcPr>
            <w:tcW w:w="1468" w:type="dxa"/>
            <w:shd w:val="clear" w:color="auto" w:fill="auto"/>
          </w:tcPr>
          <w:p w14:paraId="03B96DF3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0/102 (0.0)</w:t>
            </w:r>
          </w:p>
        </w:tc>
        <w:tc>
          <w:tcPr>
            <w:tcW w:w="1468" w:type="dxa"/>
            <w:shd w:val="clear" w:color="auto" w:fill="auto"/>
          </w:tcPr>
          <w:p w14:paraId="7BBBA7C4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63/63 (100)</w:t>
            </w:r>
          </w:p>
        </w:tc>
        <w:tc>
          <w:tcPr>
            <w:tcW w:w="1468" w:type="dxa"/>
            <w:shd w:val="clear" w:color="auto" w:fill="auto"/>
          </w:tcPr>
          <w:p w14:paraId="691FF5A6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0/3 (0.0)</w:t>
            </w:r>
          </w:p>
        </w:tc>
        <w:tc>
          <w:tcPr>
            <w:tcW w:w="2063" w:type="dxa"/>
            <w:shd w:val="clear" w:color="auto" w:fill="auto"/>
          </w:tcPr>
          <w:p w14:paraId="0A1FCD6E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47/47 (100)</w:t>
            </w:r>
          </w:p>
        </w:tc>
      </w:tr>
      <w:tr w:rsidR="00782B82" w:rsidRPr="00782B82" w14:paraId="13B250D0" w14:textId="77777777" w:rsidTr="00C11BD0">
        <w:tc>
          <w:tcPr>
            <w:tcW w:w="2268" w:type="dxa"/>
            <w:shd w:val="clear" w:color="auto" w:fill="auto"/>
          </w:tcPr>
          <w:p w14:paraId="2AA0BB3F" w14:textId="77777777" w:rsidR="00861CBB" w:rsidRPr="00782B82" w:rsidRDefault="00861CBB" w:rsidP="00861CBB">
            <w:pPr>
              <w:jc w:val="both"/>
              <w:rPr>
                <w:color w:val="000000" w:themeColor="text1"/>
                <w:sz w:val="21"/>
                <w:szCs w:val="21"/>
                <w:vertAlign w:val="superscript"/>
                <w:lang w:val="en-US"/>
              </w:rPr>
            </w:pPr>
            <w:r w:rsidRPr="00782B82">
              <w:rPr>
                <w:color w:val="000000" w:themeColor="text1"/>
                <w:sz w:val="21"/>
                <w:szCs w:val="21"/>
                <w:lang w:val="en-US"/>
              </w:rPr>
              <w:t>Opioid agonist therapy [n (%)]</w:t>
            </w:r>
          </w:p>
        </w:tc>
        <w:tc>
          <w:tcPr>
            <w:tcW w:w="1466" w:type="dxa"/>
            <w:shd w:val="clear" w:color="auto" w:fill="auto"/>
          </w:tcPr>
          <w:p w14:paraId="733C3CCC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207/235 (88.1)</w:t>
            </w:r>
          </w:p>
        </w:tc>
        <w:tc>
          <w:tcPr>
            <w:tcW w:w="1468" w:type="dxa"/>
            <w:shd w:val="clear" w:color="auto" w:fill="auto"/>
          </w:tcPr>
          <w:p w14:paraId="68F54C70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84/101 (83.2)</w:t>
            </w:r>
          </w:p>
        </w:tc>
        <w:tc>
          <w:tcPr>
            <w:tcW w:w="1468" w:type="dxa"/>
            <w:shd w:val="clear" w:color="auto" w:fill="auto"/>
          </w:tcPr>
          <w:p w14:paraId="258263B1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59/62 (95.2)</w:t>
            </w:r>
          </w:p>
        </w:tc>
        <w:tc>
          <w:tcPr>
            <w:tcW w:w="1468" w:type="dxa"/>
            <w:shd w:val="clear" w:color="auto" w:fill="auto"/>
          </w:tcPr>
          <w:p w14:paraId="16375292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3/3 (100)</w:t>
            </w:r>
          </w:p>
        </w:tc>
        <w:tc>
          <w:tcPr>
            <w:tcW w:w="2063" w:type="dxa"/>
            <w:shd w:val="clear" w:color="auto" w:fill="auto"/>
          </w:tcPr>
          <w:p w14:paraId="636779A3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50/53 (94.3)</w:t>
            </w:r>
          </w:p>
        </w:tc>
      </w:tr>
      <w:tr w:rsidR="00782B82" w:rsidRPr="00782B82" w14:paraId="7510681F" w14:textId="77777777" w:rsidTr="00C11BD0">
        <w:tc>
          <w:tcPr>
            <w:tcW w:w="2268" w:type="dxa"/>
            <w:shd w:val="clear" w:color="auto" w:fill="auto"/>
          </w:tcPr>
          <w:p w14:paraId="3AD2F2EF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  <w:vertAlign w:val="superscript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 xml:space="preserve">Tobacco </w:t>
            </w:r>
            <w:proofErr w:type="spellStart"/>
            <w:r w:rsidRPr="00782B82">
              <w:rPr>
                <w:color w:val="000000" w:themeColor="text1"/>
                <w:sz w:val="21"/>
                <w:szCs w:val="21"/>
              </w:rPr>
              <w:t>use</w:t>
            </w:r>
            <w:proofErr w:type="spellEnd"/>
            <w:r w:rsidRPr="00782B82">
              <w:rPr>
                <w:color w:val="000000" w:themeColor="text1"/>
                <w:sz w:val="21"/>
                <w:szCs w:val="21"/>
              </w:rPr>
              <w:t xml:space="preserve"> [n (%)]</w:t>
            </w:r>
          </w:p>
        </w:tc>
        <w:tc>
          <w:tcPr>
            <w:tcW w:w="1466" w:type="dxa"/>
            <w:shd w:val="clear" w:color="auto" w:fill="auto"/>
          </w:tcPr>
          <w:p w14:paraId="49BE9D94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151/205 (73.7)</w:t>
            </w:r>
          </w:p>
        </w:tc>
        <w:tc>
          <w:tcPr>
            <w:tcW w:w="1468" w:type="dxa"/>
            <w:shd w:val="clear" w:color="auto" w:fill="auto"/>
          </w:tcPr>
          <w:p w14:paraId="30B0200B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64/89 (71.9)</w:t>
            </w:r>
          </w:p>
        </w:tc>
        <w:tc>
          <w:tcPr>
            <w:tcW w:w="1468" w:type="dxa"/>
            <w:shd w:val="clear" w:color="auto" w:fill="auto"/>
          </w:tcPr>
          <w:p w14:paraId="6FCA0156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40/57 (70.2)</w:t>
            </w:r>
          </w:p>
        </w:tc>
        <w:tc>
          <w:tcPr>
            <w:tcW w:w="1468" w:type="dxa"/>
            <w:shd w:val="clear" w:color="auto" w:fill="auto"/>
          </w:tcPr>
          <w:p w14:paraId="33A23B0D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2/2 (100)</w:t>
            </w:r>
          </w:p>
        </w:tc>
        <w:tc>
          <w:tcPr>
            <w:tcW w:w="2063" w:type="dxa"/>
            <w:shd w:val="clear" w:color="auto" w:fill="auto"/>
          </w:tcPr>
          <w:p w14:paraId="71C03078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34/45 (75.6)</w:t>
            </w:r>
          </w:p>
        </w:tc>
      </w:tr>
      <w:tr w:rsidR="00782B82" w:rsidRPr="00782B82" w14:paraId="781CA31F" w14:textId="77777777" w:rsidTr="00C11BD0">
        <w:tc>
          <w:tcPr>
            <w:tcW w:w="2268" w:type="dxa"/>
            <w:shd w:val="clear" w:color="auto" w:fill="auto"/>
          </w:tcPr>
          <w:p w14:paraId="11776945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  <w:vertAlign w:val="superscript"/>
              </w:rPr>
            </w:pPr>
            <w:proofErr w:type="spellStart"/>
            <w:r w:rsidRPr="00782B82">
              <w:rPr>
                <w:color w:val="000000" w:themeColor="text1"/>
                <w:sz w:val="21"/>
                <w:szCs w:val="21"/>
              </w:rPr>
              <w:t>Stable</w:t>
            </w:r>
            <w:proofErr w:type="spellEnd"/>
            <w:r w:rsidRPr="00782B82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782B82">
              <w:rPr>
                <w:color w:val="000000" w:themeColor="text1"/>
                <w:sz w:val="21"/>
                <w:szCs w:val="21"/>
              </w:rPr>
              <w:t>housing</w:t>
            </w:r>
            <w:proofErr w:type="spellEnd"/>
            <w:r w:rsidRPr="00782B82">
              <w:rPr>
                <w:color w:val="000000" w:themeColor="text1"/>
                <w:sz w:val="21"/>
                <w:szCs w:val="21"/>
              </w:rPr>
              <w:t xml:space="preserve"> [n (%)]</w:t>
            </w:r>
          </w:p>
        </w:tc>
        <w:tc>
          <w:tcPr>
            <w:tcW w:w="1466" w:type="dxa"/>
            <w:shd w:val="clear" w:color="auto" w:fill="auto"/>
          </w:tcPr>
          <w:p w14:paraId="2D0E4739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206/234 (88.0)</w:t>
            </w:r>
          </w:p>
        </w:tc>
        <w:tc>
          <w:tcPr>
            <w:tcW w:w="1468" w:type="dxa"/>
            <w:shd w:val="clear" w:color="auto" w:fill="auto"/>
          </w:tcPr>
          <w:p w14:paraId="17CF104E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90/101 (89.1)</w:t>
            </w:r>
          </w:p>
        </w:tc>
        <w:tc>
          <w:tcPr>
            <w:tcW w:w="1468" w:type="dxa"/>
            <w:shd w:val="clear" w:color="auto" w:fill="auto"/>
          </w:tcPr>
          <w:p w14:paraId="7DB13575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57/62 (91.9)</w:t>
            </w:r>
          </w:p>
        </w:tc>
        <w:tc>
          <w:tcPr>
            <w:tcW w:w="1468" w:type="dxa"/>
            <w:shd w:val="clear" w:color="auto" w:fill="auto"/>
          </w:tcPr>
          <w:p w14:paraId="125CC164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2/3 (66.7)</w:t>
            </w:r>
          </w:p>
        </w:tc>
        <w:tc>
          <w:tcPr>
            <w:tcW w:w="2063" w:type="dxa"/>
            <w:shd w:val="clear" w:color="auto" w:fill="auto"/>
          </w:tcPr>
          <w:p w14:paraId="0B73E4C9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42/53 (79.2)</w:t>
            </w:r>
          </w:p>
        </w:tc>
      </w:tr>
      <w:tr w:rsidR="00782B82" w:rsidRPr="00782B82" w14:paraId="3F739B6E" w14:textId="77777777" w:rsidTr="00C11BD0">
        <w:tc>
          <w:tcPr>
            <w:tcW w:w="2268" w:type="dxa"/>
            <w:shd w:val="clear" w:color="auto" w:fill="auto"/>
          </w:tcPr>
          <w:p w14:paraId="7DAACDA0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  <w:vertAlign w:val="superscript"/>
                <w:lang w:val="en-US"/>
              </w:rPr>
            </w:pPr>
            <w:r w:rsidRPr="00782B82">
              <w:rPr>
                <w:color w:val="000000" w:themeColor="text1"/>
                <w:sz w:val="21"/>
                <w:szCs w:val="21"/>
                <w:lang w:val="en-US"/>
              </w:rPr>
              <w:t>Adherence to Austrian routine prenatal care [n (%)]</w:t>
            </w:r>
          </w:p>
        </w:tc>
        <w:tc>
          <w:tcPr>
            <w:tcW w:w="1466" w:type="dxa"/>
            <w:shd w:val="clear" w:color="auto" w:fill="auto"/>
          </w:tcPr>
          <w:p w14:paraId="1C9F6C96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187/211 (88.6)</w:t>
            </w:r>
          </w:p>
        </w:tc>
        <w:tc>
          <w:tcPr>
            <w:tcW w:w="1468" w:type="dxa"/>
            <w:shd w:val="clear" w:color="auto" w:fill="auto"/>
          </w:tcPr>
          <w:p w14:paraId="2B157AE7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84/96 (87.5)</w:t>
            </w:r>
          </w:p>
        </w:tc>
        <w:tc>
          <w:tcPr>
            <w:tcW w:w="1468" w:type="dxa"/>
            <w:shd w:val="clear" w:color="auto" w:fill="auto"/>
          </w:tcPr>
          <w:p w14:paraId="7218C389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56/60 (93.3)</w:t>
            </w:r>
          </w:p>
        </w:tc>
        <w:tc>
          <w:tcPr>
            <w:tcW w:w="1468" w:type="dxa"/>
            <w:shd w:val="clear" w:color="auto" w:fill="auto"/>
          </w:tcPr>
          <w:p w14:paraId="3B1253E2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3/3 (100)</w:t>
            </w:r>
          </w:p>
        </w:tc>
        <w:tc>
          <w:tcPr>
            <w:tcW w:w="2063" w:type="dxa"/>
            <w:shd w:val="clear" w:color="auto" w:fill="auto"/>
          </w:tcPr>
          <w:p w14:paraId="4928DB58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36/39 (92.3)</w:t>
            </w:r>
          </w:p>
        </w:tc>
      </w:tr>
      <w:tr w:rsidR="00782B82" w:rsidRPr="00782B82" w14:paraId="68C50F79" w14:textId="77777777" w:rsidTr="00C11BD0">
        <w:tc>
          <w:tcPr>
            <w:tcW w:w="2268" w:type="dxa"/>
            <w:shd w:val="clear" w:color="auto" w:fill="auto"/>
          </w:tcPr>
          <w:p w14:paraId="511EAA58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  <w:vertAlign w:val="superscript"/>
                <w:lang w:val="en-US"/>
              </w:rPr>
            </w:pPr>
            <w:r w:rsidRPr="00782B82">
              <w:rPr>
                <w:color w:val="000000" w:themeColor="text1"/>
                <w:sz w:val="21"/>
                <w:szCs w:val="21"/>
                <w:lang w:val="en-US"/>
              </w:rPr>
              <w:t>Parity [median (IQR</w:t>
            </w:r>
            <w:proofErr w:type="gramStart"/>
            <w:r w:rsidRPr="00782B82">
              <w:rPr>
                <w:color w:val="000000" w:themeColor="text1"/>
                <w:sz w:val="21"/>
                <w:szCs w:val="21"/>
                <w:lang w:val="en-US"/>
              </w:rPr>
              <w:t>)]</w:t>
            </w:r>
            <w:r w:rsidRPr="00782B82">
              <w:rPr>
                <w:color w:val="000000" w:themeColor="text1"/>
                <w:sz w:val="21"/>
                <w:szCs w:val="21"/>
                <w:vertAlign w:val="superscript"/>
                <w:lang w:val="en-US"/>
              </w:rPr>
              <w:t>a</w:t>
            </w:r>
            <w:proofErr w:type="gramEnd"/>
          </w:p>
        </w:tc>
        <w:tc>
          <w:tcPr>
            <w:tcW w:w="1466" w:type="dxa"/>
            <w:shd w:val="clear" w:color="auto" w:fill="auto"/>
          </w:tcPr>
          <w:p w14:paraId="2079D494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2 (1.0; 3.0)</w:t>
            </w:r>
          </w:p>
        </w:tc>
        <w:tc>
          <w:tcPr>
            <w:tcW w:w="1468" w:type="dxa"/>
            <w:shd w:val="clear" w:color="auto" w:fill="auto"/>
          </w:tcPr>
          <w:p w14:paraId="7CDCE6BD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2 (1.0; 3.0)</w:t>
            </w:r>
          </w:p>
        </w:tc>
        <w:tc>
          <w:tcPr>
            <w:tcW w:w="1468" w:type="dxa"/>
            <w:shd w:val="clear" w:color="auto" w:fill="auto"/>
          </w:tcPr>
          <w:p w14:paraId="418CCA9C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2 (1.0; 3.0)</w:t>
            </w:r>
          </w:p>
        </w:tc>
        <w:tc>
          <w:tcPr>
            <w:tcW w:w="1468" w:type="dxa"/>
            <w:shd w:val="clear" w:color="auto" w:fill="auto"/>
          </w:tcPr>
          <w:p w14:paraId="51459684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 xml:space="preserve">2 (2; </w:t>
            </w:r>
            <w:proofErr w:type="gramStart"/>
            <w:r w:rsidRPr="00782B82">
              <w:rPr>
                <w:color w:val="000000" w:themeColor="text1"/>
                <w:sz w:val="21"/>
                <w:szCs w:val="21"/>
              </w:rPr>
              <w:t>3)</w:t>
            </w:r>
            <w:r w:rsidRPr="00782B82">
              <w:rPr>
                <w:color w:val="000000" w:themeColor="text1"/>
                <w:sz w:val="21"/>
                <w:szCs w:val="21"/>
                <w:vertAlign w:val="superscript"/>
              </w:rPr>
              <w:t>b</w:t>
            </w:r>
            <w:proofErr w:type="gramEnd"/>
          </w:p>
        </w:tc>
        <w:tc>
          <w:tcPr>
            <w:tcW w:w="2063" w:type="dxa"/>
            <w:shd w:val="clear" w:color="auto" w:fill="auto"/>
          </w:tcPr>
          <w:p w14:paraId="75AC299B" w14:textId="77777777" w:rsidR="00861CBB" w:rsidRPr="00782B82" w:rsidRDefault="00861CBB" w:rsidP="00861CBB">
            <w:pPr>
              <w:rPr>
                <w:color w:val="000000" w:themeColor="text1"/>
                <w:sz w:val="21"/>
                <w:szCs w:val="21"/>
              </w:rPr>
            </w:pPr>
            <w:r w:rsidRPr="00782B82">
              <w:rPr>
                <w:color w:val="000000" w:themeColor="text1"/>
                <w:sz w:val="21"/>
                <w:szCs w:val="21"/>
              </w:rPr>
              <w:t>2 (1.0; 2.5)</w:t>
            </w:r>
          </w:p>
        </w:tc>
      </w:tr>
    </w:tbl>
    <w:p w14:paraId="2F78B1EA" w14:textId="3ECB33E8" w:rsidR="00861CBB" w:rsidRPr="00782B82" w:rsidRDefault="00861CBB" w:rsidP="00861CBB">
      <w:pPr>
        <w:spacing w:line="480" w:lineRule="auto"/>
        <w:rPr>
          <w:b/>
          <w:bCs/>
          <w:color w:val="000000" w:themeColor="text1"/>
          <w:lang w:val="en-US"/>
        </w:rPr>
      </w:pPr>
      <w:r w:rsidRPr="00782B82">
        <w:rPr>
          <w:b/>
          <w:bCs/>
          <w:color w:val="000000" w:themeColor="text1"/>
          <w:lang w:val="en-US"/>
        </w:rPr>
        <w:t xml:space="preserve">Supplementary </w:t>
      </w:r>
      <w:r w:rsidRPr="00782B82">
        <w:rPr>
          <w:b/>
          <w:bCs/>
          <w:color w:val="000000" w:themeColor="text1"/>
          <w:lang w:val="en-US"/>
        </w:rPr>
        <w:t>Table-1: Baseline characteristics of the maternal cohort</w:t>
      </w:r>
      <w:r w:rsidRPr="00782B82">
        <w:rPr>
          <w:b/>
          <w:bCs/>
          <w:color w:val="000000" w:themeColor="text1"/>
          <w:lang w:val="en-US"/>
        </w:rPr>
        <w:t xml:space="preserve"> according to </w:t>
      </w:r>
      <w:proofErr w:type="spellStart"/>
      <w:r w:rsidRPr="00782B82">
        <w:rPr>
          <w:b/>
          <w:bCs/>
          <w:color w:val="000000" w:themeColor="text1"/>
          <w:lang w:val="en-US"/>
        </w:rPr>
        <w:t>antiHCV</w:t>
      </w:r>
      <w:proofErr w:type="spellEnd"/>
      <w:r w:rsidRPr="00782B82">
        <w:rPr>
          <w:b/>
          <w:bCs/>
          <w:color w:val="000000" w:themeColor="text1"/>
          <w:lang w:val="en-US"/>
        </w:rPr>
        <w:t xml:space="preserve"> and/or HCV-RNA status</w:t>
      </w:r>
      <w:r w:rsidRPr="00782B82">
        <w:rPr>
          <w:b/>
          <w:bCs/>
          <w:color w:val="000000" w:themeColor="text1"/>
          <w:lang w:val="en-US"/>
        </w:rPr>
        <w:t>.</w:t>
      </w:r>
    </w:p>
    <w:p w14:paraId="30AE468B" w14:textId="77777777" w:rsidR="00782B82" w:rsidRPr="00782B82" w:rsidRDefault="00782B82" w:rsidP="00782B82">
      <w:pPr>
        <w:spacing w:line="480" w:lineRule="auto"/>
        <w:rPr>
          <w:i/>
          <w:iCs/>
          <w:sz w:val="21"/>
          <w:szCs w:val="21"/>
          <w:lang w:val="en-US"/>
        </w:rPr>
      </w:pPr>
      <w:r w:rsidRPr="00782B82">
        <w:rPr>
          <w:i/>
          <w:iCs/>
          <w:color w:val="000000" w:themeColor="text1"/>
          <w:sz w:val="21"/>
          <w:szCs w:val="21"/>
          <w:lang w:val="en-US"/>
        </w:rPr>
        <w:t>Abbreviations: HCV, hepatitis C virus; RNA, ribonucleic acid; HIV, human immunodefic</w:t>
      </w:r>
      <w:r w:rsidRPr="00782B82">
        <w:rPr>
          <w:i/>
          <w:iCs/>
          <w:sz w:val="21"/>
          <w:szCs w:val="21"/>
          <w:lang w:val="en-US"/>
        </w:rPr>
        <w:t>iency virus; HBV, hepatitis B virus.</w:t>
      </w:r>
    </w:p>
    <w:p w14:paraId="1574F06E" w14:textId="77777777" w:rsidR="00782B82" w:rsidRPr="00782B82" w:rsidRDefault="00782B82" w:rsidP="00782B82">
      <w:pPr>
        <w:spacing w:line="480" w:lineRule="auto"/>
        <w:rPr>
          <w:i/>
          <w:iCs/>
          <w:sz w:val="21"/>
          <w:szCs w:val="21"/>
          <w:lang w:val="en-US"/>
        </w:rPr>
      </w:pPr>
    </w:p>
    <w:p w14:paraId="28D518E4" w14:textId="77777777" w:rsidR="00782B82" w:rsidRPr="00782B82" w:rsidRDefault="00782B82" w:rsidP="00782B82">
      <w:pPr>
        <w:spacing w:line="480" w:lineRule="auto"/>
        <w:rPr>
          <w:sz w:val="21"/>
          <w:szCs w:val="21"/>
          <w:lang w:val="en-US"/>
        </w:rPr>
      </w:pPr>
      <w:r w:rsidRPr="00782B82">
        <w:rPr>
          <w:sz w:val="21"/>
          <w:szCs w:val="21"/>
          <w:vertAlign w:val="superscript"/>
          <w:lang w:val="en-US"/>
        </w:rPr>
        <w:t xml:space="preserve">a </w:t>
      </w:r>
      <w:r w:rsidRPr="00782B82">
        <w:rPr>
          <w:sz w:val="21"/>
          <w:szCs w:val="21"/>
          <w:lang w:val="en-US"/>
        </w:rPr>
        <w:t>Data available in 232 patients from the overall cohort, in 101 patients from the "</w:t>
      </w:r>
      <w:proofErr w:type="spellStart"/>
      <w:r w:rsidRPr="00782B82">
        <w:rPr>
          <w:sz w:val="21"/>
          <w:szCs w:val="21"/>
          <w:lang w:val="en-US"/>
        </w:rPr>
        <w:t>antiHCV</w:t>
      </w:r>
      <w:proofErr w:type="spellEnd"/>
      <w:r w:rsidRPr="00782B82">
        <w:rPr>
          <w:sz w:val="21"/>
          <w:szCs w:val="21"/>
          <w:lang w:val="en-US"/>
        </w:rPr>
        <w:t xml:space="preserve">-/no HCV-RNA" </w:t>
      </w:r>
      <w:proofErr w:type="gramStart"/>
      <w:r w:rsidRPr="00782B82">
        <w:rPr>
          <w:sz w:val="21"/>
          <w:szCs w:val="21"/>
          <w:lang w:val="en-US"/>
        </w:rPr>
        <w:t>subgroup,  in</w:t>
      </w:r>
      <w:proofErr w:type="gramEnd"/>
      <w:r w:rsidRPr="00782B82">
        <w:rPr>
          <w:sz w:val="21"/>
          <w:szCs w:val="21"/>
          <w:lang w:val="en-US"/>
        </w:rPr>
        <w:t xml:space="preserve"> 62 patients from the "</w:t>
      </w:r>
      <w:proofErr w:type="spellStart"/>
      <w:r w:rsidRPr="00782B82">
        <w:rPr>
          <w:sz w:val="21"/>
          <w:szCs w:val="21"/>
          <w:lang w:val="en-US"/>
        </w:rPr>
        <w:t>antiHCV</w:t>
      </w:r>
      <w:proofErr w:type="spellEnd"/>
      <w:r w:rsidRPr="00782B82">
        <w:rPr>
          <w:sz w:val="21"/>
          <w:szCs w:val="21"/>
          <w:lang w:val="en-US"/>
        </w:rPr>
        <w:t xml:space="preserve">+/HCV-RNA-" subgroup, in 3 patients from the "no </w:t>
      </w:r>
      <w:proofErr w:type="spellStart"/>
      <w:r w:rsidRPr="00782B82">
        <w:rPr>
          <w:sz w:val="21"/>
          <w:szCs w:val="21"/>
          <w:lang w:val="en-US"/>
        </w:rPr>
        <w:t>antiHCV</w:t>
      </w:r>
      <w:proofErr w:type="spellEnd"/>
      <w:r w:rsidRPr="00782B82">
        <w:rPr>
          <w:sz w:val="21"/>
          <w:szCs w:val="21"/>
          <w:lang w:val="en-US"/>
        </w:rPr>
        <w:t>/HCV-RNA-" subgroup, and in 52 patients from the HCV-RNA+ subgroup.</w:t>
      </w:r>
    </w:p>
    <w:p w14:paraId="1228A6DE" w14:textId="77777777" w:rsidR="00782B82" w:rsidRPr="00937D50" w:rsidRDefault="00782B82" w:rsidP="00782B82">
      <w:pPr>
        <w:spacing w:line="480" w:lineRule="auto"/>
        <w:rPr>
          <w:sz w:val="21"/>
          <w:szCs w:val="21"/>
          <w:lang w:val="en-US"/>
        </w:rPr>
      </w:pPr>
      <w:r w:rsidRPr="00782B82">
        <w:rPr>
          <w:sz w:val="21"/>
          <w:szCs w:val="21"/>
          <w:vertAlign w:val="superscript"/>
          <w:lang w:val="en-US"/>
        </w:rPr>
        <w:t xml:space="preserve">b </w:t>
      </w:r>
      <w:proofErr w:type="gramStart"/>
      <w:r w:rsidRPr="00782B82">
        <w:rPr>
          <w:sz w:val="21"/>
          <w:szCs w:val="21"/>
          <w:lang w:val="en-US"/>
        </w:rPr>
        <w:t>As</w:t>
      </w:r>
      <w:proofErr w:type="gramEnd"/>
      <w:r w:rsidRPr="00782B82">
        <w:rPr>
          <w:sz w:val="21"/>
          <w:szCs w:val="21"/>
          <w:lang w:val="en-US"/>
        </w:rPr>
        <w:t xml:space="preserve"> the "no </w:t>
      </w:r>
      <w:proofErr w:type="spellStart"/>
      <w:r w:rsidRPr="00782B82">
        <w:rPr>
          <w:sz w:val="21"/>
          <w:szCs w:val="21"/>
          <w:lang w:val="en-US"/>
        </w:rPr>
        <w:t>antiHCV</w:t>
      </w:r>
      <w:proofErr w:type="spellEnd"/>
      <w:r w:rsidRPr="00782B82">
        <w:rPr>
          <w:sz w:val="21"/>
          <w:szCs w:val="21"/>
          <w:lang w:val="en-US"/>
        </w:rPr>
        <w:t>/HCV-RNA-" subgroup only included 3 patients, continuous variables were reported as median and range instead of interquartile range because the sample size was too small for a meaningful IQR.</w:t>
      </w:r>
    </w:p>
    <w:p w14:paraId="68CAED0C" w14:textId="77777777" w:rsidR="00861CBB" w:rsidRDefault="00861CBB" w:rsidP="00782B82">
      <w:pPr>
        <w:spacing w:line="480" w:lineRule="auto"/>
        <w:rPr>
          <w:b/>
          <w:bCs/>
          <w:lang w:val="en-US"/>
        </w:rPr>
      </w:pPr>
    </w:p>
    <w:p w14:paraId="0C0C4304" w14:textId="77777777" w:rsidR="00861CBB" w:rsidRPr="00E00235" w:rsidRDefault="00861CBB" w:rsidP="00782B82">
      <w:pPr>
        <w:spacing w:line="480" w:lineRule="auto"/>
        <w:rPr>
          <w:b/>
          <w:bCs/>
          <w:lang w:val="en-US"/>
        </w:rPr>
      </w:pPr>
    </w:p>
    <w:p w14:paraId="5AA1D0BC" w14:textId="77777777" w:rsidR="00F4320C" w:rsidRPr="00861CBB" w:rsidRDefault="00F4320C">
      <w:pPr>
        <w:rPr>
          <w:lang w:val="en-US"/>
        </w:rPr>
      </w:pPr>
    </w:p>
    <w:sectPr w:rsidR="00F4320C" w:rsidRPr="00861CB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0C4322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35597444">
    <w:abstractNumId w:val="0"/>
  </w:num>
  <w:num w:numId="2" w16cid:durableId="1759326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C38"/>
    <w:rsid w:val="00055291"/>
    <w:rsid w:val="00782B82"/>
    <w:rsid w:val="00833C38"/>
    <w:rsid w:val="00861CBB"/>
    <w:rsid w:val="00C11BD0"/>
    <w:rsid w:val="00F4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58A3F"/>
  <w15:chartTrackingRefBased/>
  <w15:docId w15:val="{E32A5D4B-9C7E-3741-9F27-7591F9377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1CB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nummer">
    <w:name w:val="List Number"/>
    <w:basedOn w:val="Standard"/>
    <w:autoRedefine/>
    <w:uiPriority w:val="99"/>
    <w:semiHidden/>
    <w:unhideWhenUsed/>
    <w:rsid w:val="00F4320C"/>
    <w:pPr>
      <w:numPr>
        <w:numId w:val="2"/>
      </w:numPr>
      <w:spacing w:before="60" w:after="60"/>
      <w:jc w:val="both"/>
    </w:pPr>
    <w:rPr>
      <w:rFonts w:ascii="Arial" w:hAnsi="Arial"/>
      <w:kern w:val="0"/>
      <w:sz w:val="20"/>
      <w14:ligatures w14:val="none"/>
    </w:rPr>
  </w:style>
  <w:style w:type="table" w:styleId="Tabellenraster">
    <w:name w:val="Table Grid"/>
    <w:basedOn w:val="NormaleTabelle"/>
    <w:uiPriority w:val="39"/>
    <w:rsid w:val="00861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Schmidbauer</dc:creator>
  <cp:keywords/>
  <dc:description/>
  <cp:lastModifiedBy>Caroline Schmidbauer</cp:lastModifiedBy>
  <cp:revision>2</cp:revision>
  <dcterms:created xsi:type="dcterms:W3CDTF">2026-07-19T13:37:00Z</dcterms:created>
  <dcterms:modified xsi:type="dcterms:W3CDTF">2026-07-19T14:01:00Z</dcterms:modified>
</cp:coreProperties>
</file>