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32B8D5">
      <w:pPr>
        <w:rPr>
          <w:b/>
          <w:bCs/>
          <w:sz w:val="24"/>
          <w:szCs w:val="24"/>
        </w:rPr>
      </w:pPr>
      <w:bookmarkStart w:id="0" w:name="_Toc8478"/>
      <w:r>
        <w:rPr>
          <w:rFonts w:hint="default" w:ascii="Times New Roman" w:hAnsi="Times New Roman" w:cs="Times New Roman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Supplementary Material </w:t>
      </w:r>
      <w:r>
        <w:rPr>
          <w:rFonts w:hint="eastAsia" w:ascii="Times New Roman" w:hAnsi="Times New Roman" w:cs="Times New Roman"/>
          <w:b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default" w:ascii="Times New Roman" w:hAnsi="Times New Roman" w:cs="Times New Roman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. </w:t>
      </w:r>
      <w:bookmarkEnd w:id="0"/>
      <w:r>
        <w:rPr>
          <w:rFonts w:hint="default" w:ascii="Times New Roman" w:hAnsi="Times New Roman" w:cs="Times New Roman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Detailed results of correlation and multicollinearity diagnostics</w:t>
      </w:r>
    </w:p>
    <w:p w14:paraId="04A27852"/>
    <w:p w14:paraId="55371846">
      <w:pPr>
        <w:jc w:val="center"/>
      </w:pPr>
      <w:r>
        <w:drawing>
          <wp:inline distT="0" distB="0" distL="114300" distR="114300">
            <wp:extent cx="5067300" cy="2329815"/>
            <wp:effectExtent l="0" t="0" r="0" b="3810"/>
            <wp:docPr id="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067300" cy="2329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C549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Times New Roman" w:hAnsi="Times New Roman" w:cs="Times New Roman" w:eastAsiaTheme="minorEastAsia"/>
          <w:lang w:val="en-US" w:eastAsia="zh-CN"/>
        </w:rPr>
      </w:pPr>
      <w:r>
        <w:rPr>
          <w:rFonts w:hint="eastAsia" w:ascii="Times New Roman" w:hAnsi="Times New Roman" w:cs="Times New Roman"/>
          <w:b/>
          <w:bCs/>
        </w:rPr>
        <w:t>Figure S1</w:t>
      </w:r>
      <w:r>
        <w:rPr>
          <w:rFonts w:hint="eastAsia" w:ascii="Times New Roman" w:hAnsi="Times New Roman" w:cs="Times New Roman"/>
        </w:rPr>
        <w:t>. Triangular Pearson correlation matrix of the eight condition variables</w:t>
      </w:r>
      <w:r>
        <w:rPr>
          <w:rFonts w:hint="eastAsia" w:ascii="Times New Roman" w:hAnsi="Times New Roman" w:cs="Times New Roman"/>
          <w:lang w:val="en-US" w:eastAsia="zh-CN"/>
        </w:rPr>
        <w:t>.</w:t>
      </w:r>
    </w:p>
    <w:p w14:paraId="1CDFFE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cs="Times New Roman"/>
        </w:rPr>
      </w:pPr>
      <w:r>
        <w:rPr>
          <w:rFonts w:hint="eastAsia" w:ascii="Times New Roman" w:hAnsi="Times New Roman" w:cs="Times New Roman"/>
          <w:b/>
          <w:bCs/>
        </w:rPr>
        <w:t>Note:</w:t>
      </w:r>
      <w:r>
        <w:rPr>
          <w:rFonts w:hint="eastAsia" w:ascii="Times New Roman" w:hAnsi="Times New Roman" w:cs="Times New Roman"/>
        </w:rPr>
        <w:t xml:space="preserve"> * </w:t>
      </w:r>
      <w:r>
        <w:rPr>
          <w:rFonts w:hint="eastAsia" w:ascii="Times New Roman" w:hAnsi="Times New Roman" w:cs="Times New Roman"/>
          <w:i/>
          <w:iCs/>
          <w:lang w:val="en-US" w:eastAsia="zh-CN"/>
        </w:rPr>
        <w:t>P</w:t>
      </w:r>
      <w:r>
        <w:rPr>
          <w:rFonts w:hint="eastAsia" w:ascii="Times New Roman" w:hAnsi="Times New Roman" w:cs="Times New Roman"/>
        </w:rPr>
        <w:t xml:space="preserve"> &lt; 0.05, ** </w:t>
      </w:r>
      <w:r>
        <w:rPr>
          <w:rFonts w:hint="eastAsia" w:ascii="Times New Roman" w:hAnsi="Times New Roman" w:cs="Times New Roman"/>
          <w:i/>
          <w:iCs/>
          <w:lang w:val="en-US" w:eastAsia="zh-CN"/>
        </w:rPr>
        <w:t>P</w:t>
      </w:r>
      <w:r>
        <w:rPr>
          <w:rFonts w:hint="eastAsia" w:ascii="Times New Roman" w:hAnsi="Times New Roman" w:cs="Times New Roman"/>
        </w:rPr>
        <w:t xml:space="preserve"> &lt; 0.01, *** </w:t>
      </w:r>
      <w:r>
        <w:rPr>
          <w:rFonts w:hint="eastAsia" w:ascii="Times New Roman" w:hAnsi="Times New Roman" w:cs="Times New Roman"/>
          <w:i/>
          <w:iCs/>
          <w:lang w:val="en-US" w:eastAsia="zh-CN"/>
        </w:rPr>
        <w:t>P</w:t>
      </w:r>
      <w:r>
        <w:rPr>
          <w:rFonts w:hint="eastAsia" w:ascii="Times New Roman" w:hAnsi="Times New Roman" w:cs="Times New Roman"/>
        </w:rPr>
        <w:t xml:space="preserve"> &lt; 0.001. X1 = Medical technology support capacity; X2 = Technological innovation capacity; X3 = Medical infrastructure capacity; X4 = Clinical workforce capacity; X5 = Government health financing support; X6 = Regional economic development; X7 = Population ageing pressure; X8 = Medical demand intensity.</w:t>
      </w:r>
    </w:p>
    <w:p w14:paraId="66FD8F8E"/>
    <w:p w14:paraId="54BEB2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Times New Roman" w:hAnsi="Times New Roman" w:cs="Times New Roman" w:eastAsiaTheme="minorEastAsia"/>
          <w:lang w:val="en-US" w:eastAsia="zh-CN"/>
        </w:rPr>
      </w:pPr>
      <w:r>
        <w:rPr>
          <w:rFonts w:hint="eastAsia" w:ascii="Times New Roman" w:hAnsi="Times New Roman" w:cs="Times New Roman"/>
          <w:b/>
          <w:bCs/>
        </w:rPr>
        <w:t>Table S</w:t>
      </w:r>
      <w:r>
        <w:rPr>
          <w:rFonts w:hint="eastAsia" w:ascii="Times New Roman" w:hAnsi="Times New Roman" w:cs="Times New Roman"/>
          <w:b/>
          <w:bCs/>
          <w:lang w:val="en-US" w:eastAsia="zh-CN"/>
        </w:rPr>
        <w:t>1</w:t>
      </w:r>
      <w:bookmarkStart w:id="1" w:name="_GoBack"/>
      <w:bookmarkEnd w:id="1"/>
      <w:r>
        <w:rPr>
          <w:rFonts w:hint="eastAsia" w:ascii="Times New Roman" w:hAnsi="Times New Roman" w:cs="Times New Roman"/>
        </w:rPr>
        <w:t xml:space="preserve"> Variance inflation factor and tolerance diagnostics for the eight condition variables</w:t>
      </w:r>
      <w:r>
        <w:rPr>
          <w:rFonts w:hint="eastAsia" w:ascii="Times New Roman" w:hAnsi="Times New Roman" w:cs="Times New Roman"/>
          <w:lang w:val="en-US" w:eastAsia="zh-CN"/>
        </w:rPr>
        <w:t>.</w:t>
      </w:r>
    </w:p>
    <w:tbl>
      <w:tblPr>
        <w:tblStyle w:val="2"/>
        <w:tblW w:w="4998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3"/>
        <w:gridCol w:w="4428"/>
        <w:gridCol w:w="1364"/>
        <w:gridCol w:w="1364"/>
      </w:tblGrid>
      <w:tr w14:paraId="7F95F6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00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  <w:tl2br w:val="nil"/>
            </w:tcBorders>
            <w:shd w:val="clear" w:color="auto" w:fill="FFFFFF"/>
            <w:noWrap/>
            <w:vAlign w:val="center"/>
          </w:tcPr>
          <w:p w14:paraId="33DF1E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Variable</w:t>
            </w:r>
          </w:p>
        </w:tc>
        <w:tc>
          <w:tcPr>
            <w:tcW w:w="2598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202228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Indicators</w:t>
            </w:r>
          </w:p>
        </w:tc>
        <w:tc>
          <w:tcPr>
            <w:tcW w:w="800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52DFE4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VIF</w:t>
            </w:r>
          </w:p>
        </w:tc>
        <w:tc>
          <w:tcPr>
            <w:tcW w:w="800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7D6B87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1/VIF</w:t>
            </w:r>
          </w:p>
        </w:tc>
      </w:tr>
      <w:tr w14:paraId="325E21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00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2A5D8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X1</w:t>
            </w:r>
          </w:p>
        </w:tc>
        <w:tc>
          <w:tcPr>
            <w:tcW w:w="2598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9F209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Medical technology support capacity</w:t>
            </w:r>
          </w:p>
        </w:tc>
        <w:tc>
          <w:tcPr>
            <w:tcW w:w="800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7E18B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5.206 </w:t>
            </w:r>
          </w:p>
        </w:tc>
        <w:tc>
          <w:tcPr>
            <w:tcW w:w="800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7BA69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0.192 </w:t>
            </w:r>
          </w:p>
        </w:tc>
      </w:tr>
      <w:tr w14:paraId="22C9F7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BBE3F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X2</w:t>
            </w:r>
          </w:p>
        </w:tc>
        <w:tc>
          <w:tcPr>
            <w:tcW w:w="259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9616E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Technological innovation capacity</w:t>
            </w: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72088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4.625 </w:t>
            </w: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6FE6E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0.216 </w:t>
            </w:r>
          </w:p>
        </w:tc>
      </w:tr>
      <w:tr w14:paraId="04B17A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3AB25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X3</w:t>
            </w:r>
          </w:p>
        </w:tc>
        <w:tc>
          <w:tcPr>
            <w:tcW w:w="259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68B94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Medical infrastructure capacity</w:t>
            </w: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2B49A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4.136 </w:t>
            </w: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FE65B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0.242 </w:t>
            </w:r>
          </w:p>
        </w:tc>
      </w:tr>
      <w:tr w14:paraId="21511B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7D1F1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X4</w:t>
            </w:r>
          </w:p>
        </w:tc>
        <w:tc>
          <w:tcPr>
            <w:tcW w:w="259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4E225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Clinical workforce capacity</w:t>
            </w: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D6157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4.210 </w:t>
            </w: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58A43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0.237 </w:t>
            </w:r>
          </w:p>
        </w:tc>
      </w:tr>
      <w:tr w14:paraId="1E2B66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E76E9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X5</w:t>
            </w:r>
          </w:p>
        </w:tc>
        <w:tc>
          <w:tcPr>
            <w:tcW w:w="259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2E8C2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Government health financing support</w:t>
            </w: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3C54B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2.074 </w:t>
            </w: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6E147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0.482 </w:t>
            </w:r>
          </w:p>
        </w:tc>
      </w:tr>
      <w:tr w14:paraId="76FC1C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DCD4E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X6</w:t>
            </w:r>
          </w:p>
        </w:tc>
        <w:tc>
          <w:tcPr>
            <w:tcW w:w="259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C350E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Regional economic development</w:t>
            </w: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B429C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6.639 </w:t>
            </w: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FBD87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0.151 </w:t>
            </w:r>
          </w:p>
        </w:tc>
      </w:tr>
      <w:tr w14:paraId="72EB29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5B241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X7</w:t>
            </w:r>
          </w:p>
        </w:tc>
        <w:tc>
          <w:tcPr>
            <w:tcW w:w="259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E3111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Population ageing pressure</w:t>
            </w: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D6498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3.065 </w:t>
            </w: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5DF66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0.326 </w:t>
            </w:r>
          </w:p>
        </w:tc>
      </w:tr>
      <w:tr w14:paraId="3ABBCA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1F224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X8</w:t>
            </w:r>
          </w:p>
        </w:tc>
        <w:tc>
          <w:tcPr>
            <w:tcW w:w="259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E325F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Medical demand intensity</w:t>
            </w: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39C7B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4.035 </w:t>
            </w: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E05B1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0.248 </w:t>
            </w:r>
          </w:p>
        </w:tc>
      </w:tr>
      <w:tr w14:paraId="349FAE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00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center"/>
          </w:tcPr>
          <w:p w14:paraId="48FF74FC">
            <w:pPr>
              <w:jc w:val="center"/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598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center"/>
          </w:tcPr>
          <w:p w14:paraId="73F2E6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Mean value</w:t>
            </w:r>
          </w:p>
        </w:tc>
        <w:tc>
          <w:tcPr>
            <w:tcW w:w="800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center"/>
          </w:tcPr>
          <w:p w14:paraId="02A652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4.249 </w:t>
            </w:r>
          </w:p>
        </w:tc>
        <w:tc>
          <w:tcPr>
            <w:tcW w:w="800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center"/>
          </w:tcPr>
          <w:p w14:paraId="54E23C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</w:p>
        </w:tc>
      </w:tr>
    </w:tbl>
    <w:p w14:paraId="5BFC9A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  <w:bCs/>
        </w:rPr>
        <w:t>Note:</w:t>
      </w:r>
      <w:r>
        <w:rPr>
          <w:rFonts w:hint="default" w:ascii="Times New Roman" w:hAnsi="Times New Roman" w:cs="Times New Roman"/>
        </w:rPr>
        <w:t xml:space="preserve"> VIF = variance inflation factor. VIF and 1/VIF are reported as supplementary diagnostics of empirical redundancy. In QCA, these statistics are not formal model assumptions; rather, they help assess whether the retained conditions remain theoretically distinguishable and do not exhibit severe regression-type multicollinearity.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rlito">
    <w:altName w:val="ESRI AMFM Electric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ESRI AMFM Electric">
    <w:panose1 w:val="02000400000000000000"/>
    <w:charset w:val="00"/>
    <w:family w:val="auto"/>
    <w:pitch w:val="default"/>
    <w:sig w:usb0="00000003" w:usb1="00000000" w:usb2="00000000" w:usb3="00000000" w:csb0="0000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E611FDD"/>
    <w:rsid w:val="1E611FDD"/>
    <w:rsid w:val="33CC32B5"/>
    <w:rsid w:val="53760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191</Words>
  <Characters>1174</Characters>
  <Lines>0</Lines>
  <Paragraphs>0</Paragraphs>
  <TotalTime>0</TotalTime>
  <ScaleCrop>false</ScaleCrop>
  <LinksUpToDate>false</LinksUpToDate>
  <CharactersWithSpaces>1338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2026-07-21T10:12:00Z</dcterms:created>
  <dc:creator>汤子健</dc:creator>
  <cp:lastModifiedBy>汤子健</cp:lastModifiedBy>
  <dcterms:modified xsi:type="dcterms:W3CDTF">2026-07-31T17:09:25Z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45312836776F4F658D35F8273F2E12A6_11</vt:lpwstr>
  </property>
  <property fmtid="{D5CDD505-2E9C-101B-9397-08002B2CF9AE}" pid="4" name="KSOTemplateDocerSaveRecord">
    <vt:lpwstr>eyJoZGlkIjoiYTE2YTA2ZGQ5OTAzOTk3MDJhYWQ1YzI0MWVhOGJjYTEiLCJ1c2VySWQiOiIxNjE2OTUyOTcyIn0=</vt:lpwstr>
  </property>
</Properties>
</file>