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D4EF01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center"/>
        <w:textAlignment w:val="auto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_Toc8478"/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Supplementary Material 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. </w:t>
      </w:r>
      <w:bookmarkEnd w:id="0"/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Outcome construction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and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weighting robustness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analyses</w:t>
      </w:r>
    </w:p>
    <w:p w14:paraId="74D5B2D9">
      <w:pPr>
        <w:outlineLvl w:val="9"/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sdt>
      <w:sdtPr>
        <w:rPr>
          <w:rFonts w:hint="default" w:ascii="宋体" w:hAnsi="宋体" w:eastAsia="宋体" w:cstheme="minorBidi"/>
          <w:b/>
          <w:bCs/>
          <w:sz w:val="21"/>
          <w:szCs w:val="22"/>
          <w:lang w:val="en-US" w:eastAsia="en-US" w:bidi="ar-SA"/>
        </w:rPr>
        <w:id w:val="147480365"/>
        <w15:color w:val="DBDBDB"/>
        <w:docPartObj>
          <w:docPartGallery w:val="Table of Contents"/>
          <w:docPartUnique/>
        </w:docPartObj>
      </w:sdtPr>
      <w:sdtEndPr>
        <w:rPr>
          <w:rFonts w:hint="default" w:ascii="Times New Roman" w:hAnsi="Times New Roman" w:eastAsia="宋体" w:cs="Times New Roman"/>
          <w:b/>
          <w:bCs/>
          <w:color w:val="000000" w:themeColor="text1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</w:sdtEndPr>
      <w:sdtContent>
        <w:p w14:paraId="68236949">
          <w:pPr>
            <w:keepNext w:val="0"/>
            <w:keepLines w:val="0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after="0" w:line="360" w:lineRule="auto"/>
            <w:ind w:left="0" w:leftChars="0" w:right="0" w:rightChars="0" w:firstLine="0" w:firstLineChars="0"/>
            <w:jc w:val="center"/>
            <w:textAlignment w:val="auto"/>
            <w:rPr>
              <w:rFonts w:hint="default" w:ascii="Times New Roman" w:hAnsi="Times New Roman" w:eastAsia="宋体" w:cs="Times New Roman"/>
              <w:b/>
              <w:bCs/>
              <w:sz w:val="28"/>
              <w:szCs w:val="28"/>
              <w:lang w:val="en-US" w:eastAsia="zh-CN"/>
            </w:rPr>
          </w:pPr>
          <w:r>
            <w:rPr>
              <w:rFonts w:hint="default" w:ascii="Times New Roman" w:hAnsi="Times New Roman" w:eastAsia="宋体" w:cs="Times New Roman"/>
              <w:b/>
              <w:bCs/>
              <w:sz w:val="28"/>
              <w:szCs w:val="28"/>
              <w:lang w:val="en-US" w:eastAsia="zh-CN" w:bidi="ar-SA"/>
            </w:rPr>
            <w:t>D</w:t>
          </w:r>
          <w:r>
            <w:rPr>
              <w:rFonts w:hint="default" w:ascii="Times New Roman" w:hAnsi="Times New Roman" w:eastAsia="宋体" w:cs="Times New Roman"/>
              <w:b/>
              <w:bCs/>
              <w:sz w:val="28"/>
              <w:szCs w:val="28"/>
              <w:lang w:val="en-US" w:eastAsia="zh-CN"/>
            </w:rPr>
            <w:t>irectory</w:t>
          </w:r>
        </w:p>
        <w:p w14:paraId="56057551">
          <w:pPr>
            <w:keepNext w:val="0"/>
            <w:keepLines w:val="0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after="0" w:line="360" w:lineRule="auto"/>
            <w:ind w:left="0" w:leftChars="0" w:right="0" w:rightChars="0" w:firstLine="0" w:firstLineChars="0"/>
            <w:jc w:val="center"/>
            <w:textAlignment w:val="auto"/>
            <w:rPr>
              <w:rFonts w:hint="default" w:ascii="Times New Roman" w:hAnsi="Times New Roman" w:eastAsia="宋体" w:cs="Times New Roman"/>
              <w:sz w:val="21"/>
              <w:lang w:val="en-US" w:eastAsia="zh-CN"/>
            </w:rPr>
          </w:pPr>
        </w:p>
        <w:p w14:paraId="5A84072C">
          <w:pPr>
            <w:pStyle w:val="6"/>
            <w:keepNext w:val="0"/>
            <w:keepLines w:val="0"/>
            <w:pageBreakBefore w:val="0"/>
            <w:widowControl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ind w:left="0" w:leftChars="0"/>
            <w:textAlignment w:val="auto"/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eastAsia="宋体" w:cs="Times New Roman"/>
              <w:color w:val="000000" w:themeColor="text1"/>
              <w:sz w:val="21"/>
              <w:szCs w:val="21"/>
              <w:lang w:val="en-US" w:eastAsia="zh-CN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default" w:ascii="Times New Roman" w:hAnsi="Times New Roman" w:eastAsia="宋体" w:cs="Times New Roman"/>
              <w:color w:val="000000" w:themeColor="text1"/>
              <w:sz w:val="21"/>
              <w:szCs w:val="21"/>
              <w:lang w:val="en-US" w:eastAsia="zh-CN"/>
              <w14:textFill>
                <w14:solidFill>
                  <w14:schemeClr w14:val="tx1"/>
                </w14:solidFill>
              </w14:textFill>
            </w:rPr>
            <w:instrText xml:space="preserve">TOC \o "1-2" \h \u </w:instrText>
          </w:r>
          <w:r>
            <w:rPr>
              <w:rFonts w:hint="default" w:ascii="Times New Roman" w:hAnsi="Times New Roman" w:eastAsia="宋体" w:cs="Times New Roman"/>
              <w:color w:val="000000" w:themeColor="text1"/>
              <w:sz w:val="21"/>
              <w:szCs w:val="21"/>
              <w:lang w:val="en-US" w:eastAsia="zh-CN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default" w:ascii="Times New Roman" w:hAnsi="Times New Roman" w:eastAsia="宋体" w:cs="Times New Roman"/>
              <w:b/>
              <w:bCs/>
              <w:color w:val="000000" w:themeColor="text1"/>
              <w:szCs w:val="21"/>
              <w:lang w:val="en-US" w:eastAsia="zh-CN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default" w:ascii="Times New Roman" w:hAnsi="Times New Roman" w:eastAsia="宋体" w:cs="Times New Roman"/>
              <w:b/>
              <w:bCs/>
              <w:szCs w:val="21"/>
              <w:lang w:val="en-US" w:eastAsia="zh-CN"/>
            </w:rPr>
            <w:instrText xml:space="preserve"> HYPERLINK \l _Toc12043 </w:instrText>
          </w:r>
          <w:r>
            <w:rPr>
              <w:rFonts w:hint="default" w:ascii="Times New Roman" w:hAnsi="Times New Roman" w:eastAsia="宋体" w:cs="Times New Roman"/>
              <w:b/>
              <w:bCs/>
              <w:szCs w:val="21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cs="Times New Roman"/>
              <w:b/>
              <w:bCs/>
              <w:szCs w:val="21"/>
            </w:rPr>
            <w:t>Supplementary Table S</w:t>
          </w:r>
          <w:r>
            <w:rPr>
              <w:rFonts w:hint="eastAsia" w:eastAsia="宋体" w:cs="Times New Roman"/>
              <w:b/>
              <w:bCs/>
              <w:szCs w:val="21"/>
              <w:lang w:val="en-US" w:eastAsia="zh-CN"/>
            </w:rPr>
            <w:t>2</w:t>
          </w:r>
          <w:r>
            <w:rPr>
              <w:rFonts w:hint="default" w:ascii="Times New Roman" w:hAnsi="Times New Roman" w:cs="Times New Roman"/>
              <w:b/>
              <w:bCs/>
              <w:szCs w:val="21"/>
            </w:rPr>
            <w:t xml:space="preserve"> </w:t>
          </w:r>
          <w:r>
            <w:rPr>
              <w:rFonts w:hint="default" w:ascii="Times New Roman" w:hAnsi="Times New Roman" w:cs="Times New Roman"/>
              <w:b w:val="0"/>
              <w:bCs w:val="0"/>
              <w:szCs w:val="21"/>
            </w:rPr>
            <w:t>Indicator definitions and TOPSIS weights for the primary HQHRA index</w:t>
          </w:r>
          <w:r>
            <w:rPr>
              <w:rFonts w:hint="default" w:ascii="Times New Roman" w:hAnsi="Times New Roman" w:cs="Times New Roman"/>
              <w:b/>
              <w:bCs/>
            </w:rPr>
            <w:tab/>
          </w:r>
          <w:r>
            <w:rPr>
              <w:rFonts w:hint="default" w:ascii="Times New Roman" w:hAnsi="Times New Roman" w:cs="Times New Roman"/>
              <w:b w:val="0"/>
              <w:bCs w:val="0"/>
            </w:rPr>
            <w:fldChar w:fldCharType="begin"/>
          </w:r>
          <w:r>
            <w:rPr>
              <w:rFonts w:hint="default" w:ascii="Times New Roman" w:hAnsi="Times New Roman" w:cs="Times New Roman"/>
              <w:b w:val="0"/>
              <w:bCs w:val="0"/>
            </w:rPr>
            <w:instrText xml:space="preserve"> PAGEREF _Toc12043 \h </w:instrText>
          </w:r>
          <w:r>
            <w:rPr>
              <w:rFonts w:hint="default" w:ascii="Times New Roman" w:hAnsi="Times New Roman" w:cs="Times New Roman"/>
              <w:b w:val="0"/>
              <w:bCs w:val="0"/>
            </w:rPr>
            <w:fldChar w:fldCharType="separate"/>
          </w:r>
          <w:r>
            <w:rPr>
              <w:rFonts w:hint="default" w:ascii="Times New Roman" w:hAnsi="Times New Roman" w:cs="Times New Roman"/>
              <w:b w:val="0"/>
              <w:bCs w:val="0"/>
            </w:rPr>
            <w:t>2</w:t>
          </w:r>
          <w:r>
            <w:rPr>
              <w:rFonts w:hint="default" w:ascii="Times New Roman" w:hAnsi="Times New Roman" w:cs="Times New Roman"/>
              <w:b w:val="0"/>
              <w:bCs w:val="0"/>
            </w:rPr>
            <w:fldChar w:fldCharType="end"/>
          </w:r>
          <w:r>
            <w:rPr>
              <w:rFonts w:hint="default" w:ascii="Times New Roman" w:hAnsi="Times New Roman" w:eastAsia="宋体" w:cs="Times New Roman"/>
              <w:b/>
              <w:bCs/>
              <w:color w:val="000000" w:themeColor="text1"/>
              <w:szCs w:val="21"/>
              <w:lang w:val="en-US" w:eastAsia="zh-CN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18DBE887">
          <w:pPr>
            <w:pStyle w:val="6"/>
            <w:keepNext w:val="0"/>
            <w:keepLines w:val="0"/>
            <w:pageBreakBefore w:val="0"/>
            <w:widowControl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ind w:left="0" w:leftChars="0"/>
            <w:textAlignment w:val="auto"/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eastAsia="宋体" w:cs="Times New Roman"/>
              <w:color w:val="000000" w:themeColor="text1"/>
              <w:szCs w:val="21"/>
              <w:lang w:val="en-US" w:eastAsia="zh-CN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default" w:ascii="Times New Roman" w:hAnsi="Times New Roman" w:eastAsia="宋体" w:cs="Times New Roman"/>
              <w:szCs w:val="21"/>
              <w:lang w:val="en-US" w:eastAsia="zh-CN"/>
            </w:rPr>
            <w:instrText xml:space="preserve"> HYPERLINK \l _Toc17893 </w:instrText>
          </w:r>
          <w:r>
            <w:rPr>
              <w:rFonts w:hint="default" w:ascii="Times New Roman" w:hAnsi="Times New Roman" w:eastAsia="宋体" w:cs="Times New Roman"/>
              <w:szCs w:val="21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cs="Times New Roman"/>
              <w:b/>
              <w:bCs/>
              <w:szCs w:val="21"/>
            </w:rPr>
            <w:t>Supplementary Table S</w:t>
          </w:r>
          <w:r>
            <w:rPr>
              <w:rFonts w:hint="eastAsia" w:eastAsia="宋体" w:cs="Times New Roman"/>
              <w:b/>
              <w:bCs/>
              <w:szCs w:val="21"/>
              <w:lang w:val="en-US" w:eastAsia="zh-CN"/>
            </w:rPr>
            <w:t>3</w:t>
          </w:r>
          <w:r>
            <w:rPr>
              <w:rFonts w:hint="default" w:ascii="Times New Roman" w:hAnsi="Times New Roman" w:cs="Times New Roman"/>
              <w:szCs w:val="21"/>
            </w:rPr>
            <w:t xml:space="preserve"> </w:t>
          </w:r>
          <w:r>
            <w:rPr>
              <w:rFonts w:hint="default" w:ascii="Times New Roman" w:hAnsi="Times New Roman" w:cs="Times New Roman"/>
              <w:bCs w:val="0"/>
              <w:szCs w:val="21"/>
            </w:rPr>
            <w:t xml:space="preserve">Entropy-weight parameters for the alternative weighting specification using the same </w:t>
          </w:r>
          <w:r>
            <w:rPr>
              <w:rFonts w:hint="eastAsia" w:eastAsia="宋体" w:cs="Times New Roman"/>
              <w:bCs w:val="0"/>
              <w:szCs w:val="21"/>
              <w:lang w:val="en-US" w:eastAsia="zh-CN"/>
            </w:rPr>
            <w:t>four</w:t>
          </w:r>
          <w:r>
            <w:rPr>
              <w:rFonts w:hint="default" w:ascii="Times New Roman" w:hAnsi="Times New Roman" w:cs="Times New Roman"/>
              <w:bCs w:val="0"/>
              <w:szCs w:val="21"/>
            </w:rPr>
            <w:t xml:space="preserve"> indicators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_Toc17893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2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eastAsia="宋体" w:cs="Times New Roman"/>
              <w:color w:val="000000" w:themeColor="text1"/>
              <w:szCs w:val="21"/>
              <w:lang w:val="en-US" w:eastAsia="zh-CN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4ADD1153">
          <w:pPr>
            <w:pStyle w:val="6"/>
            <w:keepNext w:val="0"/>
            <w:keepLines w:val="0"/>
            <w:pageBreakBefore w:val="0"/>
            <w:widowControl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ind w:left="0" w:leftChars="0"/>
            <w:textAlignment w:val="auto"/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eastAsia="宋体" w:cs="Times New Roman"/>
              <w:color w:val="000000" w:themeColor="text1"/>
              <w:szCs w:val="21"/>
              <w:lang w:val="en-US" w:eastAsia="zh-CN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default" w:ascii="Times New Roman" w:hAnsi="Times New Roman" w:eastAsia="宋体" w:cs="Times New Roman"/>
              <w:szCs w:val="21"/>
              <w:lang w:val="en-US" w:eastAsia="zh-CN"/>
            </w:rPr>
            <w:instrText xml:space="preserve"> HYPERLINK \l _Toc15591 </w:instrText>
          </w:r>
          <w:r>
            <w:rPr>
              <w:rFonts w:hint="default" w:ascii="Times New Roman" w:hAnsi="Times New Roman" w:eastAsia="宋体" w:cs="Times New Roman"/>
              <w:szCs w:val="21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cs="Times New Roman"/>
              <w:b/>
              <w:bCs/>
              <w:szCs w:val="21"/>
            </w:rPr>
            <w:t>Supplementary Table S</w:t>
          </w:r>
          <w:r>
            <w:rPr>
              <w:rFonts w:hint="eastAsia" w:eastAsia="宋体" w:cs="Times New Roman"/>
              <w:b/>
              <w:bCs/>
              <w:szCs w:val="21"/>
              <w:lang w:val="en-US" w:eastAsia="zh-CN"/>
            </w:rPr>
            <w:t>4</w:t>
          </w:r>
          <w:r>
            <w:rPr>
              <w:rFonts w:hint="default" w:ascii="Times New Roman" w:hAnsi="Times New Roman" w:cs="Times New Roman"/>
              <w:szCs w:val="21"/>
            </w:rPr>
            <w:t xml:space="preserve"> </w:t>
          </w:r>
          <w:r>
            <w:rPr>
              <w:rFonts w:hint="default" w:ascii="Times New Roman" w:hAnsi="Times New Roman" w:cs="Times New Roman"/>
              <w:bCs w:val="0"/>
              <w:szCs w:val="21"/>
            </w:rPr>
            <w:t xml:space="preserve">Overall robustness comparison between the primary </w:t>
          </w:r>
          <w:r>
            <w:rPr>
              <w:rFonts w:hint="eastAsia" w:ascii="Times New Roman" w:hAnsi="Times New Roman" w:cs="Times New Roman"/>
              <w:b w:val="0"/>
              <w:bCs w:val="0"/>
              <w:color w:val="000000" w:themeColor="text1"/>
              <w:sz w:val="21"/>
              <w:szCs w:val="21"/>
              <w:lang w:val="en-US" w:eastAsia="zh-CN"/>
              <w14:textFill>
                <w14:solidFill>
                  <w14:schemeClr w14:val="tx1"/>
                </w14:solidFill>
              </w14:textFill>
            </w:rPr>
            <w:t>equal-weight</w:t>
          </w:r>
          <w:r>
            <w:rPr>
              <w:rFonts w:hint="default" w:ascii="Times New Roman" w:hAnsi="Times New Roman" w:cs="Times New Roman"/>
              <w:bCs w:val="0"/>
              <w:szCs w:val="21"/>
            </w:rPr>
            <w:t xml:space="preserve"> TOPSIS HQHRA index and the entropy-weighted index using the same </w:t>
          </w:r>
          <w:r>
            <w:rPr>
              <w:rFonts w:hint="eastAsia" w:eastAsia="宋体" w:cs="Times New Roman"/>
              <w:bCs w:val="0"/>
              <w:szCs w:val="21"/>
              <w:lang w:val="en-US" w:eastAsia="zh-CN"/>
            </w:rPr>
            <w:t>four</w:t>
          </w:r>
          <w:r>
            <w:rPr>
              <w:rFonts w:hint="default" w:ascii="Times New Roman" w:hAnsi="Times New Roman" w:cs="Times New Roman"/>
              <w:bCs w:val="0"/>
              <w:szCs w:val="21"/>
            </w:rPr>
            <w:t xml:space="preserve"> indicators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_Toc15591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3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eastAsia="宋体" w:cs="Times New Roman"/>
              <w:color w:val="000000" w:themeColor="text1"/>
              <w:szCs w:val="21"/>
              <w:lang w:val="en-US" w:eastAsia="zh-CN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4CC7F457">
          <w:pPr>
            <w:pStyle w:val="6"/>
            <w:keepNext w:val="0"/>
            <w:keepLines w:val="0"/>
            <w:pageBreakBefore w:val="0"/>
            <w:widowControl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ind w:left="0" w:leftChars="0"/>
            <w:textAlignment w:val="auto"/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eastAsia="宋体" w:cs="Times New Roman"/>
              <w:color w:val="000000" w:themeColor="text1"/>
              <w:szCs w:val="21"/>
              <w:lang w:val="en-US" w:eastAsia="zh-CN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default" w:ascii="Times New Roman" w:hAnsi="Times New Roman" w:eastAsia="宋体" w:cs="Times New Roman"/>
              <w:szCs w:val="21"/>
              <w:lang w:val="en-US" w:eastAsia="zh-CN"/>
            </w:rPr>
            <w:instrText xml:space="preserve"> HYPERLINK \l _Toc27878 </w:instrText>
          </w:r>
          <w:r>
            <w:rPr>
              <w:rFonts w:hint="default" w:ascii="Times New Roman" w:hAnsi="Times New Roman" w:eastAsia="宋体" w:cs="Times New Roman"/>
              <w:szCs w:val="21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cs="Times New Roman"/>
              <w:b/>
              <w:bCs/>
              <w:szCs w:val="21"/>
            </w:rPr>
            <w:t>Supplementary Table S</w:t>
          </w:r>
          <w:r>
            <w:rPr>
              <w:rFonts w:hint="eastAsia" w:eastAsia="宋体" w:cs="Times New Roman"/>
              <w:b/>
              <w:bCs/>
              <w:szCs w:val="21"/>
              <w:lang w:val="en-US" w:eastAsia="zh-CN"/>
            </w:rPr>
            <w:t>5</w:t>
          </w:r>
          <w:r>
            <w:rPr>
              <w:rFonts w:hint="default" w:ascii="Times New Roman" w:hAnsi="Times New Roman" w:cs="Times New Roman"/>
              <w:szCs w:val="21"/>
            </w:rPr>
            <w:t xml:space="preserve"> </w:t>
          </w:r>
          <w:r>
            <w:rPr>
              <w:rFonts w:hint="default" w:ascii="Times New Roman" w:hAnsi="Times New Roman" w:cs="Times New Roman"/>
              <w:bCs w:val="0"/>
              <w:szCs w:val="21"/>
            </w:rPr>
            <w:t xml:space="preserve">Annual robustness comparison between the primary </w:t>
          </w:r>
          <w:r>
            <w:rPr>
              <w:rFonts w:hint="eastAsia" w:ascii="Times New Roman" w:hAnsi="Times New Roman" w:cs="Times New Roman"/>
              <w:b w:val="0"/>
              <w:bCs w:val="0"/>
              <w:color w:val="000000" w:themeColor="text1"/>
              <w:sz w:val="21"/>
              <w:szCs w:val="21"/>
              <w:lang w:val="en-US" w:eastAsia="zh-CN"/>
              <w14:textFill>
                <w14:solidFill>
                  <w14:schemeClr w14:val="tx1"/>
                </w14:solidFill>
              </w14:textFill>
            </w:rPr>
            <w:t>equal-weight</w:t>
          </w:r>
          <w:r>
            <w:rPr>
              <w:rFonts w:hint="eastAsia" w:cs="Times New Roman"/>
              <w:b w:val="0"/>
              <w:bCs w:val="0"/>
              <w:color w:val="000000" w:themeColor="text1"/>
              <w:sz w:val="21"/>
              <w:szCs w:val="21"/>
              <w:lang w:val="en-US" w:eastAsia="zh-CN"/>
              <w14:textFill>
                <w14:solidFill>
                  <w14:schemeClr w14:val="tx1"/>
                </w14:solidFill>
              </w14:textFill>
            </w:rPr>
            <w:t xml:space="preserve"> </w:t>
          </w:r>
          <w:r>
            <w:rPr>
              <w:rFonts w:hint="default" w:ascii="Times New Roman" w:hAnsi="Times New Roman" w:cs="Times New Roman"/>
              <w:bCs w:val="0"/>
              <w:szCs w:val="21"/>
            </w:rPr>
            <w:t xml:space="preserve">TOPSIS HQHRA index and the entropy-weighted index using the same </w:t>
          </w:r>
          <w:r>
            <w:rPr>
              <w:rFonts w:hint="eastAsia" w:eastAsia="宋体" w:cs="Times New Roman"/>
              <w:bCs w:val="0"/>
              <w:szCs w:val="21"/>
              <w:lang w:val="en-US" w:eastAsia="zh-CN"/>
            </w:rPr>
            <w:t>four</w:t>
          </w:r>
          <w:r>
            <w:rPr>
              <w:rFonts w:hint="default" w:ascii="Times New Roman" w:hAnsi="Times New Roman" w:cs="Times New Roman"/>
              <w:bCs w:val="0"/>
              <w:szCs w:val="21"/>
            </w:rPr>
            <w:t xml:space="preserve"> indicators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_Toc27878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3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eastAsia="宋体" w:cs="Times New Roman"/>
              <w:color w:val="000000" w:themeColor="text1"/>
              <w:szCs w:val="21"/>
              <w:lang w:val="en-US" w:eastAsia="zh-CN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56B6BD8C">
          <w:pPr>
            <w:keepNext w:val="0"/>
            <w:keepLines w:val="0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ind w:left="0" w:leftChars="0"/>
            <w:textAlignment w:val="auto"/>
            <w:outlineLvl w:val="9"/>
            <w:rPr>
              <w:rFonts w:hint="default" w:ascii="Times New Roman" w:hAnsi="Times New Roman" w:eastAsia="宋体" w:cs="Times New Roman"/>
              <w:color w:val="000000" w:themeColor="text1"/>
              <w:sz w:val="21"/>
              <w:szCs w:val="21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sectPr>
              <w:footerReference r:id="rId5" w:type="default"/>
              <w:pgSz w:w="11906" w:h="16838"/>
              <w:pgMar w:top="1440" w:right="1800" w:bottom="1440" w:left="1800" w:header="851" w:footer="992" w:gutter="0"/>
              <w:cols w:space="425" w:num="1"/>
              <w:docGrid w:type="lines" w:linePitch="312" w:charSpace="0"/>
            </w:sectPr>
          </w:pPr>
          <w:r>
            <w:rPr>
              <w:rFonts w:hint="default" w:ascii="Times New Roman" w:hAnsi="Times New Roman" w:eastAsia="宋体" w:cs="Times New Roman"/>
              <w:color w:val="000000" w:themeColor="text1"/>
              <w:szCs w:val="21"/>
              <w:lang w:val="en-US" w:eastAsia="zh-CN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</w:sdtContent>
    </w:sdt>
    <w:p w14:paraId="14399053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center"/>
        <w:textAlignment w:val="auto"/>
        <w:rPr>
          <w:rFonts w:hint="eastAsia" w:ascii="Times New Roman" w:hAnsi="Times New Roman" w:cs="Times New Roman" w:eastAsiaTheme="majorEastAsia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bookmarkStart w:id="1" w:name="_Toc12043"/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Supplementary Table S</w:t>
      </w:r>
      <w:r>
        <w:rPr>
          <w:rFonts w:hint="eastAsia" w:ascii="Times New Roman" w:hAnsi="Times New Roman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Indicator definitions and TOPSIS weights for the primary HQHRA index</w:t>
      </w:r>
      <w:bookmarkEnd w:id="1"/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</w:p>
    <w:tbl>
      <w:tblPr>
        <w:tblStyle w:val="8"/>
        <w:tblW w:w="537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3"/>
        <w:gridCol w:w="3923"/>
        <w:gridCol w:w="4258"/>
        <w:gridCol w:w="1141"/>
        <w:gridCol w:w="1123"/>
        <w:gridCol w:w="1608"/>
      </w:tblGrid>
      <w:tr w14:paraId="332A0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047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top"/>
          </w:tcPr>
          <w:p w14:paraId="00708FE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bookmarkStart w:id="5" w:name="_GoBack"/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Conceptual dimension</w:t>
            </w:r>
          </w:p>
        </w:tc>
        <w:tc>
          <w:tcPr>
            <w:tcW w:w="1286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68552DE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Indicator</w:t>
            </w:r>
          </w:p>
        </w:tc>
        <w:tc>
          <w:tcPr>
            <w:tcW w:w="1396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77A6891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Measurement</w:t>
            </w:r>
          </w:p>
        </w:tc>
        <w:tc>
          <w:tcPr>
            <w:tcW w:w="374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6B65CD9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Unit</w:t>
            </w:r>
          </w:p>
        </w:tc>
        <w:tc>
          <w:tcPr>
            <w:tcW w:w="36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697DBB7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Direction</w:t>
            </w:r>
          </w:p>
        </w:tc>
        <w:tc>
          <w:tcPr>
            <w:tcW w:w="527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64652DC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TOPSIS weight</w:t>
            </w:r>
          </w:p>
        </w:tc>
      </w:tr>
      <w:tr w14:paraId="42949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85BBD9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igh-level hospital</w:t>
            </w:r>
            <w:r>
              <w:rPr>
                <w:rFonts w:hint="eastAsia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resource stock</w:t>
            </w:r>
          </w:p>
        </w:tc>
        <w:tc>
          <w:tcPr>
            <w:tcW w:w="1286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84C475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Number of tertiary hospitals</w:t>
            </w:r>
          </w:p>
        </w:tc>
        <w:tc>
          <w:tcPr>
            <w:tcW w:w="1396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45C9FE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Absolute number of tertiary hospitals</w:t>
            </w:r>
          </w:p>
        </w:tc>
        <w:tc>
          <w:tcPr>
            <w:tcW w:w="37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FAB55C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Hospitals</w:t>
            </w:r>
          </w:p>
        </w:tc>
        <w:tc>
          <w:tcPr>
            <w:tcW w:w="36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44887F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Positive</w:t>
            </w:r>
          </w:p>
        </w:tc>
        <w:tc>
          <w:tcPr>
            <w:tcW w:w="52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655486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0.25</w:t>
            </w:r>
          </w:p>
        </w:tc>
      </w:tr>
      <w:tr w14:paraId="7FEC0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0FBB24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Hospital hierarchy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A5A8AB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lang w:val="en-US" w:eastAsia="zh-CN"/>
              </w:rPr>
              <w:t>proportion of tertiary hospitals among all hospitals</w:t>
            </w: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19CEF7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lang w:val="en-US" w:eastAsia="zh-CN"/>
              </w:rPr>
              <w:t>proportion of tertiary hospitals among all hospitals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CFB4F7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%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0A52DD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Positive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BCDE44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0.25</w:t>
            </w:r>
          </w:p>
        </w:tc>
      </w:tr>
      <w:tr w14:paraId="25154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37556D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ertiary-hospital accreditation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CB46CA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lang w:val="en-US" w:eastAsia="zh-CN"/>
              </w:rPr>
              <w:t>proportion of Grade-A tertiary hospitals among tertiary hospitals</w:t>
            </w: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836289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Number of Grade-A tertiary hospitals divided by all tertiary hospitals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B6813E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%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63CFD8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Positive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F1D472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0.25</w:t>
            </w:r>
          </w:p>
        </w:tc>
      </w:tr>
      <w:tr w14:paraId="795F5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7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2B2138D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eastAsia="宋体" w:cs="Times New Roman"/>
                <w:b w:val="0"/>
                <w:color w:val="000000"/>
                <w:sz w:val="21"/>
                <w:szCs w:val="21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ospital scale structure</w:t>
            </w:r>
          </w:p>
        </w:tc>
        <w:tc>
          <w:tcPr>
            <w:tcW w:w="128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03BC306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lang w:val="en-US" w:eastAsia="zh-CN"/>
              </w:rPr>
              <w:t>proportion of hospitals with at least 500 beds among all hospitals</w:t>
            </w:r>
          </w:p>
        </w:tc>
        <w:tc>
          <w:tcPr>
            <w:tcW w:w="139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4B0861B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Number of hospitals with at least 500 beds divided by all hospitals</w:t>
            </w:r>
          </w:p>
        </w:tc>
        <w:tc>
          <w:tcPr>
            <w:tcW w:w="37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02BE5E1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%</w:t>
            </w:r>
          </w:p>
        </w:tc>
        <w:tc>
          <w:tcPr>
            <w:tcW w:w="36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2CB045C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Positive</w:t>
            </w:r>
          </w:p>
        </w:tc>
        <w:tc>
          <w:tcPr>
            <w:tcW w:w="527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2037955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0.25</w:t>
            </w:r>
          </w:p>
        </w:tc>
      </w:tr>
      <w:bookmarkEnd w:id="5"/>
    </w:tbl>
    <w:p w14:paraId="7836389F">
      <w:pPr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both"/>
        <w:textAlignment w:val="auto"/>
        <w:outlineLvl w:val="9"/>
        <w:rPr>
          <w:rFonts w:hint="eastAsia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Note: 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All four indicators were positively oriented. Equal weights were used as a transparent, theory-neutral specification. TOPSIS normalization and ideal solutions were estimated from the pooled panel of 310 province-year observations covering 2014–2023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</w:p>
    <w:p w14:paraId="1B43D7B8">
      <w:pPr>
        <w:outlineLvl w:val="9"/>
        <w:rPr>
          <w:rFonts w:hint="eastAsia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7627CDDC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both"/>
        <w:textAlignment w:val="auto"/>
        <w:outlineLvl w:val="9"/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135D17EA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both"/>
        <w:textAlignment w:val="auto"/>
        <w:rPr>
          <w:rFonts w:hint="eastAsia" w:ascii="Times New Roman" w:hAnsi="Times New Roman" w:cs="Times New Roman" w:eastAsiaTheme="maj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bookmarkStart w:id="2" w:name="_Toc17893"/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Supplementary Table S</w:t>
      </w:r>
      <w:r>
        <w:rPr>
          <w:rFonts w:hint="eastAsia" w:ascii="Times New Roman" w:hAnsi="Times New Roman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Entropy-weight parameters for the alternative weighting specification using the same 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four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indicators</w:t>
      </w:r>
      <w:bookmarkEnd w:id="2"/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</w:p>
    <w:tbl>
      <w:tblPr>
        <w:tblStyle w:val="8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27"/>
        <w:gridCol w:w="2005"/>
        <w:gridCol w:w="2906"/>
        <w:gridCol w:w="2033"/>
      </w:tblGrid>
      <w:tr w14:paraId="7A15B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49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4FC96A3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Indicator</w:t>
            </w:r>
          </w:p>
        </w:tc>
        <w:tc>
          <w:tcPr>
            <w:tcW w:w="707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A245B1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Entropy value</w:t>
            </w:r>
          </w:p>
        </w:tc>
        <w:tc>
          <w:tcPr>
            <w:tcW w:w="102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326FB8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Divergence coefficient</w:t>
            </w:r>
          </w:p>
        </w:tc>
        <w:tc>
          <w:tcPr>
            <w:tcW w:w="717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E5C5B9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Entropy weight</w:t>
            </w:r>
          </w:p>
        </w:tc>
      </w:tr>
      <w:tr w14:paraId="16B70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49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5CCDD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Number of tertiary hospitals</w:t>
            </w:r>
          </w:p>
        </w:tc>
        <w:tc>
          <w:tcPr>
            <w:tcW w:w="70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D2473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0.960315</w:t>
            </w:r>
          </w:p>
        </w:tc>
        <w:tc>
          <w:tcPr>
            <w:tcW w:w="102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09768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0.039685</w:t>
            </w:r>
          </w:p>
        </w:tc>
        <w:tc>
          <w:tcPr>
            <w:tcW w:w="71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6FFDF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41.92%</w:t>
            </w:r>
          </w:p>
        </w:tc>
      </w:tr>
      <w:tr w14:paraId="32ECA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924A4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Proportion of tertiary hospitals among all hospitals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22796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0.975061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5CF1E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0.024939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CF56C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26.34%</w:t>
            </w:r>
          </w:p>
        </w:tc>
      </w:tr>
      <w:tr w14:paraId="13DE0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F67D9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Proportion of Grade-A tertiary hospitals among tertiary hospitals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CD506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0.984772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01F6C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0.015228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FFD00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16.09%</w:t>
            </w:r>
          </w:p>
        </w:tc>
      </w:tr>
      <w:tr w14:paraId="75057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4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307364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Proportion of hospitals with at least 500 beds among all hospitals</w:t>
            </w:r>
          </w:p>
        </w:tc>
        <w:tc>
          <w:tcPr>
            <w:tcW w:w="707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71661A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0.985184</w:t>
            </w:r>
          </w:p>
        </w:tc>
        <w:tc>
          <w:tcPr>
            <w:tcW w:w="102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BA28FB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0.014816</w:t>
            </w:r>
          </w:p>
        </w:tc>
        <w:tc>
          <w:tcPr>
            <w:tcW w:w="717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B0153A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15.65%</w:t>
            </w:r>
          </w:p>
        </w:tc>
      </w:tr>
    </w:tbl>
    <w:p w14:paraId="6B9E3284">
      <w:pPr>
        <w:jc w:val="both"/>
        <w:rPr>
          <w:rFonts w:hint="eastAsia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Note:</w:t>
      </w:r>
      <w:r>
        <w:rPr>
          <w:rFonts w:hint="default" w:ascii="Times New Roman" w:hAnsi="Times New Roman" w:cs="Times New Roman"/>
          <w:sz w:val="21"/>
          <w:szCs w:val="21"/>
        </w:rPr>
        <w:t xml:space="preserve"> Entropy weights were estimated from the pooled 2014–2023 panel and applied consistently across all years. The entropy-weight method was used only as an alternative data-driven weighting specification.</w:t>
      </w:r>
    </w:p>
    <w:p w14:paraId="4173D149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center"/>
        <w:textAlignment w:val="auto"/>
        <w:rPr>
          <w:rFonts w:hint="eastAsia" w:ascii="Times New Roman" w:hAnsi="Times New Roman" w:cs="Times New Roman" w:eastAsiaTheme="maj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bookmarkStart w:id="3" w:name="_Toc15591"/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Supplementary Table S</w:t>
      </w:r>
      <w:r>
        <w:rPr>
          <w:rFonts w:hint="eastAsia" w:ascii="Times New Roman" w:hAnsi="Times New Roman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Overall robustness comparison between the primary 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equal-weight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TOPSIS HQHRA index and the entropy-weighted index using the same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four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indicators</w:t>
      </w:r>
      <w:bookmarkEnd w:id="3"/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</w:p>
    <w:tbl>
      <w:tblPr>
        <w:tblStyle w:val="8"/>
        <w:tblW w:w="564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0"/>
        <w:gridCol w:w="1754"/>
        <w:gridCol w:w="3532"/>
      </w:tblGrid>
      <w:tr w14:paraId="1226D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54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6AD33E9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Comparison measure</w:t>
            </w:r>
          </w:p>
        </w:tc>
        <w:tc>
          <w:tcPr>
            <w:tcW w:w="91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C60B31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Result</w:t>
            </w:r>
          </w:p>
        </w:tc>
        <w:tc>
          <w:tcPr>
            <w:tcW w:w="1834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5D533E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Interpretation</w:t>
            </w:r>
          </w:p>
        </w:tc>
      </w:tr>
      <w:tr w14:paraId="0D1BD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5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70F72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Pearson correlation between continuous scores</w:t>
            </w:r>
          </w:p>
        </w:tc>
        <w:tc>
          <w:tcPr>
            <w:tcW w:w="91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08B62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0.9800</w:t>
            </w:r>
          </w:p>
        </w:tc>
        <w:tc>
          <w:tcPr>
            <w:tcW w:w="183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F3F14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Strong consistency in continuous composite scores</w:t>
            </w:r>
          </w:p>
        </w:tc>
      </w:tr>
      <w:tr w14:paraId="3B5E7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0C844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Spearman correlation between rankings</w:t>
            </w:r>
          </w:p>
        </w:tc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F92B8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0.9782</w:t>
            </w: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2A76D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Strong consistency in province-year rankings</w:t>
            </w:r>
          </w:p>
        </w:tc>
      </w:tr>
      <w:tr w14:paraId="13A5D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037CD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Quartile classification agreement</w:t>
            </w:r>
          </w:p>
        </w:tc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03E7C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80.65% (250/310)</w:t>
            </w: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F8768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Most observations were assigned to the same quartile</w:t>
            </w:r>
          </w:p>
        </w:tc>
      </w:tr>
      <w:tr w14:paraId="3B151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69DF7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Same or adjacent quartile agreement</w:t>
            </w:r>
          </w:p>
        </w:tc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A1E05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100.00%</w:t>
            </w: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AF5F9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No observation differed by more than one quartile</w:t>
            </w:r>
          </w:p>
        </w:tc>
      </w:tr>
      <w:tr w14:paraId="1CDF2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5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61A6B2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Mean absolute full-sample rank difference</w:t>
            </w:r>
          </w:p>
        </w:tc>
        <w:tc>
          <w:tcPr>
            <w:tcW w:w="91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651590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14.53 positions</w:t>
            </w:r>
          </w:p>
        </w:tc>
        <w:tc>
          <w:tcPr>
            <w:tcW w:w="183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CA428B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Small rank displacement relative to the 310-position full-sample ranking</w:t>
            </w:r>
          </w:p>
        </w:tc>
      </w:tr>
    </w:tbl>
    <w:p w14:paraId="191D7878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outlineLvl w:val="9"/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7B5EDD0A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outlineLvl w:val="9"/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4BD99A01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outlineLvl w:val="9"/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6BCECCE0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hint="eastAsia" w:ascii="Times New Roman" w:hAnsi="Times New Roman" w:cs="Times New Roman" w:eastAsiaTheme="majorEastAsia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bookmarkStart w:id="4" w:name="_Toc27878"/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Supplementary Table S</w:t>
      </w:r>
      <w:r>
        <w:rPr>
          <w:rFonts w:hint="eastAsia" w:ascii="Times New Roman" w:hAnsi="Times New Roman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Annual robustness comparison between the 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equal-weight 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TOPSIS HQHRA index and the entropy-weighted index using the same 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four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indicators</w:t>
      </w:r>
      <w:bookmarkEnd w:id="4"/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</w:p>
    <w:tbl>
      <w:tblPr>
        <w:tblStyle w:val="8"/>
        <w:tblW w:w="93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1028"/>
        <w:gridCol w:w="1391"/>
        <w:gridCol w:w="1451"/>
        <w:gridCol w:w="2543"/>
        <w:gridCol w:w="1890"/>
      </w:tblGrid>
      <w:tr w14:paraId="3E7AD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top"/>
          </w:tcPr>
          <w:p w14:paraId="27E276B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Year</w:t>
            </w:r>
          </w:p>
        </w:tc>
        <w:tc>
          <w:tcPr>
            <w:tcW w:w="102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789B582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Pearson r</w:t>
            </w:r>
          </w:p>
        </w:tc>
        <w:tc>
          <w:tcPr>
            <w:tcW w:w="139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66B9DBA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Spearman rho</w:t>
            </w:r>
          </w:p>
        </w:tc>
        <w:tc>
          <w:tcPr>
            <w:tcW w:w="145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5CF33EA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Quartile agreement</w:t>
            </w:r>
          </w:p>
        </w:tc>
        <w:tc>
          <w:tcPr>
            <w:tcW w:w="254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0F42962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Mean absolute within-year rank difference</w:t>
            </w:r>
          </w:p>
        </w:tc>
        <w:tc>
          <w:tcPr>
            <w:tcW w:w="189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21C0EA3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Same or adjacent quartile agreement</w:t>
            </w:r>
          </w:p>
        </w:tc>
      </w:tr>
      <w:tr w14:paraId="43D9B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9D92D8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2014</w:t>
            </w:r>
          </w:p>
        </w:tc>
        <w:tc>
          <w:tcPr>
            <w:tcW w:w="102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5A35BB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0.9837</w:t>
            </w:r>
          </w:p>
        </w:tc>
        <w:tc>
          <w:tcPr>
            <w:tcW w:w="139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AEC667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0.9778</w:t>
            </w:r>
          </w:p>
        </w:tc>
        <w:tc>
          <w:tcPr>
            <w:tcW w:w="145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753656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87.10%</w:t>
            </w:r>
          </w:p>
        </w:tc>
        <w:tc>
          <w:tcPr>
            <w:tcW w:w="254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B47B84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1.35</w:t>
            </w:r>
          </w:p>
        </w:tc>
        <w:tc>
          <w:tcPr>
            <w:tcW w:w="189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05AAD3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100.00%</w:t>
            </w:r>
          </w:p>
        </w:tc>
      </w:tr>
      <w:tr w14:paraId="5583A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01853B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2015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B3AAC1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0.9837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8A24A2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0.9738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8B4FA6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74.19%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2006FC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1.61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F91AE0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100.00%</w:t>
            </w:r>
          </w:p>
        </w:tc>
      </w:tr>
      <w:tr w14:paraId="1FA1B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8B34AC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2016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E2DF49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0.9844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CD912B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0.9819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E99F3E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87.10%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7E1899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1.16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F26EFA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100.00%</w:t>
            </w:r>
          </w:p>
        </w:tc>
      </w:tr>
      <w:tr w14:paraId="2CF76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638FAD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2017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3EF7B6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0.9811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26C4E3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0.9754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1C144B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80.65%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EAC28E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1.35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DA31C5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100.00%</w:t>
            </w:r>
          </w:p>
        </w:tc>
      </w:tr>
      <w:tr w14:paraId="32F97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8B3833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2018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1B32DC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0.9779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A91C46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0.9762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98C804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87.10%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6C8CDC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1.35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C595E9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100.00%</w:t>
            </w:r>
          </w:p>
        </w:tc>
      </w:tr>
      <w:tr w14:paraId="1259A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37800D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2019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6F5DC4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0.9777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233530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0.9730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7B20D1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80.65%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C54951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1.68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E32EB7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100.00%</w:t>
            </w:r>
          </w:p>
        </w:tc>
      </w:tr>
      <w:tr w14:paraId="502B0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7B830A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2020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17D799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0.9801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C82637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0.9835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C39F49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80.65%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DE9210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1.03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1662B3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100.00%</w:t>
            </w:r>
          </w:p>
        </w:tc>
      </w:tr>
      <w:tr w14:paraId="3E150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054087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2021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60D156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0.9795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14146D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0.9827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1F6CA5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87.10%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A781CB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1.29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ADFEC3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100.00%</w:t>
            </w:r>
          </w:p>
        </w:tc>
      </w:tr>
      <w:tr w14:paraId="34A3F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06D1F9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2022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66B42F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0.9800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2250DB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0.9714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53FB60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74.19%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B39AED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1.55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5D618B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100.00%</w:t>
            </w:r>
          </w:p>
        </w:tc>
      </w:tr>
      <w:tr w14:paraId="594A2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4054783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2023</w:t>
            </w:r>
          </w:p>
        </w:tc>
        <w:tc>
          <w:tcPr>
            <w:tcW w:w="102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02562FD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0.9789</w:t>
            </w:r>
          </w:p>
        </w:tc>
        <w:tc>
          <w:tcPr>
            <w:tcW w:w="139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596CEA1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0.9770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4EE61B1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80.65%</w:t>
            </w:r>
          </w:p>
        </w:tc>
        <w:tc>
          <w:tcPr>
            <w:tcW w:w="254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178546E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1.48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722A4D4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100.00%</w:t>
            </w:r>
          </w:p>
        </w:tc>
      </w:tr>
    </w:tbl>
    <w:p w14:paraId="34C4CC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outlineLvl w:val="9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 xml:space="preserve">Note: </w:t>
      </w:r>
      <w:r>
        <w:rPr>
          <w:rFonts w:hint="default" w:ascii="Times New Roman" w:hAnsi="Times New Roman" w:cs="Times New Roman"/>
          <w:sz w:val="21"/>
          <w:szCs w:val="21"/>
        </w:rPr>
        <w:t>Each annual comparison was based on 31 provincial-level regions. Rankings were recalculated separately within each year before the mean absolute within-year rank difference was estimated.</w:t>
      </w:r>
    </w:p>
    <w:p w14:paraId="6D50F018">
      <w:pPr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jc w:val="center"/>
        <w:textAlignment w:val="auto"/>
        <w:outlineLvl w:val="9"/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37E60449">
      <w:pPr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jc w:val="center"/>
        <w:textAlignment w:val="auto"/>
        <w:outlineLvl w:val="9"/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2BB76849">
      <w:pPr>
        <w:outlineLvl w:val="9"/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52193712">
      <w:pPr>
        <w:outlineLvl w:val="9"/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2A889B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default" w:ascii="Times New Roman" w:hAnsi="Times New Roman" w:cs="Times New Roman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573975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ADBDDE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7ADBDDE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E73F12"/>
    <w:rsid w:val="0AAE5D79"/>
    <w:rsid w:val="25D5104E"/>
    <w:rsid w:val="2C817B5B"/>
    <w:rsid w:val="4BE11F84"/>
    <w:rsid w:val="4ED12382"/>
    <w:rsid w:val="5BEE0A48"/>
    <w:rsid w:val="73E73F12"/>
    <w:rsid w:val="74134A59"/>
    <w:rsid w:val="77E609AC"/>
    <w:rsid w:val="799F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21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E54A1" w:themeColor="accent1" w:themeShade="BF"/>
      <w:sz w:val="28"/>
      <w:szCs w:val="28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874CB" w:themeColor="accent1"/>
      <w:sz w:val="26"/>
      <w:szCs w:val="26"/>
      <w14:textFill>
        <w14:solidFill>
          <w14:schemeClr w14:val="accent1"/>
        </w14:solidFill>
      </w14:textFill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oc 2"/>
    <w:basedOn w:val="1"/>
    <w:next w:val="1"/>
    <w:qFormat/>
    <w:uiPriority w:val="0"/>
    <w:pPr>
      <w:ind w:left="420" w:leftChars="200"/>
    </w:pPr>
  </w:style>
  <w:style w:type="table" w:styleId="8">
    <w:name w:val="Table Grid"/>
    <w:basedOn w:val="7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531</Words>
  <Characters>3433</Characters>
  <Lines>0</Lines>
  <Paragraphs>0</Paragraphs>
  <TotalTime>7</TotalTime>
  <ScaleCrop>false</ScaleCrop>
  <LinksUpToDate>false</LinksUpToDate>
  <CharactersWithSpaces>3825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2026-07-20T09:47:00Z</dcterms:created>
  <dc:creator>汤子健</dc:creator>
  <cp:lastModifiedBy>汤子健</cp:lastModifiedBy>
  <dcterms:modified xsi:type="dcterms:W3CDTF">2026-08-01T04:31:12Z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60AEC2AA06764E0B90AED3AFDCB80532_13</vt:lpwstr>
  </property>
  <property fmtid="{D5CDD505-2E9C-101B-9397-08002B2CF9AE}" pid="4" name="KSOTemplateDocerSaveRecord">
    <vt:lpwstr>eyJoZGlkIjoiYTE2YTA2ZGQ5OTAzOTk3MDJhYWQ1YzI0MWVhOGJjYTEiLCJ1c2VySWQiOiIxNjE2OTUyOTcyIn0=</vt:lpwstr>
  </property>
</Properties>
</file>