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C7517">
      <w:pPr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  <w:bookmarkStart w:id="0" w:name="_Toc27033"/>
      <w:bookmarkStart w:id="1" w:name="_Toc4400"/>
      <w:r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 xml:space="preserve">Supplementary Material 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 xml:space="preserve">. </w:t>
      </w:r>
      <w:bookmarkEnd w:id="0"/>
      <w:bookmarkEnd w:id="1"/>
      <w:bookmarkStart w:id="5" w:name="_GoBack"/>
      <w:r>
        <w:rPr>
          <w:rFonts w:hint="default" w:ascii="Times New Roman" w:hAnsi="Times New Roman" w:cs="Times New Roman"/>
          <w:color w:val="000000" w:themeColor="text1"/>
          <w:kern w:val="0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Panel QCA truth table and threshold-robustness analyses</w:t>
      </w:r>
      <w:bookmarkEnd w:id="5"/>
    </w:p>
    <w:p w14:paraId="6473F515">
      <w:pPr>
        <w:rPr>
          <w:rFonts w:hint="default" w:ascii="Times New Roman" w:hAnsi="Times New Roman" w:cs="Times New Roman"/>
          <w:color w:val="000000" w:themeColor="text1"/>
          <w:kern w:val="0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 w14:paraId="730D2DA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dt>
      <w:sdtP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id w:val="147451507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cs="Times New Roman" w:eastAsiaTheme="minorEastAsia"/>
          <w:b/>
          <w:bCs/>
          <w:color w:val="000000" w:themeColor="text1"/>
          <w:kern w:val="0"/>
          <w:sz w:val="21"/>
          <w:szCs w:val="28"/>
          <w:lang w:val="en-US" w:eastAsia="en-US" w:bidi="ar-SA"/>
          <w14:textFill>
            <w14:solidFill>
              <w14:schemeClr w14:val="tx1"/>
            </w14:solidFill>
          </w14:textFill>
        </w:rPr>
      </w:sdtEndPr>
      <w:sdtContent>
        <w:p w14:paraId="494D67D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sz w:val="21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b/>
              <w:bCs/>
              <w:sz w:val="21"/>
              <w:lang w:val="en-US" w:eastAsia="zh-CN"/>
            </w:rPr>
            <w:t>Directory</w:t>
          </w:r>
        </w:p>
        <w:p w14:paraId="2032F93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eastAsia="宋体" w:cs="Times New Roman"/>
              <w:b/>
              <w:bCs/>
              <w:sz w:val="21"/>
              <w:lang w:val="en-US" w:eastAsia="zh-CN"/>
            </w:rPr>
          </w:pPr>
        </w:p>
        <w:p w14:paraId="0251EA8F"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instrText xml:space="preserve">TOC \o "1-1" \h \u </w:instrText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fldChar w:fldCharType="begin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instrText xml:space="preserve"> HYPERLINK \l _Toc27562 </w:instrText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  <w:lang w:eastAsia="en-US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</w:rPr>
            <w:t>Supplementary Table S1</w:t>
          </w:r>
          <w:r>
            <w:rPr>
              <w:rFonts w:hint="eastAsia" w:ascii="Times New Roman" w:hAnsi="Times New Roman" w:eastAsia="宋体" w:cs="Times New Roman"/>
              <w:b/>
              <w:bCs/>
              <w:szCs w:val="21"/>
              <w:lang w:val="en-US" w:eastAsia="zh-CN"/>
            </w:rPr>
            <w:t>0</w:t>
          </w:r>
          <w:r>
            <w:rPr>
              <w:rFonts w:hint="default" w:ascii="Times New Roman" w:hAnsi="Times New Roman" w:eastAsia="宋体" w:cs="Times New Roman"/>
              <w:szCs w:val="21"/>
            </w:rPr>
            <w:t xml:space="preserve"> </w:t>
          </w:r>
          <w:r>
            <w:rPr>
              <w:rFonts w:hint="default" w:ascii="Times New Roman" w:hAnsi="Times New Roman" w:eastAsia="宋体" w:cs="Times New Roman"/>
              <w:bCs/>
              <w:szCs w:val="21"/>
            </w:rPr>
            <w:t>Truth table for high-level HQHRA under the baseline thresholds</w:t>
          </w:r>
          <w:r>
            <w:rPr>
              <w:rFonts w:hint="default" w:ascii="Times New Roman" w:hAnsi="Times New Roman" w:eastAsia="宋体" w:cs="Times New Roman"/>
              <w:bCs/>
              <w:szCs w:val="21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_Toc27562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28499B4B"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cs="Times New Roman"/>
              <w:kern w:val="0"/>
              <w:szCs w:val="28"/>
              <w:lang w:eastAsia="en-US"/>
            </w:rPr>
            <w:instrText xml:space="preserve"> HYPERLINK \l _Toc9563 </w:instrText>
          </w:r>
          <w:r>
            <w:rPr>
              <w:rFonts w:hint="default" w:ascii="Times New Roman" w:hAnsi="Times New Roman" w:cs="Times New Roman"/>
              <w:kern w:val="0"/>
              <w:szCs w:val="28"/>
              <w:lang w:eastAsia="en-US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</w:rPr>
            <w:t>Supplementary Table S1</w:t>
          </w:r>
          <w:r>
            <w:rPr>
              <w:rFonts w:hint="eastAsia" w:ascii="Times New Roman" w:hAnsi="Times New Roman" w:eastAsia="宋体" w:cs="Times New Roman"/>
              <w:b/>
              <w:bCs/>
              <w:szCs w:val="21"/>
              <w:lang w:val="en-US" w:eastAsia="zh-CN"/>
            </w:rPr>
            <w:t>1</w:t>
          </w:r>
          <w:r>
            <w:rPr>
              <w:rFonts w:hint="default" w:ascii="Times New Roman" w:hAnsi="Times New Roman" w:eastAsia="宋体" w:cs="Times New Roman"/>
              <w:szCs w:val="21"/>
            </w:rPr>
            <w:t xml:space="preserve"> </w:t>
          </w:r>
          <w:r>
            <w:rPr>
              <w:rFonts w:hint="default" w:ascii="Times New Roman" w:hAnsi="Times New Roman" w:eastAsia="宋体" w:cs="Times New Roman"/>
              <w:bCs/>
              <w:szCs w:val="21"/>
            </w:rPr>
            <w:t>Robustness analysis with the raw consistency threshold increased to 0.80</w:t>
          </w:r>
          <w:r>
            <w:rPr>
              <w:rFonts w:hint="default" w:ascii="Times New Roman" w:hAnsi="Times New Roman" w:eastAsia="宋体" w:cs="Times New Roman"/>
              <w:bCs/>
              <w:szCs w:val="21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_Toc9563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3823B16"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default" w:ascii="Times New Roman" w:hAnsi="Times New Roman" w:cs="Times New Roman"/>
              <w:kern w:val="0"/>
              <w:szCs w:val="28"/>
              <w:lang w:eastAsia="en-US"/>
            </w:rPr>
            <w:instrText xml:space="preserve"> HYPERLINK \l _Toc4512 </w:instrText>
          </w:r>
          <w:r>
            <w:rPr>
              <w:rFonts w:hint="default" w:ascii="Times New Roman" w:hAnsi="Times New Roman" w:cs="Times New Roman"/>
              <w:kern w:val="0"/>
              <w:szCs w:val="28"/>
              <w:lang w:eastAsia="en-US"/>
            </w:rPr>
            <w:fldChar w:fldCharType="separate"/>
          </w:r>
          <w:r>
            <w:rPr>
              <w:rFonts w:hint="default" w:ascii="Times New Roman" w:hAnsi="Times New Roman" w:eastAsia="宋体" w:cs="Times New Roman"/>
              <w:b/>
              <w:bCs/>
              <w:szCs w:val="21"/>
            </w:rPr>
            <w:t>Supplementary Table S1</w:t>
          </w:r>
          <w:r>
            <w:rPr>
              <w:rFonts w:hint="eastAsia" w:ascii="Times New Roman" w:hAnsi="Times New Roman" w:eastAsia="宋体" w:cs="Times New Roman"/>
              <w:b/>
              <w:bCs/>
              <w:szCs w:val="21"/>
              <w:lang w:val="en-US" w:eastAsia="zh-CN"/>
            </w:rPr>
            <w:t>2</w:t>
          </w:r>
          <w:r>
            <w:rPr>
              <w:rFonts w:hint="default" w:ascii="Times New Roman" w:hAnsi="Times New Roman" w:eastAsia="宋体" w:cs="Times New Roman"/>
              <w:szCs w:val="21"/>
            </w:rPr>
            <w:t xml:space="preserve"> </w:t>
          </w:r>
          <w:r>
            <w:rPr>
              <w:rFonts w:hint="default" w:ascii="Times New Roman" w:hAnsi="Times New Roman" w:eastAsia="宋体" w:cs="Times New Roman"/>
              <w:bCs/>
              <w:szCs w:val="21"/>
            </w:rPr>
            <w:t>Robustness analysis with the PRI consistency threshold increased to 0.65</w:t>
          </w:r>
          <w:r>
            <w:rPr>
              <w:rFonts w:hint="default" w:ascii="Times New Roman" w:hAnsi="Times New Roman" w:eastAsia="宋体" w:cs="Times New Roman"/>
              <w:bCs/>
              <w:szCs w:val="21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_Toc4512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D69AC92">
          <w:pPr>
            <w:rPr>
              <w:rFonts w:hint="default" w:ascii="Times New Roman" w:hAnsi="Times New Roman" w:cs="Times New Roman" w:eastAsiaTheme="minorEastAsia"/>
              <w:color w:val="000000" w:themeColor="text1"/>
              <w:kern w:val="0"/>
              <w:sz w:val="21"/>
              <w:szCs w:val="28"/>
              <w:lang w:val="en-US" w:eastAsia="en-US" w:bidi="ar-SA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default" w:ascii="Times New Roman" w:hAnsi="Times New Roman" w:cs="Times New Roman"/>
              <w:color w:val="000000" w:themeColor="text1"/>
              <w:kern w:val="0"/>
              <w:szCs w:val="28"/>
              <w:lang w:eastAsia="en-US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 w14:paraId="77DF439F">
      <w:pPr>
        <w:rPr>
          <w:rFonts w:hint="default" w:ascii="Times New Roman" w:hAnsi="Times New Roman" w:cs="Times New Roman" w:eastAsiaTheme="minorEastAsia"/>
          <w:color w:val="000000" w:themeColor="text1"/>
          <w:kern w:val="0"/>
          <w:sz w:val="21"/>
          <w:szCs w:val="28"/>
          <w:lang w:val="en-US" w:eastAsia="en-US" w:bidi="ar-SA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CDF444">
      <w:pPr>
        <w:jc w:val="center"/>
        <w:outlineLvl w:val="0"/>
        <w:rPr>
          <w:rStyle w:val="8"/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</w:pPr>
      <w:bookmarkStart w:id="2" w:name="_Toc27562"/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>Supplementary Table S1</w:t>
      </w:r>
      <w:r>
        <w:rPr>
          <w:rStyle w:val="8"/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0</w:t>
      </w:r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Style w:val="8"/>
          <w:rFonts w:hint="default" w:ascii="Times New Roman" w:hAnsi="Times New Roman" w:eastAsia="宋体" w:cs="Times New Roman"/>
          <w:b w:val="0"/>
          <w:bCs/>
          <w:sz w:val="21"/>
          <w:szCs w:val="21"/>
        </w:rPr>
        <w:t>Truth table for high-level HQHRA under the baseline thresholds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  <w:t>.</w:t>
      </w:r>
      <w:bookmarkEnd w:id="2"/>
    </w:p>
    <w:tbl>
      <w:tblPr>
        <w:tblStyle w:val="6"/>
        <w:tblW w:w="561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465"/>
        <w:gridCol w:w="1346"/>
        <w:gridCol w:w="1221"/>
        <w:gridCol w:w="1570"/>
        <w:gridCol w:w="1405"/>
        <w:gridCol w:w="1195"/>
        <w:gridCol w:w="1155"/>
        <w:gridCol w:w="1164"/>
        <w:gridCol w:w="1346"/>
        <w:gridCol w:w="1247"/>
        <w:gridCol w:w="1260"/>
      </w:tblGrid>
      <w:tr w14:paraId="15829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8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top"/>
          </w:tcPr>
          <w:p w14:paraId="1DC6F6F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technology support capacity</w:t>
            </w:r>
          </w:p>
        </w:tc>
        <w:tc>
          <w:tcPr>
            <w:tcW w:w="4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30590DB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Technological innovation capacity</w:t>
            </w:r>
          </w:p>
        </w:tc>
        <w:tc>
          <w:tcPr>
            <w:tcW w:w="42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68CE1E9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infrastructure capacity</w:t>
            </w:r>
          </w:p>
        </w:tc>
        <w:tc>
          <w:tcPr>
            <w:tcW w:w="38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3E70A3F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Clinical workforce capacity</w:t>
            </w:r>
          </w:p>
        </w:tc>
        <w:tc>
          <w:tcPr>
            <w:tcW w:w="49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065680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Government health financing support</w:t>
            </w:r>
          </w:p>
        </w:tc>
        <w:tc>
          <w:tcPr>
            <w:tcW w:w="44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368B121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Regional economic development</w:t>
            </w:r>
          </w:p>
        </w:tc>
        <w:tc>
          <w:tcPr>
            <w:tcW w:w="37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4247F2F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Population ageing pressure</w:t>
            </w:r>
          </w:p>
        </w:tc>
        <w:tc>
          <w:tcPr>
            <w:tcW w:w="36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3E7306B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demand intensity</w:t>
            </w:r>
          </w:p>
        </w:tc>
        <w:tc>
          <w:tcPr>
            <w:tcW w:w="3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6926DD6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High-level HQHRA</w:t>
            </w:r>
          </w:p>
        </w:tc>
        <w:tc>
          <w:tcPr>
            <w:tcW w:w="42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12DD9BF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Observations</w:t>
            </w:r>
          </w:p>
        </w:tc>
        <w:tc>
          <w:tcPr>
            <w:tcW w:w="39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11F077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Raw consistency</w:t>
            </w:r>
          </w:p>
        </w:tc>
        <w:tc>
          <w:tcPr>
            <w:tcW w:w="39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606AD14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 consistency</w:t>
            </w:r>
          </w:p>
        </w:tc>
      </w:tr>
      <w:tr w14:paraId="5A24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2EBD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99F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B9CF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AA6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4DE4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BB96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025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821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A76E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A94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9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47DD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0.942 </w:t>
            </w:r>
          </w:p>
        </w:tc>
        <w:tc>
          <w:tcPr>
            <w:tcW w:w="39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04D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0.756 </w:t>
            </w:r>
          </w:p>
        </w:tc>
      </w:tr>
      <w:tr w14:paraId="529E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63E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DDB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073B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228B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119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15D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989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C52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98F1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60D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2B0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0.916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67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0.679 </w:t>
            </w:r>
          </w:p>
        </w:tc>
      </w:tr>
      <w:tr w14:paraId="478E2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06CB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154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5A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BB6F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4CB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31F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F5B1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54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35A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FEB2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B62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0.935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3A61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0.668 </w:t>
            </w:r>
          </w:p>
        </w:tc>
      </w:tr>
      <w:tr w14:paraId="0A1A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4E4B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C07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D3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B64C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AC5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4AAE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9A89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81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5FCD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FCF5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71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C9E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0.644 </w:t>
            </w:r>
          </w:p>
        </w:tc>
      </w:tr>
      <w:tr w14:paraId="76963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9C8F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DE5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F2CC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CF8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36F9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E4A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6874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B9B3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A10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3D0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F1BA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0.763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724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0.249 </w:t>
            </w:r>
          </w:p>
        </w:tc>
      </w:tr>
      <w:tr w14:paraId="68F7B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FA4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4AE3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CFF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9F5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B458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A1C2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3F4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10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A4B9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F0B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17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0.856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235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0.408 </w:t>
            </w:r>
          </w:p>
        </w:tc>
      </w:tr>
      <w:tr w14:paraId="1FD13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37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95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5C1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47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A2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4D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968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A2C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08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DF8E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7B4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0.592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A3F2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0.181 </w:t>
            </w:r>
          </w:p>
        </w:tc>
      </w:tr>
      <w:tr w14:paraId="33B6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048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E3C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AC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C5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48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C8E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B2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69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FD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471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AC7F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0.781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2B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0.339 </w:t>
            </w:r>
          </w:p>
        </w:tc>
      </w:tr>
      <w:tr w14:paraId="1E255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39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FB3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767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E3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0E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64D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EA7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F7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17C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0F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216A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0.837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30A7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0.334 </w:t>
            </w:r>
          </w:p>
        </w:tc>
      </w:tr>
      <w:tr w14:paraId="36FE1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F3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17B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8B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BA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33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CCB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85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5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8F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D6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9FD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0.850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147E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0.385 </w:t>
            </w:r>
          </w:p>
        </w:tc>
      </w:tr>
      <w:tr w14:paraId="2FC8B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51B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362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25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DA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9E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036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F7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DF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34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E0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CC4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0.814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093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0.232 </w:t>
            </w:r>
          </w:p>
        </w:tc>
      </w:tr>
      <w:tr w14:paraId="71232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B0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CC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C8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CD2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149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E2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6C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635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7D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E3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E90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0.716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68C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0.146 </w:t>
            </w:r>
          </w:p>
        </w:tc>
      </w:tr>
      <w:tr w14:paraId="478C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BA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4A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063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78E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93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1E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9F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F0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009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16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AFC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0.864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FC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0.551 </w:t>
            </w:r>
          </w:p>
        </w:tc>
      </w:tr>
      <w:tr w14:paraId="3EA8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1275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FED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48E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06F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15EF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B28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EFB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F637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773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DC73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98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0.880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5F2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0.598 </w:t>
            </w:r>
          </w:p>
        </w:tc>
      </w:tr>
      <w:tr w14:paraId="11075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44F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EB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1E9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14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8D7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437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0EFA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5EB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F2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E3C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215F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89F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0.375 </w:t>
            </w:r>
          </w:p>
        </w:tc>
      </w:tr>
      <w:tr w14:paraId="257F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996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E43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86AE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555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C10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D35D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4C0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BECA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BC0D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58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3B9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0.712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3804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0.134 </w:t>
            </w:r>
          </w:p>
        </w:tc>
      </w:tr>
      <w:tr w14:paraId="7E9B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FD7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72FA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09F8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7C0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47D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A4E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6C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3D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F5C5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106F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556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0.822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4B1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0.242 </w:t>
            </w:r>
          </w:p>
        </w:tc>
      </w:tr>
      <w:tr w14:paraId="3558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05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BCA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9D9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27A9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D24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9E29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8AC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25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C94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F45E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394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0.855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98CB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0.469 </w:t>
            </w:r>
          </w:p>
        </w:tc>
      </w:tr>
      <w:tr w14:paraId="1A1BE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8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B3F7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BAF1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8671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3543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63AB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462C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6D455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408D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52DF9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249F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4859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0.790 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D15A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0.207 </w:t>
            </w:r>
          </w:p>
        </w:tc>
      </w:tr>
    </w:tbl>
    <w:p w14:paraId="4ED14366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Note: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The table reports the empirically observed configurations that met the case-frequency threshold of 3. These configurations retained 250 of the 310 province–year observations (80.6%)</w:t>
      </w:r>
      <w:r>
        <w:rPr>
          <w:rFonts w:hint="default" w:ascii="Times New Roman" w:hAnsi="Times New Roman" w:eastAsia="宋体" w:cs="Times New Roman"/>
          <w:sz w:val="21"/>
          <w:szCs w:val="21"/>
        </w:rPr>
        <w:t>. An outcome assignment of 1 indicates that the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configuration met both the raw consistency threshold of 0.75 and the PRI consistency threshold of 0.60; an assignment of 0 indicates that one or both consistency criteria were not met. PRI, proportional reduction in inconsistency.</w:t>
      </w:r>
    </w:p>
    <w:p w14:paraId="7A92E15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7E66DF85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F15C17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71A8077D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6252795A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346CD97C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61EE58A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1FD3A76C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4ECC51FA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025D695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525878CB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74CD8D2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62A75925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36688AC9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46A421C0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48B5DB7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364DCA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55AF9B76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6EE0694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4D0D4C6A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1A83421B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519E174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055E3C0C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7EA5F15B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1C2D6A60">
      <w:pPr>
        <w:jc w:val="left"/>
        <w:rPr>
          <w:rFonts w:hint="default" w:ascii="Times New Roman" w:hAnsi="Times New Roman" w:eastAsia="宋体" w:cs="Times New Roman"/>
          <w:sz w:val="21"/>
          <w:szCs w:val="21"/>
        </w:rPr>
      </w:pPr>
    </w:p>
    <w:p w14:paraId="7C9E84A4">
      <w:pPr>
        <w:jc w:val="center"/>
        <w:outlineLvl w:val="0"/>
        <w:rPr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</w:pPr>
      <w:bookmarkStart w:id="3" w:name="_Toc9563"/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>Supplementary Table S1</w:t>
      </w:r>
      <w:r>
        <w:rPr>
          <w:rStyle w:val="8"/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1</w:t>
      </w:r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Style w:val="8"/>
          <w:rFonts w:hint="default" w:ascii="Times New Roman" w:hAnsi="Times New Roman" w:eastAsia="宋体" w:cs="Times New Roman"/>
          <w:b w:val="0"/>
          <w:bCs/>
          <w:sz w:val="21"/>
          <w:szCs w:val="21"/>
        </w:rPr>
        <w:t>Robustness analysis with the raw consistency threshold increased to 0.80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  <w:t>.</w:t>
      </w:r>
      <w:bookmarkEnd w:id="3"/>
    </w:p>
    <w:tbl>
      <w:tblPr>
        <w:tblStyle w:val="6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8"/>
        <w:gridCol w:w="2078"/>
        <w:gridCol w:w="3087"/>
        <w:gridCol w:w="2979"/>
        <w:gridCol w:w="2379"/>
      </w:tblGrid>
      <w:tr w14:paraId="1A0BD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7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957F1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Condtiton</w:t>
            </w:r>
          </w:p>
        </w:tc>
        <w:tc>
          <w:tcPr>
            <w:tcW w:w="7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50DFC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</w:t>
            </w:r>
          </w:p>
        </w:tc>
        <w:tc>
          <w:tcPr>
            <w:tcW w:w="108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3FBB5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IIa</w:t>
            </w:r>
          </w:p>
        </w:tc>
        <w:tc>
          <w:tcPr>
            <w:tcW w:w="105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EBDC0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IIb</w:t>
            </w:r>
          </w:p>
        </w:tc>
        <w:tc>
          <w:tcPr>
            <w:tcW w:w="83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20C3E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III</w:t>
            </w:r>
          </w:p>
        </w:tc>
      </w:tr>
      <w:tr w14:paraId="2C4A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87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8619B0">
            <w:pPr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C94E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Innovation-led pattern</w:t>
            </w:r>
          </w:p>
        </w:tc>
        <w:tc>
          <w:tcPr>
            <w:tcW w:w="108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18AA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Innovation–demand pattern:Economic-reinforcement variant</w:t>
            </w:r>
          </w:p>
        </w:tc>
        <w:tc>
          <w:tcPr>
            <w:tcW w:w="105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B5AB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Innovation–demand pattern:Ageing-context variant</w:t>
            </w:r>
          </w:p>
        </w:tc>
        <w:tc>
          <w:tcPr>
            <w:tcW w:w="83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F5C6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Multi-capacity–demand synergy pattern</w:t>
            </w:r>
          </w:p>
        </w:tc>
      </w:tr>
      <w:tr w14:paraId="62AB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5C1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technology support capacity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7CE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EB3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503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4FF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</w:tr>
      <w:tr w14:paraId="12421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30A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Technological innovation capacity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396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CF8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F51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651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3939C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11EFB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infrastructure capacity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E9B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C46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1DA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CEC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0813D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2926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Clinical workforce capacity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53B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0B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C3E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6DD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</w:tr>
      <w:tr w14:paraId="3C52A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2CF3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Government health financing support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B7C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675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14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6A1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</w:tr>
      <w:tr w14:paraId="1483A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35B3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Regional economic development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9ED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5ED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D495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F96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361A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047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Population ageing pressure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08F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248A5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2A41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6C7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</w:tr>
      <w:tr w14:paraId="55F6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659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demand intensity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972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6BE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1E5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6CB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3BF0B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E9C6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Consistency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5D3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07A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0.922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1D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0.898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891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0.935</w:t>
            </w:r>
          </w:p>
        </w:tc>
      </w:tr>
      <w:tr w14:paraId="2B02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40DA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Original coverage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B78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0.291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5EE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426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7CF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0.266</w:t>
            </w:r>
          </w:p>
        </w:tc>
      </w:tr>
      <w:tr w14:paraId="48CFC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B318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Unique coverage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BC6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62A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6A0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DA4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</w:t>
            </w:r>
          </w:p>
        </w:tc>
      </w:tr>
      <w:tr w14:paraId="76C2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6BDD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BECONS adjusted distance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4AD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8D5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C88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E52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0.087</w:t>
            </w:r>
          </w:p>
        </w:tc>
      </w:tr>
      <w:tr w14:paraId="40572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ED46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WICONS adjusted distance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F53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0.175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360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0.175</w:t>
            </w:r>
          </w:p>
        </w:tc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D69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0.198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483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0.222</w:t>
            </w:r>
          </w:p>
        </w:tc>
      </w:tr>
      <w:tr w14:paraId="6C88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5E9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consistency</w:t>
            </w:r>
          </w:p>
        </w:tc>
        <w:tc>
          <w:tcPr>
            <w:tcW w:w="37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715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0.864</w:t>
            </w:r>
          </w:p>
        </w:tc>
      </w:tr>
      <w:tr w14:paraId="4C9D6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8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A2C3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coverage</w:t>
            </w:r>
          </w:p>
        </w:tc>
        <w:tc>
          <w:tcPr>
            <w:tcW w:w="3712" w:type="pct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EF58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0.686</w:t>
            </w:r>
          </w:p>
        </w:tc>
      </w:tr>
    </w:tbl>
    <w:p w14:paraId="47F2015E">
      <w:pPr>
        <w:jc w:val="left"/>
        <w:rPr>
          <w:rFonts w:hint="default" w:ascii="Times New Roman" w:hAnsi="Times New Roman" w:cs="Times New Roman" w:eastAsiaTheme="minorEastAsia"/>
          <w:highlight w:val="none"/>
          <w:lang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/>
          <w:bCs/>
          <w:highlight w:val="none"/>
          <w:lang w:eastAsia="zh-CN"/>
        </w:rPr>
        <w:t>Note: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Wingdings 2" w:hAnsi="Wingdings 2" w:eastAsia="Wingdings 2" w:cs="Wingdings 2"/>
          <w:b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●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and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sz w:val="36"/>
          <w:szCs w:val="36"/>
          <w:highlight w:val="none"/>
          <w:lang w:eastAsia="zh-CN"/>
        </w:rPr>
        <w:t>⨂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indicate the presence and absence of core conditions, respectively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;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●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and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Wingdings 2" w:hAnsi="Wingdings 2" w:eastAsia="Wingdings 2" w:cs="Wingdings 2"/>
          <w:b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U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indicate the presence and absence of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i w:val="0"/>
          <w:iCs w:val="0"/>
          <w:sz w:val="21"/>
          <w:szCs w:val="21"/>
          <w:highlight w:val="none"/>
          <w:lang w:val="en-US" w:eastAsia="zh-CN"/>
        </w:rPr>
        <w:t>peripheral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conditions,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and blank spaces indicate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>don’t care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conditions. The absence of a condition refers to non-membership in the corresponding high-level condition set rather than the literal nonexistence of that condition.</w:t>
      </w:r>
    </w:p>
    <w:p w14:paraId="2F317DB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jc w:val="center"/>
        <w:textAlignment w:val="auto"/>
        <w:outlineLvl w:val="0"/>
        <w:rPr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</w:pPr>
      <w:bookmarkStart w:id="4" w:name="_Toc4512"/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>Supplementary Table S1</w:t>
      </w:r>
      <w:r>
        <w:rPr>
          <w:rStyle w:val="8"/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2</w:t>
      </w:r>
      <w:r>
        <w:rPr>
          <w:rStyle w:val="8"/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Style w:val="8"/>
          <w:rFonts w:hint="default" w:ascii="Times New Roman" w:hAnsi="Times New Roman" w:eastAsia="宋体" w:cs="Times New Roman"/>
          <w:b w:val="0"/>
          <w:bCs/>
          <w:sz w:val="21"/>
          <w:szCs w:val="21"/>
        </w:rPr>
        <w:t>Robustness analysis with the PRI consistency threshold increased to 0.65</w:t>
      </w:r>
      <w:r>
        <w:rPr>
          <w:rStyle w:val="8"/>
          <w:rFonts w:hint="eastAsia" w:ascii="Times New Roman" w:hAnsi="Times New Roman" w:eastAsia="宋体" w:cs="Times New Roman"/>
          <w:b w:val="0"/>
          <w:bCs/>
          <w:sz w:val="21"/>
          <w:szCs w:val="21"/>
          <w:lang w:val="en-US" w:eastAsia="zh-CN"/>
        </w:rPr>
        <w:t>.</w:t>
      </w:r>
      <w:bookmarkEnd w:id="4"/>
    </w:p>
    <w:tbl>
      <w:tblPr>
        <w:tblStyle w:val="6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2710"/>
        <w:gridCol w:w="4320"/>
        <w:gridCol w:w="2889"/>
      </w:tblGrid>
      <w:tr w14:paraId="336CA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00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26EF3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Condtiton</w:t>
            </w:r>
          </w:p>
        </w:tc>
        <w:tc>
          <w:tcPr>
            <w:tcW w:w="9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C8999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</w:t>
            </w:r>
          </w:p>
        </w:tc>
        <w:tc>
          <w:tcPr>
            <w:tcW w:w="152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72A2B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II</w:t>
            </w:r>
          </w:p>
        </w:tc>
        <w:tc>
          <w:tcPr>
            <w:tcW w:w="101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9EBF8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Pathway III</w:t>
            </w:r>
          </w:p>
        </w:tc>
      </w:tr>
      <w:tr w14:paraId="138C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00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AAE4C">
            <w:pPr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B25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Innovation-led pattern</w:t>
            </w:r>
          </w:p>
        </w:tc>
        <w:tc>
          <w:tcPr>
            <w:tcW w:w="152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5F6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Innovation–demand pattern:Economic-reinforcement variant</w:t>
            </w:r>
          </w:p>
        </w:tc>
        <w:tc>
          <w:tcPr>
            <w:tcW w:w="10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400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Multi-capacity–demand synergy pattern</w:t>
            </w:r>
          </w:p>
        </w:tc>
      </w:tr>
      <w:tr w14:paraId="56287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BD3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technology support capacity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587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A00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B452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</w:tr>
      <w:tr w14:paraId="5592A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552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Technological innovation capacity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EB3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A4E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120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6883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E36F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infrastructure capacity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B458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2C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093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5FFAE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4337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Clinical workforce capacity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541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EF3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834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</w:tr>
      <w:tr w14:paraId="6CE6E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9429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Government health financing support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209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ABF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1D7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</w:t>
            </w:r>
          </w:p>
        </w:tc>
      </w:tr>
      <w:tr w14:paraId="5A139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478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Regional economic development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BE5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B94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962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0A01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705AE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Population ageing pressure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747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B55320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640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</w:t>
            </w:r>
          </w:p>
        </w:tc>
      </w:tr>
      <w:tr w14:paraId="75AE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B918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demand intensity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DCA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6C6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ACD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●</w:t>
            </w:r>
          </w:p>
        </w:tc>
      </w:tr>
      <w:tr w14:paraId="0362D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7033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Consistency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F56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0.916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25B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57B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0.935</w:t>
            </w:r>
          </w:p>
        </w:tc>
      </w:tr>
      <w:tr w14:paraId="7C5CB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4733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Original coverage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49D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0.247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836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170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0.247</w:t>
            </w:r>
          </w:p>
        </w:tc>
      </w:tr>
      <w:tr w14:paraId="028C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7D0C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Unique coverage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064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BF2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341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</w:tr>
      <w:tr w14:paraId="0988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9E1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BECONS adjusted distance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BD9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BF9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547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0.084</w:t>
            </w:r>
          </w:p>
        </w:tc>
      </w:tr>
      <w:tr w14:paraId="102F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3F1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WICONS adjusted distance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2B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0.187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429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0.175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9D2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0.187</w:t>
            </w:r>
          </w:p>
        </w:tc>
      </w:tr>
      <w:tr w14:paraId="770E7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357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consistency</w:t>
            </w:r>
          </w:p>
        </w:tc>
        <w:tc>
          <w:tcPr>
            <w:tcW w:w="34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DBD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0.880</w:t>
            </w:r>
          </w:p>
        </w:tc>
      </w:tr>
      <w:tr w14:paraId="3389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5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123659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 coverage</w:t>
            </w:r>
          </w:p>
        </w:tc>
        <w:tc>
          <w:tcPr>
            <w:tcW w:w="3499" w:type="pct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302E3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0.625</w:t>
            </w:r>
          </w:p>
        </w:tc>
      </w:tr>
    </w:tbl>
    <w:p w14:paraId="4B3FD168">
      <w:pPr>
        <w:jc w:val="left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highlight w:val="none"/>
          <w:lang w:eastAsia="zh-CN"/>
        </w:rPr>
        <w:t>Note: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Wingdings 2" w:hAnsi="Wingdings 2" w:eastAsia="Wingdings 2" w:cs="Wingdings 2"/>
          <w:b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●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and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sz w:val="36"/>
          <w:szCs w:val="36"/>
          <w:highlight w:val="none"/>
          <w:lang w:eastAsia="zh-CN"/>
        </w:rPr>
        <w:t>⨂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indicate the presence and absence of core conditions, respectively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;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●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and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Wingdings 2" w:hAnsi="Wingdings 2" w:eastAsia="Wingdings 2" w:cs="Wingdings 2"/>
          <w:b w:val="0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U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indicate the presence and absence of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i w:val="0"/>
          <w:iCs w:val="0"/>
          <w:sz w:val="21"/>
          <w:szCs w:val="21"/>
          <w:highlight w:val="none"/>
          <w:lang w:val="en-US" w:eastAsia="zh-CN"/>
        </w:rPr>
        <w:t>peripheral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conditions,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and blank spaces indicate 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>don’t care</w:t>
      </w:r>
      <w:r>
        <w:rPr>
          <w:rFonts w:hint="eastAsia" w:ascii="Times New Roman" w:hAnsi="Times New Roman" w:cs="Times New Roman Regular"/>
          <w:color w:val="000000"/>
          <w:kern w:val="0"/>
          <w:sz w:val="21"/>
          <w:szCs w:val="21"/>
          <w:highlight w:val="none"/>
          <w:lang w:bidi="ar"/>
          <w14:ligatures w14:val="none"/>
        </w:rPr>
        <w:t>"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 xml:space="preserve"> conditions. The absence of a condition refers to non-membership in the corresponding high-level condition set rather than the literal nonexistence of that condition.</w:t>
      </w:r>
    </w:p>
    <w:sectPr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BE0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03C0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03C0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9B8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DD2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0DD2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37AEA"/>
    <w:rsid w:val="00ED48F6"/>
    <w:rsid w:val="05D1414B"/>
    <w:rsid w:val="0C563D6B"/>
    <w:rsid w:val="13794FD5"/>
    <w:rsid w:val="4F93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0"/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742</Words>
  <Characters>3540</Characters>
  <Lines>0</Lines>
  <Paragraphs>0</Paragraphs>
  <TotalTime>5</TotalTime>
  <ScaleCrop>false</ScaleCrop>
  <LinksUpToDate>false</LinksUpToDate>
  <CharactersWithSpaces>3929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2026-07-29T06:10:00Z</dcterms:created>
  <dc:creator>汤子健</dc:creator>
  <cp:lastModifiedBy>汤子健</cp:lastModifiedBy>
  <dcterms:modified xsi:type="dcterms:W3CDTF">2026-07-31T17:10:36Z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C82423DF9E3C47AF962D08668EB53C73_11</vt:lpwstr>
  </property>
  <property fmtid="{D5CDD505-2E9C-101B-9397-08002B2CF9AE}" pid="4" name="KSOTemplateDocerSaveRecord">
    <vt:lpwstr>eyJoZGlkIjoiYTE2YTA2ZGQ5OTAzOTk3MDJhYWQ1YzI0MWVhOGJjYTEiLCJ1c2VySWQiOiIxNjE2OTUyOTcyIn0=</vt:lpwstr>
  </property>
</Properties>
</file>