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314C89">
      <w:pPr>
        <w:keepNext/>
        <w:spacing w:after="60"/>
        <w:rPr>
          <w:color w:val="auto"/>
          <w:highlight w:val="none"/>
        </w:rPr>
      </w:pPr>
      <w:r>
        <w:rPr>
          <w:rFonts w:ascii="Calibri" w:hAnsi="Calibri"/>
          <w:b/>
          <w:i w:val="0"/>
          <w:color w:val="auto"/>
          <w:sz w:val="22"/>
          <w:highlight w:val="none"/>
        </w:rPr>
        <w:t>Supplementary Table S1. Characteristics of country-year surveys included in and excluded from the primary analytic sample</w:t>
      </w:r>
    </w:p>
    <w:p w14:paraId="4AC45B2D">
      <w:pPr>
        <w:keepNext/>
        <w:spacing w:before="60" w:after="40"/>
        <w:rPr>
          <w:color w:val="auto"/>
          <w:highlight w:val="none"/>
        </w:rPr>
      </w:pPr>
      <w:r>
        <w:rPr>
          <w:rFonts w:ascii="Calibri" w:hAnsi="Calibri"/>
          <w:b/>
          <w:i w:val="0"/>
          <w:color w:val="auto"/>
          <w:sz w:val="19"/>
          <w:highlight w:val="none"/>
        </w:rPr>
        <w:t>Panel A. Overall comparison</w:t>
      </w:r>
    </w:p>
    <w:tbl>
      <w:tblPr>
        <w:tblStyle w:val="5"/>
        <w:tblW w:w="13680" w:type="dxa"/>
        <w:tblInd w:w="120" w:type="dxa"/>
        <w:tblLayout w:type="fixed"/>
        <w:tblCellMar>
          <w:top w:w="0" w:type="dxa"/>
          <w:left w:w="108" w:type="dxa"/>
          <w:bottom w:w="0" w:type="dxa"/>
          <w:right w:w="108" w:type="dxa"/>
        </w:tblCellMar>
      </w:tblPr>
      <w:tblGrid>
        <w:gridCol w:w="6120"/>
        <w:gridCol w:w="2448"/>
        <w:gridCol w:w="2448"/>
        <w:gridCol w:w="2664"/>
      </w:tblGrid>
      <w:tr w14:paraId="77A5B516">
        <w:trPr>
          <w:cantSplit/>
          <w:tblHeader/>
        </w:trPr>
        <w:tc>
          <w:tcPr>
            <w:tcW w:w="6120" w:type="dxa"/>
            <w:tcBorders>
              <w:top w:val="single" w:color="AAB7C4" w:sz="4" w:space="0"/>
              <w:left w:val="single" w:color="AAB7C4" w:sz="4" w:space="0"/>
              <w:bottom w:val="single" w:color="AAB7C4" w:sz="4" w:space="0"/>
              <w:right w:val="single" w:color="AAB7C4" w:sz="4" w:space="0"/>
            </w:tcBorders>
            <w:shd w:val="clear" w:color="auto" w:fill="E8EEF5"/>
            <w:tcMar>
              <w:top w:w="50" w:type="dxa"/>
              <w:left w:w="120" w:type="dxa"/>
              <w:bottom w:w="50" w:type="dxa"/>
              <w:right w:w="120" w:type="dxa"/>
            </w:tcMar>
            <w:vAlign w:val="center"/>
          </w:tcPr>
          <w:p w14:paraId="2C87EE24">
            <w:pPr>
              <w:spacing w:before="0" w:after="0" w:line="240" w:lineRule="auto"/>
              <w:jc w:val="center"/>
              <w:rPr>
                <w:color w:val="auto"/>
                <w:highlight w:val="none"/>
              </w:rPr>
            </w:pPr>
            <w:r>
              <w:rPr>
                <w:rFonts w:ascii="Calibri" w:hAnsi="Calibri"/>
                <w:b/>
                <w:i w:val="0"/>
                <w:color w:val="auto"/>
                <w:sz w:val="17"/>
                <w:highlight w:val="none"/>
              </w:rPr>
              <w:t>Characteristic</w:t>
            </w:r>
          </w:p>
        </w:tc>
        <w:tc>
          <w:tcPr>
            <w:tcW w:w="2448" w:type="dxa"/>
            <w:tcBorders>
              <w:top w:val="single" w:color="AAB7C4" w:sz="4" w:space="0"/>
              <w:left w:val="single" w:color="AAB7C4" w:sz="4" w:space="0"/>
              <w:bottom w:val="single" w:color="AAB7C4" w:sz="4" w:space="0"/>
              <w:right w:val="single" w:color="AAB7C4" w:sz="4" w:space="0"/>
            </w:tcBorders>
            <w:shd w:val="clear" w:color="auto" w:fill="E8EEF5"/>
            <w:tcMar>
              <w:top w:w="50" w:type="dxa"/>
              <w:left w:w="120" w:type="dxa"/>
              <w:bottom w:w="50" w:type="dxa"/>
              <w:right w:w="120" w:type="dxa"/>
            </w:tcMar>
            <w:vAlign w:val="center"/>
          </w:tcPr>
          <w:p w14:paraId="380FB788">
            <w:pPr>
              <w:spacing w:before="0" w:after="0" w:line="240" w:lineRule="auto"/>
              <w:jc w:val="center"/>
              <w:rPr>
                <w:color w:val="auto"/>
                <w:highlight w:val="none"/>
              </w:rPr>
            </w:pPr>
            <w:r>
              <w:rPr>
                <w:rFonts w:ascii="Calibri" w:hAnsi="Calibri"/>
                <w:b/>
                <w:i w:val="0"/>
                <w:color w:val="auto"/>
                <w:sz w:val="17"/>
                <w:highlight w:val="none"/>
              </w:rPr>
              <w:t>Included surveys</w:t>
            </w:r>
          </w:p>
        </w:tc>
        <w:tc>
          <w:tcPr>
            <w:tcW w:w="2448" w:type="dxa"/>
            <w:tcBorders>
              <w:top w:val="single" w:color="AAB7C4" w:sz="4" w:space="0"/>
              <w:left w:val="single" w:color="AAB7C4" w:sz="4" w:space="0"/>
              <w:bottom w:val="single" w:color="AAB7C4" w:sz="4" w:space="0"/>
              <w:right w:val="single" w:color="AAB7C4" w:sz="4" w:space="0"/>
            </w:tcBorders>
            <w:shd w:val="clear" w:color="auto" w:fill="E8EEF5"/>
            <w:tcMar>
              <w:top w:w="50" w:type="dxa"/>
              <w:left w:w="120" w:type="dxa"/>
              <w:bottom w:w="50" w:type="dxa"/>
              <w:right w:w="120" w:type="dxa"/>
            </w:tcMar>
            <w:vAlign w:val="center"/>
          </w:tcPr>
          <w:p w14:paraId="2B8BC66C">
            <w:pPr>
              <w:spacing w:before="0" w:after="0" w:line="240" w:lineRule="auto"/>
              <w:jc w:val="center"/>
              <w:rPr>
                <w:color w:val="auto"/>
                <w:highlight w:val="none"/>
              </w:rPr>
            </w:pPr>
            <w:r>
              <w:rPr>
                <w:rFonts w:ascii="Calibri" w:hAnsi="Calibri"/>
                <w:b/>
                <w:i w:val="0"/>
                <w:color w:val="auto"/>
                <w:sz w:val="17"/>
                <w:highlight w:val="none"/>
              </w:rPr>
              <w:t>Excluded surveys</w:t>
            </w:r>
          </w:p>
        </w:tc>
        <w:tc>
          <w:tcPr>
            <w:tcW w:w="2664" w:type="dxa"/>
            <w:tcBorders>
              <w:top w:val="single" w:color="AAB7C4" w:sz="4" w:space="0"/>
              <w:left w:val="single" w:color="AAB7C4" w:sz="4" w:space="0"/>
              <w:bottom w:val="single" w:color="AAB7C4" w:sz="4" w:space="0"/>
              <w:right w:val="single" w:color="AAB7C4" w:sz="4" w:space="0"/>
            </w:tcBorders>
            <w:shd w:val="clear" w:color="auto" w:fill="E8EEF5"/>
            <w:tcMar>
              <w:top w:w="50" w:type="dxa"/>
              <w:left w:w="120" w:type="dxa"/>
              <w:bottom w:w="50" w:type="dxa"/>
              <w:right w:w="120" w:type="dxa"/>
            </w:tcMar>
            <w:vAlign w:val="center"/>
          </w:tcPr>
          <w:p w14:paraId="5187A867">
            <w:pPr>
              <w:spacing w:before="0" w:after="0" w:line="240" w:lineRule="auto"/>
              <w:jc w:val="center"/>
              <w:rPr>
                <w:color w:val="auto"/>
                <w:highlight w:val="none"/>
              </w:rPr>
            </w:pPr>
            <w:r>
              <w:rPr>
                <w:rFonts w:ascii="Calibri" w:hAnsi="Calibri"/>
                <w:b/>
                <w:i w:val="0"/>
                <w:color w:val="auto"/>
                <w:sz w:val="17"/>
                <w:highlight w:val="none"/>
              </w:rPr>
              <w:t>Standardised difference</w:t>
            </w:r>
          </w:p>
        </w:tc>
      </w:tr>
      <w:tr w14:paraId="048A4479">
        <w:trPr>
          <w:cantSplit/>
        </w:trPr>
        <w:tc>
          <w:tcPr>
            <w:tcW w:w="6120"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1BF0394D">
            <w:pPr>
              <w:spacing w:before="0" w:after="0" w:line="240" w:lineRule="auto"/>
              <w:jc w:val="left"/>
              <w:rPr>
                <w:color w:val="auto"/>
                <w:highlight w:val="none"/>
              </w:rPr>
            </w:pPr>
            <w:r>
              <w:rPr>
                <w:rFonts w:ascii="Calibri" w:hAnsi="Calibri"/>
                <w:b w:val="0"/>
                <w:i w:val="0"/>
                <w:color w:val="auto"/>
                <w:sz w:val="18"/>
                <w:highlight w:val="none"/>
              </w:rPr>
              <w:t>Country-year surveys, n</w:t>
            </w:r>
          </w:p>
        </w:tc>
        <w:tc>
          <w:tcPr>
            <w:tcW w:w="2448"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18B587AC">
            <w:pPr>
              <w:spacing w:before="0" w:after="0" w:line="240" w:lineRule="auto"/>
              <w:jc w:val="center"/>
              <w:rPr>
                <w:color w:val="auto"/>
                <w:highlight w:val="none"/>
              </w:rPr>
            </w:pPr>
            <w:r>
              <w:rPr>
                <w:rFonts w:ascii="Calibri" w:hAnsi="Calibri"/>
                <w:b w:val="0"/>
                <w:i w:val="0"/>
                <w:color w:val="auto"/>
                <w:sz w:val="18"/>
                <w:highlight w:val="none"/>
              </w:rPr>
              <w:t>339</w:t>
            </w:r>
          </w:p>
        </w:tc>
        <w:tc>
          <w:tcPr>
            <w:tcW w:w="2448"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095F97CC">
            <w:pPr>
              <w:spacing w:before="0" w:after="0" w:line="240" w:lineRule="auto"/>
              <w:jc w:val="center"/>
              <w:rPr>
                <w:color w:val="auto"/>
                <w:highlight w:val="none"/>
              </w:rPr>
            </w:pPr>
            <w:r>
              <w:rPr>
                <w:rFonts w:ascii="Calibri" w:hAnsi="Calibri"/>
                <w:b w:val="0"/>
                <w:i w:val="0"/>
                <w:color w:val="auto"/>
                <w:sz w:val="18"/>
                <w:highlight w:val="none"/>
              </w:rPr>
              <w:t>87</w:t>
            </w:r>
          </w:p>
        </w:tc>
        <w:tc>
          <w:tcPr>
            <w:tcW w:w="2664"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1EC2229F">
            <w:pPr>
              <w:spacing w:before="0" w:after="0" w:line="240" w:lineRule="auto"/>
              <w:jc w:val="center"/>
              <w:rPr>
                <w:color w:val="auto"/>
                <w:highlight w:val="none"/>
              </w:rPr>
            </w:pPr>
            <w:r>
              <w:rPr>
                <w:rFonts w:ascii="Calibri" w:hAnsi="Calibri"/>
                <w:b w:val="0"/>
                <w:i w:val="0"/>
                <w:color w:val="auto"/>
                <w:sz w:val="18"/>
                <w:highlight w:val="none"/>
              </w:rPr>
              <w:t>-</w:t>
            </w:r>
          </w:p>
        </w:tc>
      </w:tr>
      <w:tr w14:paraId="48EB8A4C">
        <w:trPr>
          <w:cantSplit/>
        </w:trPr>
        <w:tc>
          <w:tcPr>
            <w:tcW w:w="6120"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4F04EC02">
            <w:pPr>
              <w:spacing w:before="0" w:after="0" w:line="240" w:lineRule="auto"/>
              <w:jc w:val="left"/>
              <w:rPr>
                <w:color w:val="auto"/>
                <w:highlight w:val="none"/>
              </w:rPr>
            </w:pPr>
            <w:r>
              <w:rPr>
                <w:rFonts w:ascii="Calibri" w:hAnsi="Calibri"/>
                <w:b w:val="0"/>
                <w:i w:val="0"/>
                <w:color w:val="auto"/>
                <w:sz w:val="18"/>
                <w:highlight w:val="none"/>
              </w:rPr>
              <w:t>Countries represented, n</w:t>
            </w:r>
          </w:p>
        </w:tc>
        <w:tc>
          <w:tcPr>
            <w:tcW w:w="2448"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75479C03">
            <w:pPr>
              <w:spacing w:before="0" w:after="0" w:line="240" w:lineRule="auto"/>
              <w:jc w:val="center"/>
              <w:rPr>
                <w:color w:val="auto"/>
                <w:highlight w:val="none"/>
              </w:rPr>
            </w:pPr>
            <w:r>
              <w:rPr>
                <w:rFonts w:ascii="Calibri" w:hAnsi="Calibri"/>
                <w:b w:val="0"/>
                <w:i w:val="0"/>
                <w:color w:val="auto"/>
                <w:sz w:val="18"/>
                <w:highlight w:val="none"/>
              </w:rPr>
              <w:t>86</w:t>
            </w:r>
          </w:p>
        </w:tc>
        <w:tc>
          <w:tcPr>
            <w:tcW w:w="2448"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36F58C55">
            <w:pPr>
              <w:spacing w:before="0" w:after="0" w:line="240" w:lineRule="auto"/>
              <w:jc w:val="center"/>
              <w:rPr>
                <w:color w:val="auto"/>
                <w:highlight w:val="none"/>
              </w:rPr>
            </w:pPr>
            <w:r>
              <w:rPr>
                <w:rFonts w:ascii="Calibri" w:hAnsi="Calibri"/>
                <w:b w:val="0"/>
                <w:i w:val="0"/>
                <w:color w:val="auto"/>
                <w:sz w:val="18"/>
                <w:highlight w:val="none"/>
              </w:rPr>
              <w:t>42</w:t>
            </w:r>
          </w:p>
        </w:tc>
        <w:tc>
          <w:tcPr>
            <w:tcW w:w="2664"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65F40AFC">
            <w:pPr>
              <w:spacing w:before="0" w:after="0" w:line="240" w:lineRule="auto"/>
              <w:jc w:val="center"/>
              <w:rPr>
                <w:color w:val="auto"/>
                <w:highlight w:val="none"/>
              </w:rPr>
            </w:pPr>
            <w:r>
              <w:rPr>
                <w:rFonts w:ascii="Calibri" w:hAnsi="Calibri"/>
                <w:b w:val="0"/>
                <w:i w:val="0"/>
                <w:color w:val="auto"/>
                <w:sz w:val="18"/>
                <w:highlight w:val="none"/>
              </w:rPr>
              <w:t>-</w:t>
            </w:r>
          </w:p>
        </w:tc>
      </w:tr>
      <w:tr w14:paraId="108DD6D5">
        <w:trPr>
          <w:cantSplit/>
        </w:trPr>
        <w:tc>
          <w:tcPr>
            <w:tcW w:w="6120"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5D6747BE">
            <w:pPr>
              <w:spacing w:before="0" w:after="0" w:line="240" w:lineRule="auto"/>
              <w:jc w:val="left"/>
              <w:rPr>
                <w:color w:val="auto"/>
                <w:highlight w:val="none"/>
              </w:rPr>
            </w:pPr>
            <w:r>
              <w:rPr>
                <w:rFonts w:ascii="Calibri" w:hAnsi="Calibri"/>
                <w:b w:val="0"/>
                <w:i w:val="0"/>
                <w:color w:val="auto"/>
                <w:sz w:val="18"/>
                <w:highlight w:val="none"/>
              </w:rPr>
              <w:t>Survey year, mean</w:t>
            </w:r>
          </w:p>
        </w:tc>
        <w:tc>
          <w:tcPr>
            <w:tcW w:w="2448"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24B9A5C6">
            <w:pPr>
              <w:spacing w:before="0" w:after="0" w:line="240" w:lineRule="auto"/>
              <w:jc w:val="center"/>
              <w:rPr>
                <w:color w:val="auto"/>
                <w:highlight w:val="none"/>
              </w:rPr>
            </w:pPr>
            <w:r>
              <w:rPr>
                <w:rFonts w:ascii="Calibri" w:hAnsi="Calibri"/>
                <w:b w:val="0"/>
                <w:i w:val="0"/>
                <w:color w:val="auto"/>
                <w:sz w:val="18"/>
                <w:highlight w:val="none"/>
              </w:rPr>
              <w:t>2009.5</w:t>
            </w:r>
          </w:p>
        </w:tc>
        <w:tc>
          <w:tcPr>
            <w:tcW w:w="2448"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6B261E9E">
            <w:pPr>
              <w:spacing w:before="0" w:after="0" w:line="240" w:lineRule="auto"/>
              <w:jc w:val="center"/>
              <w:rPr>
                <w:color w:val="auto"/>
                <w:highlight w:val="none"/>
              </w:rPr>
            </w:pPr>
            <w:r>
              <w:rPr>
                <w:rFonts w:ascii="Calibri" w:hAnsi="Calibri"/>
                <w:b w:val="0"/>
                <w:i w:val="0"/>
                <w:color w:val="auto"/>
                <w:sz w:val="18"/>
                <w:highlight w:val="none"/>
              </w:rPr>
              <w:t>2011.5</w:t>
            </w:r>
          </w:p>
        </w:tc>
        <w:tc>
          <w:tcPr>
            <w:tcW w:w="2664"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7B35CEA8">
            <w:pPr>
              <w:spacing w:before="0" w:after="0" w:line="240" w:lineRule="auto"/>
              <w:jc w:val="center"/>
              <w:rPr>
                <w:color w:val="auto"/>
                <w:highlight w:val="none"/>
              </w:rPr>
            </w:pPr>
            <w:r>
              <w:rPr>
                <w:rFonts w:ascii="Calibri" w:hAnsi="Calibri"/>
                <w:b w:val="0"/>
                <w:i w:val="0"/>
                <w:color w:val="auto"/>
                <w:sz w:val="18"/>
                <w:highlight w:val="none"/>
              </w:rPr>
              <w:t>-0.264</w:t>
            </w:r>
          </w:p>
        </w:tc>
      </w:tr>
      <w:tr w14:paraId="6F965B82">
        <w:trPr>
          <w:cantSplit/>
        </w:trPr>
        <w:tc>
          <w:tcPr>
            <w:tcW w:w="6120"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5AF46BF2">
            <w:pPr>
              <w:spacing w:before="0" w:after="0" w:line="240" w:lineRule="auto"/>
              <w:jc w:val="left"/>
              <w:rPr>
                <w:color w:val="auto"/>
                <w:highlight w:val="none"/>
              </w:rPr>
            </w:pPr>
            <w:r>
              <w:rPr>
                <w:rFonts w:ascii="Calibri" w:hAnsi="Calibri"/>
                <w:b w:val="0"/>
                <w:i w:val="0"/>
                <w:color w:val="auto"/>
                <w:sz w:val="18"/>
                <w:highlight w:val="none"/>
              </w:rPr>
              <w:t>National zero-dose prevalence, mean (%)</w:t>
            </w:r>
          </w:p>
        </w:tc>
        <w:tc>
          <w:tcPr>
            <w:tcW w:w="2448"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160226E3">
            <w:pPr>
              <w:spacing w:before="0" w:after="0" w:line="240" w:lineRule="auto"/>
              <w:jc w:val="center"/>
              <w:rPr>
                <w:color w:val="auto"/>
                <w:highlight w:val="none"/>
              </w:rPr>
            </w:pPr>
            <w:r>
              <w:rPr>
                <w:rFonts w:ascii="Calibri" w:hAnsi="Calibri"/>
                <w:b w:val="0"/>
                <w:i w:val="0"/>
                <w:color w:val="auto"/>
                <w:sz w:val="18"/>
                <w:highlight w:val="none"/>
              </w:rPr>
              <w:t>13.6</w:t>
            </w:r>
          </w:p>
        </w:tc>
        <w:tc>
          <w:tcPr>
            <w:tcW w:w="2448"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28A85877">
            <w:pPr>
              <w:spacing w:before="0" w:after="0" w:line="240" w:lineRule="auto"/>
              <w:jc w:val="center"/>
              <w:rPr>
                <w:color w:val="auto"/>
                <w:highlight w:val="none"/>
              </w:rPr>
            </w:pPr>
            <w:r>
              <w:rPr>
                <w:rFonts w:ascii="Calibri" w:hAnsi="Calibri"/>
                <w:b w:val="0"/>
                <w:i w:val="0"/>
                <w:color w:val="auto"/>
                <w:sz w:val="18"/>
                <w:highlight w:val="none"/>
              </w:rPr>
              <w:t>7.7</w:t>
            </w:r>
          </w:p>
        </w:tc>
        <w:tc>
          <w:tcPr>
            <w:tcW w:w="2664"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3A359508">
            <w:pPr>
              <w:spacing w:before="0" w:after="0" w:line="240" w:lineRule="auto"/>
              <w:jc w:val="center"/>
              <w:rPr>
                <w:color w:val="auto"/>
                <w:highlight w:val="none"/>
              </w:rPr>
            </w:pPr>
            <w:r>
              <w:rPr>
                <w:rFonts w:ascii="Calibri" w:hAnsi="Calibri"/>
                <w:b w:val="0"/>
                <w:i w:val="0"/>
                <w:color w:val="auto"/>
                <w:sz w:val="18"/>
                <w:highlight w:val="none"/>
              </w:rPr>
              <w:t>0.474</w:t>
            </w:r>
          </w:p>
        </w:tc>
      </w:tr>
      <w:tr w14:paraId="120C5B13">
        <w:trPr>
          <w:cantSplit/>
        </w:trPr>
        <w:tc>
          <w:tcPr>
            <w:tcW w:w="6120"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41FB8A23">
            <w:pPr>
              <w:spacing w:before="0" w:after="0" w:line="240" w:lineRule="auto"/>
              <w:jc w:val="left"/>
              <w:rPr>
                <w:color w:val="auto"/>
                <w:highlight w:val="none"/>
              </w:rPr>
            </w:pPr>
            <w:r>
              <w:rPr>
                <w:rFonts w:ascii="Calibri" w:hAnsi="Calibri"/>
                <w:b w:val="0"/>
                <w:i w:val="0"/>
                <w:color w:val="auto"/>
                <w:sz w:val="18"/>
                <w:highlight w:val="none"/>
              </w:rPr>
              <w:t>National zero-dose prevalence, median (%)</w:t>
            </w:r>
          </w:p>
        </w:tc>
        <w:tc>
          <w:tcPr>
            <w:tcW w:w="2448"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1BD291C5">
            <w:pPr>
              <w:spacing w:before="0" w:after="0" w:line="240" w:lineRule="auto"/>
              <w:jc w:val="center"/>
              <w:rPr>
                <w:color w:val="auto"/>
                <w:highlight w:val="none"/>
              </w:rPr>
            </w:pPr>
            <w:r>
              <w:rPr>
                <w:rFonts w:ascii="Calibri" w:hAnsi="Calibri"/>
                <w:b w:val="0"/>
                <w:i w:val="0"/>
                <w:color w:val="auto"/>
                <w:sz w:val="18"/>
                <w:highlight w:val="none"/>
              </w:rPr>
              <w:t>8.7</w:t>
            </w:r>
          </w:p>
        </w:tc>
        <w:tc>
          <w:tcPr>
            <w:tcW w:w="2448"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47806864">
            <w:pPr>
              <w:spacing w:before="0" w:after="0" w:line="240" w:lineRule="auto"/>
              <w:jc w:val="center"/>
              <w:rPr>
                <w:color w:val="auto"/>
                <w:highlight w:val="none"/>
              </w:rPr>
            </w:pPr>
            <w:r>
              <w:rPr>
                <w:rFonts w:ascii="Calibri" w:hAnsi="Calibri"/>
                <w:b w:val="0"/>
                <w:i w:val="0"/>
                <w:color w:val="auto"/>
                <w:sz w:val="18"/>
                <w:highlight w:val="none"/>
              </w:rPr>
              <w:t>4.4</w:t>
            </w:r>
          </w:p>
        </w:tc>
        <w:tc>
          <w:tcPr>
            <w:tcW w:w="2664"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627359E9">
            <w:pPr>
              <w:spacing w:before="0" w:after="0" w:line="240" w:lineRule="auto"/>
              <w:jc w:val="center"/>
              <w:rPr>
                <w:color w:val="auto"/>
                <w:highlight w:val="none"/>
              </w:rPr>
            </w:pPr>
            <w:r>
              <w:rPr>
                <w:rFonts w:ascii="Calibri" w:hAnsi="Calibri"/>
                <w:b w:val="0"/>
                <w:i w:val="0"/>
                <w:color w:val="auto"/>
                <w:sz w:val="18"/>
                <w:highlight w:val="none"/>
              </w:rPr>
              <w:t>-</w:t>
            </w:r>
          </w:p>
        </w:tc>
      </w:tr>
    </w:tbl>
    <w:p w14:paraId="027EE9A6">
      <w:pPr>
        <w:keepNext/>
        <w:spacing w:before="60" w:after="40"/>
        <w:rPr>
          <w:color w:val="auto"/>
          <w:highlight w:val="none"/>
        </w:rPr>
      </w:pPr>
      <w:r>
        <w:rPr>
          <w:rFonts w:ascii="Calibri" w:hAnsi="Calibri"/>
          <w:b/>
          <w:i w:val="0"/>
          <w:color w:val="auto"/>
          <w:sz w:val="19"/>
          <w:highlight w:val="none"/>
        </w:rPr>
        <w:t>Panel B. Retention by survey period, 2025 World Bank income group, and WHO region</w:t>
      </w:r>
    </w:p>
    <w:tbl>
      <w:tblPr>
        <w:tblStyle w:val="5"/>
        <w:tblW w:w="13680" w:type="dxa"/>
        <w:tblInd w:w="120" w:type="dxa"/>
        <w:tblLayout w:type="fixed"/>
        <w:tblCellMar>
          <w:top w:w="0" w:type="dxa"/>
          <w:left w:w="108" w:type="dxa"/>
          <w:bottom w:w="0" w:type="dxa"/>
          <w:right w:w="108" w:type="dxa"/>
        </w:tblCellMar>
      </w:tblPr>
      <w:tblGrid>
        <w:gridCol w:w="2232"/>
        <w:gridCol w:w="3744"/>
        <w:gridCol w:w="1512"/>
        <w:gridCol w:w="1512"/>
        <w:gridCol w:w="1368"/>
        <w:gridCol w:w="3312"/>
      </w:tblGrid>
      <w:tr w14:paraId="2DFFEDC6">
        <w:trPr>
          <w:cantSplit/>
          <w:tblHeader/>
        </w:trPr>
        <w:tc>
          <w:tcPr>
            <w:tcW w:w="2232" w:type="dxa"/>
            <w:tcBorders>
              <w:top w:val="single" w:color="AAB7C4" w:sz="4" w:space="0"/>
              <w:left w:val="single" w:color="AAB7C4" w:sz="4" w:space="0"/>
              <w:bottom w:val="single" w:color="AAB7C4" w:sz="4" w:space="0"/>
              <w:right w:val="single" w:color="AAB7C4" w:sz="4" w:space="0"/>
            </w:tcBorders>
            <w:shd w:val="clear" w:color="auto" w:fill="E8EEF5"/>
            <w:tcMar>
              <w:top w:w="50" w:type="dxa"/>
              <w:left w:w="120" w:type="dxa"/>
              <w:bottom w:w="50" w:type="dxa"/>
              <w:right w:w="120" w:type="dxa"/>
            </w:tcMar>
            <w:vAlign w:val="center"/>
          </w:tcPr>
          <w:p w14:paraId="14720D69">
            <w:pPr>
              <w:spacing w:before="0" w:after="0" w:line="240" w:lineRule="auto"/>
              <w:jc w:val="center"/>
              <w:rPr>
                <w:color w:val="auto"/>
                <w:highlight w:val="none"/>
              </w:rPr>
            </w:pPr>
            <w:r>
              <w:rPr>
                <w:rFonts w:ascii="Calibri" w:hAnsi="Calibri"/>
                <w:b/>
                <w:i w:val="0"/>
                <w:color w:val="auto"/>
                <w:sz w:val="17"/>
                <w:highlight w:val="none"/>
              </w:rPr>
              <w:t>Characteristic</w:t>
            </w:r>
          </w:p>
        </w:tc>
        <w:tc>
          <w:tcPr>
            <w:tcW w:w="3744" w:type="dxa"/>
            <w:tcBorders>
              <w:top w:val="single" w:color="AAB7C4" w:sz="4" w:space="0"/>
              <w:left w:val="single" w:color="AAB7C4" w:sz="4" w:space="0"/>
              <w:bottom w:val="single" w:color="AAB7C4" w:sz="4" w:space="0"/>
              <w:right w:val="single" w:color="AAB7C4" w:sz="4" w:space="0"/>
            </w:tcBorders>
            <w:shd w:val="clear" w:color="auto" w:fill="E8EEF5"/>
            <w:tcMar>
              <w:top w:w="50" w:type="dxa"/>
              <w:left w:w="120" w:type="dxa"/>
              <w:bottom w:w="50" w:type="dxa"/>
              <w:right w:w="120" w:type="dxa"/>
            </w:tcMar>
            <w:vAlign w:val="center"/>
          </w:tcPr>
          <w:p w14:paraId="09D960A1">
            <w:pPr>
              <w:spacing w:before="0" w:after="0" w:line="240" w:lineRule="auto"/>
              <w:jc w:val="center"/>
              <w:rPr>
                <w:color w:val="auto"/>
                <w:highlight w:val="none"/>
              </w:rPr>
            </w:pPr>
            <w:r>
              <w:rPr>
                <w:rFonts w:ascii="Calibri" w:hAnsi="Calibri"/>
                <w:b/>
                <w:i w:val="0"/>
                <w:color w:val="auto"/>
                <w:sz w:val="17"/>
                <w:highlight w:val="none"/>
              </w:rPr>
              <w:t>Category</w:t>
            </w:r>
          </w:p>
        </w:tc>
        <w:tc>
          <w:tcPr>
            <w:tcW w:w="1512" w:type="dxa"/>
            <w:tcBorders>
              <w:top w:val="single" w:color="AAB7C4" w:sz="4" w:space="0"/>
              <w:left w:val="single" w:color="AAB7C4" w:sz="4" w:space="0"/>
              <w:bottom w:val="single" w:color="AAB7C4" w:sz="4" w:space="0"/>
              <w:right w:val="single" w:color="AAB7C4" w:sz="4" w:space="0"/>
            </w:tcBorders>
            <w:shd w:val="clear" w:color="auto" w:fill="E8EEF5"/>
            <w:tcMar>
              <w:top w:w="50" w:type="dxa"/>
              <w:left w:w="120" w:type="dxa"/>
              <w:bottom w:w="50" w:type="dxa"/>
              <w:right w:w="120" w:type="dxa"/>
            </w:tcMar>
            <w:vAlign w:val="center"/>
          </w:tcPr>
          <w:p w14:paraId="5127588C">
            <w:pPr>
              <w:spacing w:before="0" w:after="0" w:line="240" w:lineRule="auto"/>
              <w:jc w:val="center"/>
              <w:rPr>
                <w:color w:val="auto"/>
                <w:highlight w:val="none"/>
              </w:rPr>
            </w:pPr>
            <w:r>
              <w:rPr>
                <w:rFonts w:ascii="Calibri" w:hAnsi="Calibri"/>
                <w:b/>
                <w:i w:val="0"/>
                <w:color w:val="auto"/>
                <w:sz w:val="17"/>
                <w:highlight w:val="none"/>
              </w:rPr>
              <w:t>Included, n</w:t>
            </w:r>
          </w:p>
        </w:tc>
        <w:tc>
          <w:tcPr>
            <w:tcW w:w="1512" w:type="dxa"/>
            <w:tcBorders>
              <w:top w:val="single" w:color="AAB7C4" w:sz="4" w:space="0"/>
              <w:left w:val="single" w:color="AAB7C4" w:sz="4" w:space="0"/>
              <w:bottom w:val="single" w:color="AAB7C4" w:sz="4" w:space="0"/>
              <w:right w:val="single" w:color="AAB7C4" w:sz="4" w:space="0"/>
            </w:tcBorders>
            <w:shd w:val="clear" w:color="auto" w:fill="E8EEF5"/>
            <w:tcMar>
              <w:top w:w="50" w:type="dxa"/>
              <w:left w:w="120" w:type="dxa"/>
              <w:bottom w:w="50" w:type="dxa"/>
              <w:right w:w="120" w:type="dxa"/>
            </w:tcMar>
            <w:vAlign w:val="center"/>
          </w:tcPr>
          <w:p w14:paraId="71EB9E13">
            <w:pPr>
              <w:spacing w:before="0" w:after="0" w:line="240" w:lineRule="auto"/>
              <w:jc w:val="center"/>
              <w:rPr>
                <w:color w:val="auto"/>
                <w:highlight w:val="none"/>
              </w:rPr>
            </w:pPr>
            <w:r>
              <w:rPr>
                <w:rFonts w:ascii="Calibri" w:hAnsi="Calibri"/>
                <w:b/>
                <w:i w:val="0"/>
                <w:color w:val="auto"/>
                <w:sz w:val="17"/>
                <w:highlight w:val="none"/>
              </w:rPr>
              <w:t>Excluded, n</w:t>
            </w:r>
          </w:p>
        </w:tc>
        <w:tc>
          <w:tcPr>
            <w:tcW w:w="1368" w:type="dxa"/>
            <w:tcBorders>
              <w:top w:val="single" w:color="AAB7C4" w:sz="4" w:space="0"/>
              <w:left w:val="single" w:color="AAB7C4" w:sz="4" w:space="0"/>
              <w:bottom w:val="single" w:color="AAB7C4" w:sz="4" w:space="0"/>
              <w:right w:val="single" w:color="AAB7C4" w:sz="4" w:space="0"/>
            </w:tcBorders>
            <w:shd w:val="clear" w:color="auto" w:fill="E8EEF5"/>
            <w:tcMar>
              <w:top w:w="50" w:type="dxa"/>
              <w:left w:w="120" w:type="dxa"/>
              <w:bottom w:w="50" w:type="dxa"/>
              <w:right w:w="120" w:type="dxa"/>
            </w:tcMar>
            <w:vAlign w:val="center"/>
          </w:tcPr>
          <w:p w14:paraId="2790B23D">
            <w:pPr>
              <w:spacing w:before="0" w:after="0" w:line="240" w:lineRule="auto"/>
              <w:jc w:val="center"/>
              <w:rPr>
                <w:color w:val="auto"/>
                <w:highlight w:val="none"/>
              </w:rPr>
            </w:pPr>
            <w:r>
              <w:rPr>
                <w:rFonts w:ascii="Calibri" w:hAnsi="Calibri"/>
                <w:b/>
                <w:i w:val="0"/>
                <w:color w:val="auto"/>
                <w:sz w:val="17"/>
                <w:highlight w:val="none"/>
              </w:rPr>
              <w:t>Total, n</w:t>
            </w:r>
          </w:p>
        </w:tc>
        <w:tc>
          <w:tcPr>
            <w:tcW w:w="3312" w:type="dxa"/>
            <w:tcBorders>
              <w:top w:val="single" w:color="AAB7C4" w:sz="4" w:space="0"/>
              <w:left w:val="single" w:color="AAB7C4" w:sz="4" w:space="0"/>
              <w:bottom w:val="single" w:color="AAB7C4" w:sz="4" w:space="0"/>
              <w:right w:val="single" w:color="AAB7C4" w:sz="4" w:space="0"/>
            </w:tcBorders>
            <w:shd w:val="clear" w:color="auto" w:fill="E8EEF5"/>
            <w:tcMar>
              <w:top w:w="50" w:type="dxa"/>
              <w:left w:w="120" w:type="dxa"/>
              <w:bottom w:w="50" w:type="dxa"/>
              <w:right w:w="120" w:type="dxa"/>
            </w:tcMar>
            <w:vAlign w:val="center"/>
          </w:tcPr>
          <w:p w14:paraId="5D4797CE">
            <w:pPr>
              <w:spacing w:before="0" w:after="0" w:line="240" w:lineRule="auto"/>
              <w:jc w:val="center"/>
              <w:rPr>
                <w:color w:val="auto"/>
                <w:highlight w:val="none"/>
              </w:rPr>
            </w:pPr>
            <w:r>
              <w:rPr>
                <w:rFonts w:ascii="Calibri" w:hAnsi="Calibri"/>
                <w:b/>
                <w:i w:val="0"/>
                <w:color w:val="auto"/>
                <w:sz w:val="17"/>
                <w:highlight w:val="none"/>
              </w:rPr>
              <w:t>Retained within category, %</w:t>
            </w:r>
          </w:p>
        </w:tc>
      </w:tr>
      <w:tr w14:paraId="4537E0DC">
        <w:trPr>
          <w:cantSplit/>
        </w:trPr>
        <w:tc>
          <w:tcPr>
            <w:tcW w:w="2232" w:type="dxa"/>
            <w:vMerge w:val="restart"/>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2DD89A3A">
            <w:pPr>
              <w:spacing w:before="0" w:after="0" w:line="240" w:lineRule="auto"/>
              <w:jc w:val="left"/>
              <w:rPr>
                <w:color w:val="auto"/>
                <w:highlight w:val="none"/>
              </w:rPr>
            </w:pPr>
            <w:r>
              <w:rPr>
                <w:rFonts w:ascii="Calibri" w:hAnsi="Calibri"/>
                <w:b w:val="0"/>
                <w:i w:val="0"/>
                <w:color w:val="auto"/>
                <w:sz w:val="17"/>
                <w:highlight w:val="none"/>
              </w:rPr>
              <w:t>Survey period</w:t>
            </w:r>
          </w:p>
        </w:tc>
        <w:tc>
          <w:tcPr>
            <w:tcW w:w="3744"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132727D2">
            <w:pPr>
              <w:spacing w:before="0" w:after="0" w:line="240" w:lineRule="auto"/>
              <w:jc w:val="left"/>
              <w:rPr>
                <w:color w:val="auto"/>
                <w:highlight w:val="none"/>
              </w:rPr>
            </w:pPr>
            <w:r>
              <w:rPr>
                <w:rFonts w:ascii="Calibri" w:hAnsi="Calibri"/>
                <w:b w:val="0"/>
                <w:i w:val="0"/>
                <w:color w:val="auto"/>
                <w:sz w:val="17"/>
                <w:highlight w:val="none"/>
              </w:rPr>
              <w:t>Before 2000</w:t>
            </w:r>
          </w:p>
        </w:tc>
        <w:tc>
          <w:tcPr>
            <w:tcW w:w="1512"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60660882">
            <w:pPr>
              <w:spacing w:before="0" w:after="0" w:line="240" w:lineRule="auto"/>
              <w:jc w:val="center"/>
              <w:rPr>
                <w:color w:val="auto"/>
                <w:highlight w:val="none"/>
              </w:rPr>
            </w:pPr>
            <w:r>
              <w:rPr>
                <w:rFonts w:ascii="Calibri" w:hAnsi="Calibri"/>
                <w:b w:val="0"/>
                <w:i w:val="0"/>
                <w:color w:val="auto"/>
                <w:sz w:val="17"/>
                <w:highlight w:val="none"/>
              </w:rPr>
              <w:t>47</w:t>
            </w:r>
          </w:p>
        </w:tc>
        <w:tc>
          <w:tcPr>
            <w:tcW w:w="1512"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4D0DFF68">
            <w:pPr>
              <w:spacing w:before="0" w:after="0" w:line="240" w:lineRule="auto"/>
              <w:jc w:val="center"/>
              <w:rPr>
                <w:color w:val="auto"/>
                <w:highlight w:val="none"/>
              </w:rPr>
            </w:pPr>
            <w:r>
              <w:rPr>
                <w:rFonts w:ascii="Calibri" w:hAnsi="Calibri"/>
                <w:b w:val="0"/>
                <w:i w:val="0"/>
                <w:color w:val="auto"/>
                <w:sz w:val="17"/>
                <w:highlight w:val="none"/>
              </w:rPr>
              <w:t>7</w:t>
            </w:r>
          </w:p>
        </w:tc>
        <w:tc>
          <w:tcPr>
            <w:tcW w:w="1368"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071F522E">
            <w:pPr>
              <w:spacing w:before="0" w:after="0" w:line="240" w:lineRule="auto"/>
              <w:jc w:val="center"/>
              <w:rPr>
                <w:color w:val="auto"/>
                <w:highlight w:val="none"/>
              </w:rPr>
            </w:pPr>
            <w:r>
              <w:rPr>
                <w:rFonts w:ascii="Calibri" w:hAnsi="Calibri"/>
                <w:b w:val="0"/>
                <w:i w:val="0"/>
                <w:color w:val="auto"/>
                <w:sz w:val="17"/>
                <w:highlight w:val="none"/>
              </w:rPr>
              <w:t>54</w:t>
            </w:r>
          </w:p>
        </w:tc>
        <w:tc>
          <w:tcPr>
            <w:tcW w:w="3312"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19D48AD7">
            <w:pPr>
              <w:spacing w:before="0" w:after="0" w:line="240" w:lineRule="auto"/>
              <w:jc w:val="center"/>
              <w:rPr>
                <w:color w:val="auto"/>
                <w:highlight w:val="none"/>
              </w:rPr>
            </w:pPr>
            <w:r>
              <w:rPr>
                <w:rFonts w:ascii="Calibri" w:hAnsi="Calibri"/>
                <w:b w:val="0"/>
                <w:i w:val="0"/>
                <w:color w:val="auto"/>
                <w:sz w:val="17"/>
                <w:highlight w:val="none"/>
              </w:rPr>
              <w:t>87.0</w:t>
            </w:r>
          </w:p>
        </w:tc>
      </w:tr>
      <w:tr w14:paraId="02FC40D9">
        <w:trPr>
          <w:cantSplit/>
        </w:trPr>
        <w:tc>
          <w:tcPr>
            <w:tcW w:w="2232" w:type="dxa"/>
            <w:vMerge w:val="continue"/>
            <w:tcMar>
              <w:top w:w="50" w:type="dxa"/>
              <w:left w:w="120" w:type="dxa"/>
              <w:bottom w:w="50" w:type="dxa"/>
              <w:right w:w="120" w:type="dxa"/>
            </w:tcMar>
            <w:vAlign w:val="center"/>
          </w:tcPr>
          <w:p w14:paraId="7F0227CF">
            <w:pPr>
              <w:rPr>
                <w:color w:val="auto"/>
                <w:highlight w:val="none"/>
              </w:rPr>
            </w:pPr>
          </w:p>
        </w:tc>
        <w:tc>
          <w:tcPr>
            <w:tcW w:w="3744"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0E72A4B5">
            <w:pPr>
              <w:spacing w:before="0" w:after="0" w:line="240" w:lineRule="auto"/>
              <w:jc w:val="left"/>
              <w:rPr>
                <w:color w:val="auto"/>
                <w:highlight w:val="none"/>
              </w:rPr>
            </w:pPr>
            <w:r>
              <w:rPr>
                <w:rFonts w:ascii="Calibri" w:hAnsi="Calibri"/>
                <w:b w:val="0"/>
                <w:i w:val="0"/>
                <w:color w:val="auto"/>
                <w:sz w:val="17"/>
                <w:highlight w:val="none"/>
              </w:rPr>
              <w:t>2000-2009</w:t>
            </w:r>
          </w:p>
        </w:tc>
        <w:tc>
          <w:tcPr>
            <w:tcW w:w="1512"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12F3638F">
            <w:pPr>
              <w:spacing w:before="0" w:after="0" w:line="240" w:lineRule="auto"/>
              <w:jc w:val="center"/>
              <w:rPr>
                <w:color w:val="auto"/>
                <w:highlight w:val="none"/>
              </w:rPr>
            </w:pPr>
            <w:r>
              <w:rPr>
                <w:rFonts w:ascii="Calibri" w:hAnsi="Calibri"/>
                <w:b w:val="0"/>
                <w:i w:val="0"/>
                <w:color w:val="auto"/>
                <w:sz w:val="17"/>
                <w:highlight w:val="none"/>
              </w:rPr>
              <w:t>104</w:t>
            </w:r>
          </w:p>
        </w:tc>
        <w:tc>
          <w:tcPr>
            <w:tcW w:w="1512"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500E53F6">
            <w:pPr>
              <w:spacing w:before="0" w:after="0" w:line="240" w:lineRule="auto"/>
              <w:jc w:val="center"/>
              <w:rPr>
                <w:color w:val="auto"/>
                <w:highlight w:val="none"/>
              </w:rPr>
            </w:pPr>
            <w:r>
              <w:rPr>
                <w:rFonts w:ascii="Calibri" w:hAnsi="Calibri"/>
                <w:b w:val="0"/>
                <w:i w:val="0"/>
                <w:color w:val="auto"/>
                <w:sz w:val="17"/>
                <w:highlight w:val="none"/>
              </w:rPr>
              <w:t>26</w:t>
            </w:r>
          </w:p>
        </w:tc>
        <w:tc>
          <w:tcPr>
            <w:tcW w:w="1368"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70B61739">
            <w:pPr>
              <w:spacing w:before="0" w:after="0" w:line="240" w:lineRule="auto"/>
              <w:jc w:val="center"/>
              <w:rPr>
                <w:color w:val="auto"/>
                <w:highlight w:val="none"/>
              </w:rPr>
            </w:pPr>
            <w:r>
              <w:rPr>
                <w:rFonts w:ascii="Calibri" w:hAnsi="Calibri"/>
                <w:b w:val="0"/>
                <w:i w:val="0"/>
                <w:color w:val="auto"/>
                <w:sz w:val="17"/>
                <w:highlight w:val="none"/>
              </w:rPr>
              <w:t>130</w:t>
            </w:r>
          </w:p>
        </w:tc>
        <w:tc>
          <w:tcPr>
            <w:tcW w:w="3312"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5B5621DF">
            <w:pPr>
              <w:spacing w:before="0" w:after="0" w:line="240" w:lineRule="auto"/>
              <w:jc w:val="center"/>
              <w:rPr>
                <w:color w:val="auto"/>
                <w:highlight w:val="none"/>
              </w:rPr>
            </w:pPr>
            <w:r>
              <w:rPr>
                <w:rFonts w:ascii="Calibri" w:hAnsi="Calibri"/>
                <w:b w:val="0"/>
                <w:i w:val="0"/>
                <w:color w:val="auto"/>
                <w:sz w:val="17"/>
                <w:highlight w:val="none"/>
              </w:rPr>
              <w:t>80.0</w:t>
            </w:r>
          </w:p>
        </w:tc>
      </w:tr>
      <w:tr w14:paraId="371BFDD5">
        <w:trPr>
          <w:cantSplit/>
        </w:trPr>
        <w:tc>
          <w:tcPr>
            <w:tcW w:w="2232" w:type="dxa"/>
            <w:vMerge w:val="continue"/>
            <w:tcMar>
              <w:top w:w="50" w:type="dxa"/>
              <w:left w:w="120" w:type="dxa"/>
              <w:bottom w:w="50" w:type="dxa"/>
              <w:right w:w="120" w:type="dxa"/>
            </w:tcMar>
            <w:vAlign w:val="center"/>
          </w:tcPr>
          <w:p w14:paraId="155878E3">
            <w:pPr>
              <w:rPr>
                <w:color w:val="auto"/>
                <w:highlight w:val="none"/>
              </w:rPr>
            </w:pPr>
          </w:p>
        </w:tc>
        <w:tc>
          <w:tcPr>
            <w:tcW w:w="3744"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48805815">
            <w:pPr>
              <w:spacing w:before="0" w:after="0" w:line="240" w:lineRule="auto"/>
              <w:jc w:val="left"/>
              <w:rPr>
                <w:color w:val="auto"/>
                <w:highlight w:val="none"/>
              </w:rPr>
            </w:pPr>
            <w:r>
              <w:rPr>
                <w:rFonts w:ascii="Calibri" w:hAnsi="Calibri"/>
                <w:b w:val="0"/>
                <w:i w:val="0"/>
                <w:color w:val="auto"/>
                <w:sz w:val="17"/>
                <w:highlight w:val="none"/>
              </w:rPr>
              <w:t>2010-2019</w:t>
            </w:r>
          </w:p>
        </w:tc>
        <w:tc>
          <w:tcPr>
            <w:tcW w:w="1512"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1E3D715A">
            <w:pPr>
              <w:spacing w:before="0" w:after="0" w:line="240" w:lineRule="auto"/>
              <w:jc w:val="center"/>
              <w:rPr>
                <w:color w:val="auto"/>
                <w:highlight w:val="none"/>
              </w:rPr>
            </w:pPr>
            <w:r>
              <w:rPr>
                <w:rFonts w:ascii="Calibri" w:hAnsi="Calibri"/>
                <w:b w:val="0"/>
                <w:i w:val="0"/>
                <w:color w:val="auto"/>
                <w:sz w:val="17"/>
                <w:highlight w:val="none"/>
              </w:rPr>
              <w:t>160</w:t>
            </w:r>
          </w:p>
        </w:tc>
        <w:tc>
          <w:tcPr>
            <w:tcW w:w="1512"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0EB78FB2">
            <w:pPr>
              <w:spacing w:before="0" w:after="0" w:line="240" w:lineRule="auto"/>
              <w:jc w:val="center"/>
              <w:rPr>
                <w:color w:val="auto"/>
                <w:highlight w:val="none"/>
              </w:rPr>
            </w:pPr>
            <w:r>
              <w:rPr>
                <w:rFonts w:ascii="Calibri" w:hAnsi="Calibri"/>
                <w:b w:val="0"/>
                <w:i w:val="0"/>
                <w:color w:val="auto"/>
                <w:sz w:val="17"/>
                <w:highlight w:val="none"/>
              </w:rPr>
              <w:t>43</w:t>
            </w:r>
          </w:p>
        </w:tc>
        <w:tc>
          <w:tcPr>
            <w:tcW w:w="1368"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0CE48DC9">
            <w:pPr>
              <w:spacing w:before="0" w:after="0" w:line="240" w:lineRule="auto"/>
              <w:jc w:val="center"/>
              <w:rPr>
                <w:color w:val="auto"/>
                <w:highlight w:val="none"/>
              </w:rPr>
            </w:pPr>
            <w:r>
              <w:rPr>
                <w:rFonts w:ascii="Calibri" w:hAnsi="Calibri"/>
                <w:b w:val="0"/>
                <w:i w:val="0"/>
                <w:color w:val="auto"/>
                <w:sz w:val="17"/>
                <w:highlight w:val="none"/>
              </w:rPr>
              <w:t>203</w:t>
            </w:r>
          </w:p>
        </w:tc>
        <w:tc>
          <w:tcPr>
            <w:tcW w:w="3312"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54E19B3C">
            <w:pPr>
              <w:spacing w:before="0" w:after="0" w:line="240" w:lineRule="auto"/>
              <w:jc w:val="center"/>
              <w:rPr>
                <w:color w:val="auto"/>
                <w:highlight w:val="none"/>
              </w:rPr>
            </w:pPr>
            <w:r>
              <w:rPr>
                <w:rFonts w:ascii="Calibri" w:hAnsi="Calibri"/>
                <w:b w:val="0"/>
                <w:i w:val="0"/>
                <w:color w:val="auto"/>
                <w:sz w:val="17"/>
                <w:highlight w:val="none"/>
              </w:rPr>
              <w:t>78.8</w:t>
            </w:r>
          </w:p>
        </w:tc>
      </w:tr>
      <w:tr w14:paraId="05DD2EDA">
        <w:trPr>
          <w:cantSplit/>
        </w:trPr>
        <w:tc>
          <w:tcPr>
            <w:tcW w:w="2232" w:type="dxa"/>
            <w:vMerge w:val="continue"/>
            <w:tcMar>
              <w:top w:w="50" w:type="dxa"/>
              <w:left w:w="120" w:type="dxa"/>
              <w:bottom w:w="50" w:type="dxa"/>
              <w:right w:w="120" w:type="dxa"/>
            </w:tcMar>
            <w:vAlign w:val="center"/>
          </w:tcPr>
          <w:p w14:paraId="63C01869">
            <w:pPr>
              <w:rPr>
                <w:color w:val="auto"/>
                <w:highlight w:val="none"/>
              </w:rPr>
            </w:pPr>
          </w:p>
        </w:tc>
        <w:tc>
          <w:tcPr>
            <w:tcW w:w="3744"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05A13414">
            <w:pPr>
              <w:spacing w:before="0" w:after="0" w:line="240" w:lineRule="auto"/>
              <w:jc w:val="left"/>
              <w:rPr>
                <w:color w:val="auto"/>
                <w:highlight w:val="none"/>
              </w:rPr>
            </w:pPr>
            <w:r>
              <w:rPr>
                <w:rFonts w:ascii="Calibri" w:hAnsi="Calibri"/>
                <w:b w:val="0"/>
                <w:i w:val="0"/>
                <w:color w:val="auto"/>
                <w:sz w:val="17"/>
                <w:highlight w:val="none"/>
              </w:rPr>
              <w:t>2020-2023</w:t>
            </w:r>
          </w:p>
        </w:tc>
        <w:tc>
          <w:tcPr>
            <w:tcW w:w="1512"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0C93ADA5">
            <w:pPr>
              <w:spacing w:before="0" w:after="0" w:line="240" w:lineRule="auto"/>
              <w:jc w:val="center"/>
              <w:rPr>
                <w:color w:val="auto"/>
                <w:highlight w:val="none"/>
              </w:rPr>
            </w:pPr>
            <w:r>
              <w:rPr>
                <w:rFonts w:ascii="Calibri" w:hAnsi="Calibri"/>
                <w:b w:val="0"/>
                <w:i w:val="0"/>
                <w:color w:val="auto"/>
                <w:sz w:val="17"/>
                <w:highlight w:val="none"/>
              </w:rPr>
              <w:t>28</w:t>
            </w:r>
          </w:p>
        </w:tc>
        <w:tc>
          <w:tcPr>
            <w:tcW w:w="1512"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05C5BB57">
            <w:pPr>
              <w:spacing w:before="0" w:after="0" w:line="240" w:lineRule="auto"/>
              <w:jc w:val="center"/>
              <w:rPr>
                <w:color w:val="auto"/>
                <w:highlight w:val="none"/>
              </w:rPr>
            </w:pPr>
            <w:r>
              <w:rPr>
                <w:rFonts w:ascii="Calibri" w:hAnsi="Calibri"/>
                <w:b w:val="0"/>
                <w:i w:val="0"/>
                <w:color w:val="auto"/>
                <w:sz w:val="17"/>
                <w:highlight w:val="none"/>
              </w:rPr>
              <w:t>11</w:t>
            </w:r>
          </w:p>
        </w:tc>
        <w:tc>
          <w:tcPr>
            <w:tcW w:w="1368"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2A32EF72">
            <w:pPr>
              <w:spacing w:before="0" w:after="0" w:line="240" w:lineRule="auto"/>
              <w:jc w:val="center"/>
              <w:rPr>
                <w:color w:val="auto"/>
                <w:highlight w:val="none"/>
              </w:rPr>
            </w:pPr>
            <w:r>
              <w:rPr>
                <w:rFonts w:ascii="Calibri" w:hAnsi="Calibri"/>
                <w:b w:val="0"/>
                <w:i w:val="0"/>
                <w:color w:val="auto"/>
                <w:sz w:val="17"/>
                <w:highlight w:val="none"/>
              </w:rPr>
              <w:t>39</w:t>
            </w:r>
          </w:p>
        </w:tc>
        <w:tc>
          <w:tcPr>
            <w:tcW w:w="3312"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6EC2D208">
            <w:pPr>
              <w:spacing w:before="0" w:after="0" w:line="240" w:lineRule="auto"/>
              <w:jc w:val="center"/>
              <w:rPr>
                <w:color w:val="auto"/>
                <w:highlight w:val="none"/>
              </w:rPr>
            </w:pPr>
            <w:r>
              <w:rPr>
                <w:rFonts w:ascii="Calibri" w:hAnsi="Calibri"/>
                <w:b w:val="0"/>
                <w:i w:val="0"/>
                <w:color w:val="auto"/>
                <w:sz w:val="17"/>
                <w:highlight w:val="none"/>
              </w:rPr>
              <w:t>71.8</w:t>
            </w:r>
          </w:p>
        </w:tc>
      </w:tr>
      <w:tr w14:paraId="508C6910">
        <w:trPr>
          <w:cantSplit/>
        </w:trPr>
        <w:tc>
          <w:tcPr>
            <w:tcW w:w="2232" w:type="dxa"/>
            <w:vMerge w:val="restart"/>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402CDCBB">
            <w:pPr>
              <w:spacing w:before="0" w:after="0" w:line="240" w:lineRule="auto"/>
              <w:jc w:val="left"/>
              <w:rPr>
                <w:color w:val="auto"/>
                <w:highlight w:val="none"/>
              </w:rPr>
            </w:pPr>
            <w:r>
              <w:rPr>
                <w:rFonts w:ascii="Calibri" w:hAnsi="Calibri"/>
                <w:b w:val="0"/>
                <w:i w:val="0"/>
                <w:color w:val="auto"/>
                <w:sz w:val="17"/>
                <w:highlight w:val="none"/>
              </w:rPr>
              <w:t>2025 World Bank income group</w:t>
            </w:r>
          </w:p>
        </w:tc>
        <w:tc>
          <w:tcPr>
            <w:tcW w:w="3744"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19C0425C">
            <w:pPr>
              <w:spacing w:before="0" w:after="0" w:line="240" w:lineRule="auto"/>
              <w:jc w:val="left"/>
              <w:rPr>
                <w:color w:val="auto"/>
                <w:highlight w:val="none"/>
              </w:rPr>
            </w:pPr>
            <w:r>
              <w:rPr>
                <w:rFonts w:ascii="Calibri" w:hAnsi="Calibri"/>
                <w:b w:val="0"/>
                <w:i w:val="0"/>
                <w:color w:val="auto"/>
                <w:sz w:val="17"/>
                <w:highlight w:val="none"/>
              </w:rPr>
              <w:t>High-income</w:t>
            </w:r>
          </w:p>
        </w:tc>
        <w:tc>
          <w:tcPr>
            <w:tcW w:w="1512"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1B0F5762">
            <w:pPr>
              <w:spacing w:before="0" w:after="0" w:line="240" w:lineRule="auto"/>
              <w:jc w:val="center"/>
              <w:rPr>
                <w:color w:val="auto"/>
                <w:highlight w:val="none"/>
              </w:rPr>
            </w:pPr>
            <w:r>
              <w:rPr>
                <w:rFonts w:ascii="Calibri" w:hAnsi="Calibri"/>
                <w:b w:val="0"/>
                <w:i w:val="0"/>
                <w:color w:val="auto"/>
                <w:sz w:val="17"/>
                <w:highlight w:val="none"/>
              </w:rPr>
              <w:t>1</w:t>
            </w:r>
          </w:p>
        </w:tc>
        <w:tc>
          <w:tcPr>
            <w:tcW w:w="1512"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53ACC8C2">
            <w:pPr>
              <w:spacing w:before="0" w:after="0" w:line="240" w:lineRule="auto"/>
              <w:jc w:val="center"/>
              <w:rPr>
                <w:color w:val="auto"/>
                <w:highlight w:val="none"/>
              </w:rPr>
            </w:pPr>
            <w:r>
              <w:rPr>
                <w:rFonts w:ascii="Calibri" w:hAnsi="Calibri"/>
                <w:b w:val="0"/>
                <w:i w:val="0"/>
                <w:color w:val="auto"/>
                <w:sz w:val="17"/>
                <w:highlight w:val="none"/>
              </w:rPr>
              <w:t>11</w:t>
            </w:r>
          </w:p>
        </w:tc>
        <w:tc>
          <w:tcPr>
            <w:tcW w:w="1368"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6AE3C6C3">
            <w:pPr>
              <w:spacing w:before="0" w:after="0" w:line="240" w:lineRule="auto"/>
              <w:jc w:val="center"/>
              <w:rPr>
                <w:color w:val="auto"/>
                <w:highlight w:val="none"/>
              </w:rPr>
            </w:pPr>
            <w:r>
              <w:rPr>
                <w:rFonts w:ascii="Calibri" w:hAnsi="Calibri"/>
                <w:b w:val="0"/>
                <w:i w:val="0"/>
                <w:color w:val="auto"/>
                <w:sz w:val="17"/>
                <w:highlight w:val="none"/>
              </w:rPr>
              <w:t>12</w:t>
            </w:r>
          </w:p>
        </w:tc>
        <w:tc>
          <w:tcPr>
            <w:tcW w:w="3312"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02A2189D">
            <w:pPr>
              <w:spacing w:before="0" w:after="0" w:line="240" w:lineRule="auto"/>
              <w:jc w:val="center"/>
              <w:rPr>
                <w:color w:val="auto"/>
                <w:highlight w:val="none"/>
              </w:rPr>
            </w:pPr>
            <w:r>
              <w:rPr>
                <w:rFonts w:ascii="Calibri" w:hAnsi="Calibri"/>
                <w:b w:val="0"/>
                <w:i w:val="0"/>
                <w:color w:val="auto"/>
                <w:sz w:val="17"/>
                <w:highlight w:val="none"/>
              </w:rPr>
              <w:t>8.3</w:t>
            </w:r>
          </w:p>
        </w:tc>
      </w:tr>
      <w:tr w14:paraId="647BB355">
        <w:trPr>
          <w:cantSplit/>
        </w:trPr>
        <w:tc>
          <w:tcPr>
            <w:tcW w:w="2232" w:type="dxa"/>
            <w:vMerge w:val="continue"/>
            <w:tcMar>
              <w:top w:w="50" w:type="dxa"/>
              <w:left w:w="120" w:type="dxa"/>
              <w:bottom w:w="50" w:type="dxa"/>
              <w:right w:w="120" w:type="dxa"/>
            </w:tcMar>
            <w:vAlign w:val="center"/>
          </w:tcPr>
          <w:p w14:paraId="014B9A78">
            <w:pPr>
              <w:rPr>
                <w:color w:val="auto"/>
                <w:highlight w:val="none"/>
              </w:rPr>
            </w:pPr>
          </w:p>
        </w:tc>
        <w:tc>
          <w:tcPr>
            <w:tcW w:w="3744"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2DDD1886">
            <w:pPr>
              <w:spacing w:before="0" w:after="0" w:line="240" w:lineRule="auto"/>
              <w:jc w:val="left"/>
              <w:rPr>
                <w:color w:val="auto"/>
                <w:highlight w:val="none"/>
              </w:rPr>
            </w:pPr>
            <w:r>
              <w:rPr>
                <w:rFonts w:ascii="Calibri" w:hAnsi="Calibri"/>
                <w:b w:val="0"/>
                <w:i w:val="0"/>
                <w:color w:val="auto"/>
                <w:sz w:val="17"/>
                <w:highlight w:val="none"/>
              </w:rPr>
              <w:t>Low-income</w:t>
            </w:r>
          </w:p>
        </w:tc>
        <w:tc>
          <w:tcPr>
            <w:tcW w:w="1512"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1D194718">
            <w:pPr>
              <w:spacing w:before="0" w:after="0" w:line="240" w:lineRule="auto"/>
              <w:jc w:val="center"/>
              <w:rPr>
                <w:color w:val="auto"/>
                <w:highlight w:val="none"/>
              </w:rPr>
            </w:pPr>
            <w:r>
              <w:rPr>
                <w:rFonts w:ascii="Calibri" w:hAnsi="Calibri"/>
                <w:b w:val="0"/>
                <w:i w:val="0"/>
                <w:color w:val="auto"/>
                <w:sz w:val="17"/>
                <w:highlight w:val="none"/>
              </w:rPr>
              <w:t>92</w:t>
            </w:r>
          </w:p>
        </w:tc>
        <w:tc>
          <w:tcPr>
            <w:tcW w:w="1512"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275E85BD">
            <w:pPr>
              <w:spacing w:before="0" w:after="0" w:line="240" w:lineRule="auto"/>
              <w:jc w:val="center"/>
              <w:rPr>
                <w:color w:val="auto"/>
                <w:highlight w:val="none"/>
              </w:rPr>
            </w:pPr>
            <w:r>
              <w:rPr>
                <w:rFonts w:ascii="Calibri" w:hAnsi="Calibri"/>
                <w:b w:val="0"/>
                <w:i w:val="0"/>
                <w:color w:val="auto"/>
                <w:sz w:val="17"/>
                <w:highlight w:val="none"/>
              </w:rPr>
              <w:t>0</w:t>
            </w:r>
          </w:p>
        </w:tc>
        <w:tc>
          <w:tcPr>
            <w:tcW w:w="1368"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36DB6328">
            <w:pPr>
              <w:spacing w:before="0" w:after="0" w:line="240" w:lineRule="auto"/>
              <w:jc w:val="center"/>
              <w:rPr>
                <w:color w:val="auto"/>
                <w:highlight w:val="none"/>
              </w:rPr>
            </w:pPr>
            <w:r>
              <w:rPr>
                <w:rFonts w:ascii="Calibri" w:hAnsi="Calibri"/>
                <w:b w:val="0"/>
                <w:i w:val="0"/>
                <w:color w:val="auto"/>
                <w:sz w:val="17"/>
                <w:highlight w:val="none"/>
              </w:rPr>
              <w:t>92</w:t>
            </w:r>
          </w:p>
        </w:tc>
        <w:tc>
          <w:tcPr>
            <w:tcW w:w="3312"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16C58826">
            <w:pPr>
              <w:spacing w:before="0" w:after="0" w:line="240" w:lineRule="auto"/>
              <w:jc w:val="center"/>
              <w:rPr>
                <w:color w:val="auto"/>
                <w:highlight w:val="none"/>
              </w:rPr>
            </w:pPr>
            <w:r>
              <w:rPr>
                <w:rFonts w:ascii="Calibri" w:hAnsi="Calibri"/>
                <w:b w:val="0"/>
                <w:i w:val="0"/>
                <w:color w:val="auto"/>
                <w:sz w:val="17"/>
                <w:highlight w:val="none"/>
              </w:rPr>
              <w:t>100.0</w:t>
            </w:r>
          </w:p>
        </w:tc>
      </w:tr>
      <w:tr w14:paraId="58E10AB3">
        <w:trPr>
          <w:cantSplit/>
        </w:trPr>
        <w:tc>
          <w:tcPr>
            <w:tcW w:w="2232" w:type="dxa"/>
            <w:vMerge w:val="continue"/>
            <w:tcMar>
              <w:top w:w="50" w:type="dxa"/>
              <w:left w:w="120" w:type="dxa"/>
              <w:bottom w:w="50" w:type="dxa"/>
              <w:right w:w="120" w:type="dxa"/>
            </w:tcMar>
            <w:vAlign w:val="center"/>
          </w:tcPr>
          <w:p w14:paraId="3D19CDE5">
            <w:pPr>
              <w:rPr>
                <w:color w:val="auto"/>
                <w:highlight w:val="none"/>
              </w:rPr>
            </w:pPr>
          </w:p>
        </w:tc>
        <w:tc>
          <w:tcPr>
            <w:tcW w:w="3744"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06197CB1">
            <w:pPr>
              <w:spacing w:before="0" w:after="0" w:line="240" w:lineRule="auto"/>
              <w:jc w:val="left"/>
              <w:rPr>
                <w:color w:val="auto"/>
                <w:highlight w:val="none"/>
              </w:rPr>
            </w:pPr>
            <w:r>
              <w:rPr>
                <w:rFonts w:ascii="Calibri" w:hAnsi="Calibri"/>
                <w:b w:val="0"/>
                <w:i w:val="0"/>
                <w:color w:val="auto"/>
                <w:sz w:val="17"/>
                <w:highlight w:val="none"/>
              </w:rPr>
              <w:t>Lower-middle-income</w:t>
            </w:r>
          </w:p>
        </w:tc>
        <w:tc>
          <w:tcPr>
            <w:tcW w:w="1512"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5C6B7C9A">
            <w:pPr>
              <w:spacing w:before="0" w:after="0" w:line="240" w:lineRule="auto"/>
              <w:jc w:val="center"/>
              <w:rPr>
                <w:color w:val="auto"/>
                <w:highlight w:val="none"/>
              </w:rPr>
            </w:pPr>
            <w:r>
              <w:rPr>
                <w:rFonts w:ascii="Calibri" w:hAnsi="Calibri"/>
                <w:b w:val="0"/>
                <w:i w:val="0"/>
                <w:color w:val="auto"/>
                <w:sz w:val="17"/>
                <w:highlight w:val="none"/>
              </w:rPr>
              <w:t>172</w:t>
            </w:r>
          </w:p>
        </w:tc>
        <w:tc>
          <w:tcPr>
            <w:tcW w:w="1512"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6E02D64E">
            <w:pPr>
              <w:spacing w:before="0" w:after="0" w:line="240" w:lineRule="auto"/>
              <w:jc w:val="center"/>
              <w:rPr>
                <w:color w:val="auto"/>
                <w:highlight w:val="none"/>
              </w:rPr>
            </w:pPr>
            <w:r>
              <w:rPr>
                <w:rFonts w:ascii="Calibri" w:hAnsi="Calibri"/>
                <w:b w:val="0"/>
                <w:i w:val="0"/>
                <w:color w:val="auto"/>
                <w:sz w:val="17"/>
                <w:highlight w:val="none"/>
              </w:rPr>
              <w:t>26</w:t>
            </w:r>
          </w:p>
        </w:tc>
        <w:tc>
          <w:tcPr>
            <w:tcW w:w="1368"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46733BA4">
            <w:pPr>
              <w:spacing w:before="0" w:after="0" w:line="240" w:lineRule="auto"/>
              <w:jc w:val="center"/>
              <w:rPr>
                <w:color w:val="auto"/>
                <w:highlight w:val="none"/>
              </w:rPr>
            </w:pPr>
            <w:r>
              <w:rPr>
                <w:rFonts w:ascii="Calibri" w:hAnsi="Calibri"/>
                <w:b w:val="0"/>
                <w:i w:val="0"/>
                <w:color w:val="auto"/>
                <w:sz w:val="17"/>
                <w:highlight w:val="none"/>
              </w:rPr>
              <w:t>198</w:t>
            </w:r>
          </w:p>
        </w:tc>
        <w:tc>
          <w:tcPr>
            <w:tcW w:w="3312"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4AB0F558">
            <w:pPr>
              <w:spacing w:before="0" w:after="0" w:line="240" w:lineRule="auto"/>
              <w:jc w:val="center"/>
              <w:rPr>
                <w:color w:val="auto"/>
                <w:highlight w:val="none"/>
              </w:rPr>
            </w:pPr>
            <w:r>
              <w:rPr>
                <w:rFonts w:ascii="Calibri" w:hAnsi="Calibri"/>
                <w:b w:val="0"/>
                <w:i w:val="0"/>
                <w:color w:val="auto"/>
                <w:sz w:val="17"/>
                <w:highlight w:val="none"/>
              </w:rPr>
              <w:t>86.9</w:t>
            </w:r>
          </w:p>
        </w:tc>
      </w:tr>
      <w:tr w14:paraId="19132535">
        <w:trPr>
          <w:cantSplit/>
        </w:trPr>
        <w:tc>
          <w:tcPr>
            <w:tcW w:w="2232" w:type="dxa"/>
            <w:vMerge w:val="continue"/>
            <w:tcMar>
              <w:top w:w="50" w:type="dxa"/>
              <w:left w:w="120" w:type="dxa"/>
              <w:bottom w:w="50" w:type="dxa"/>
              <w:right w:w="120" w:type="dxa"/>
            </w:tcMar>
            <w:vAlign w:val="center"/>
          </w:tcPr>
          <w:p w14:paraId="4E78FA3C">
            <w:pPr>
              <w:rPr>
                <w:color w:val="auto"/>
                <w:highlight w:val="none"/>
              </w:rPr>
            </w:pPr>
          </w:p>
        </w:tc>
        <w:tc>
          <w:tcPr>
            <w:tcW w:w="3744"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1370DCE6">
            <w:pPr>
              <w:spacing w:before="0" w:after="0" w:line="240" w:lineRule="auto"/>
              <w:jc w:val="left"/>
              <w:rPr>
                <w:color w:val="auto"/>
                <w:highlight w:val="none"/>
              </w:rPr>
            </w:pPr>
            <w:r>
              <w:rPr>
                <w:rFonts w:ascii="Calibri" w:hAnsi="Calibri"/>
                <w:b w:val="0"/>
                <w:i w:val="0"/>
                <w:color w:val="auto"/>
                <w:sz w:val="17"/>
                <w:highlight w:val="none"/>
              </w:rPr>
              <w:t>Missing</w:t>
            </w:r>
          </w:p>
        </w:tc>
        <w:tc>
          <w:tcPr>
            <w:tcW w:w="1512"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4C847038">
            <w:pPr>
              <w:spacing w:before="0" w:after="0" w:line="240" w:lineRule="auto"/>
              <w:jc w:val="center"/>
              <w:rPr>
                <w:color w:val="auto"/>
                <w:highlight w:val="none"/>
              </w:rPr>
            </w:pPr>
            <w:r>
              <w:rPr>
                <w:rFonts w:ascii="Calibri" w:hAnsi="Calibri"/>
                <w:b w:val="0"/>
                <w:i w:val="0"/>
                <w:color w:val="auto"/>
                <w:sz w:val="17"/>
                <w:highlight w:val="none"/>
              </w:rPr>
              <w:t>5</w:t>
            </w:r>
          </w:p>
        </w:tc>
        <w:tc>
          <w:tcPr>
            <w:tcW w:w="1512"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123929D5">
            <w:pPr>
              <w:spacing w:before="0" w:after="0" w:line="240" w:lineRule="auto"/>
              <w:jc w:val="center"/>
              <w:rPr>
                <w:color w:val="auto"/>
                <w:highlight w:val="none"/>
              </w:rPr>
            </w:pPr>
            <w:r>
              <w:rPr>
                <w:rFonts w:ascii="Calibri" w:hAnsi="Calibri"/>
                <w:b w:val="0"/>
                <w:i w:val="0"/>
                <w:color w:val="auto"/>
                <w:sz w:val="17"/>
                <w:highlight w:val="none"/>
              </w:rPr>
              <w:t>0</w:t>
            </w:r>
          </w:p>
        </w:tc>
        <w:tc>
          <w:tcPr>
            <w:tcW w:w="1368"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5B8AB086">
            <w:pPr>
              <w:spacing w:before="0" w:after="0" w:line="240" w:lineRule="auto"/>
              <w:jc w:val="center"/>
              <w:rPr>
                <w:color w:val="auto"/>
                <w:highlight w:val="none"/>
              </w:rPr>
            </w:pPr>
            <w:r>
              <w:rPr>
                <w:rFonts w:ascii="Calibri" w:hAnsi="Calibri"/>
                <w:b w:val="0"/>
                <w:i w:val="0"/>
                <w:color w:val="auto"/>
                <w:sz w:val="17"/>
                <w:highlight w:val="none"/>
              </w:rPr>
              <w:t>5</w:t>
            </w:r>
          </w:p>
        </w:tc>
        <w:tc>
          <w:tcPr>
            <w:tcW w:w="3312"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53297BB7">
            <w:pPr>
              <w:spacing w:before="0" w:after="0" w:line="240" w:lineRule="auto"/>
              <w:jc w:val="center"/>
              <w:rPr>
                <w:color w:val="auto"/>
                <w:highlight w:val="none"/>
              </w:rPr>
            </w:pPr>
            <w:r>
              <w:rPr>
                <w:rFonts w:ascii="Calibri" w:hAnsi="Calibri"/>
                <w:b w:val="0"/>
                <w:i w:val="0"/>
                <w:color w:val="auto"/>
                <w:sz w:val="17"/>
                <w:highlight w:val="none"/>
              </w:rPr>
              <w:t>100.0</w:t>
            </w:r>
          </w:p>
        </w:tc>
      </w:tr>
      <w:tr w14:paraId="04F2D408">
        <w:trPr>
          <w:cantSplit/>
        </w:trPr>
        <w:tc>
          <w:tcPr>
            <w:tcW w:w="2232" w:type="dxa"/>
            <w:vMerge w:val="continue"/>
            <w:tcMar>
              <w:top w:w="50" w:type="dxa"/>
              <w:left w:w="120" w:type="dxa"/>
              <w:bottom w:w="50" w:type="dxa"/>
              <w:right w:w="120" w:type="dxa"/>
            </w:tcMar>
            <w:vAlign w:val="center"/>
          </w:tcPr>
          <w:p w14:paraId="5C967B20">
            <w:pPr>
              <w:rPr>
                <w:color w:val="auto"/>
                <w:highlight w:val="none"/>
              </w:rPr>
            </w:pPr>
          </w:p>
        </w:tc>
        <w:tc>
          <w:tcPr>
            <w:tcW w:w="3744"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17DD02A8">
            <w:pPr>
              <w:spacing w:before="0" w:after="0" w:line="240" w:lineRule="auto"/>
              <w:jc w:val="left"/>
              <w:rPr>
                <w:color w:val="auto"/>
                <w:highlight w:val="none"/>
              </w:rPr>
            </w:pPr>
            <w:r>
              <w:rPr>
                <w:rFonts w:ascii="Calibri" w:hAnsi="Calibri"/>
                <w:b w:val="0"/>
                <w:i w:val="0"/>
                <w:color w:val="auto"/>
                <w:sz w:val="17"/>
                <w:highlight w:val="none"/>
              </w:rPr>
              <w:t>Upper-middle-income</w:t>
            </w:r>
          </w:p>
        </w:tc>
        <w:tc>
          <w:tcPr>
            <w:tcW w:w="1512"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4B042989">
            <w:pPr>
              <w:spacing w:before="0" w:after="0" w:line="240" w:lineRule="auto"/>
              <w:jc w:val="center"/>
              <w:rPr>
                <w:color w:val="auto"/>
                <w:highlight w:val="none"/>
              </w:rPr>
            </w:pPr>
            <w:r>
              <w:rPr>
                <w:rFonts w:ascii="Calibri" w:hAnsi="Calibri"/>
                <w:b w:val="0"/>
                <w:i w:val="0"/>
                <w:color w:val="auto"/>
                <w:sz w:val="17"/>
                <w:highlight w:val="none"/>
              </w:rPr>
              <w:t>69</w:t>
            </w:r>
          </w:p>
        </w:tc>
        <w:tc>
          <w:tcPr>
            <w:tcW w:w="1512"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6D58AC00">
            <w:pPr>
              <w:spacing w:before="0" w:after="0" w:line="240" w:lineRule="auto"/>
              <w:jc w:val="center"/>
              <w:rPr>
                <w:color w:val="auto"/>
                <w:highlight w:val="none"/>
              </w:rPr>
            </w:pPr>
            <w:r>
              <w:rPr>
                <w:rFonts w:ascii="Calibri" w:hAnsi="Calibri"/>
                <w:b w:val="0"/>
                <w:i w:val="0"/>
                <w:color w:val="auto"/>
                <w:sz w:val="17"/>
                <w:highlight w:val="none"/>
              </w:rPr>
              <w:t>50</w:t>
            </w:r>
          </w:p>
        </w:tc>
        <w:tc>
          <w:tcPr>
            <w:tcW w:w="1368"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4283A49D">
            <w:pPr>
              <w:spacing w:before="0" w:after="0" w:line="240" w:lineRule="auto"/>
              <w:jc w:val="center"/>
              <w:rPr>
                <w:color w:val="auto"/>
                <w:highlight w:val="none"/>
              </w:rPr>
            </w:pPr>
            <w:r>
              <w:rPr>
                <w:rFonts w:ascii="Calibri" w:hAnsi="Calibri"/>
                <w:b w:val="0"/>
                <w:i w:val="0"/>
                <w:color w:val="auto"/>
                <w:sz w:val="17"/>
                <w:highlight w:val="none"/>
              </w:rPr>
              <w:t>119</w:t>
            </w:r>
          </w:p>
        </w:tc>
        <w:tc>
          <w:tcPr>
            <w:tcW w:w="3312"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67233C79">
            <w:pPr>
              <w:spacing w:before="0" w:after="0" w:line="240" w:lineRule="auto"/>
              <w:jc w:val="center"/>
              <w:rPr>
                <w:color w:val="auto"/>
                <w:highlight w:val="none"/>
              </w:rPr>
            </w:pPr>
            <w:r>
              <w:rPr>
                <w:rFonts w:ascii="Calibri" w:hAnsi="Calibri"/>
                <w:b w:val="0"/>
                <w:i w:val="0"/>
                <w:color w:val="auto"/>
                <w:sz w:val="17"/>
                <w:highlight w:val="none"/>
              </w:rPr>
              <w:t>58.0</w:t>
            </w:r>
          </w:p>
        </w:tc>
      </w:tr>
      <w:tr w14:paraId="32A56B2A">
        <w:trPr>
          <w:cantSplit/>
        </w:trPr>
        <w:tc>
          <w:tcPr>
            <w:tcW w:w="2232" w:type="dxa"/>
            <w:vMerge w:val="restart"/>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5FDBBAA0">
            <w:pPr>
              <w:spacing w:before="0" w:after="0" w:line="240" w:lineRule="auto"/>
              <w:jc w:val="left"/>
              <w:rPr>
                <w:color w:val="auto"/>
                <w:highlight w:val="none"/>
              </w:rPr>
            </w:pPr>
            <w:r>
              <w:rPr>
                <w:rFonts w:ascii="Calibri" w:hAnsi="Calibri"/>
                <w:b w:val="0"/>
                <w:i w:val="0"/>
                <w:color w:val="auto"/>
                <w:sz w:val="17"/>
                <w:highlight w:val="none"/>
              </w:rPr>
              <w:t>WHO region</w:t>
            </w:r>
          </w:p>
        </w:tc>
        <w:tc>
          <w:tcPr>
            <w:tcW w:w="3744"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58BDC9C1">
            <w:pPr>
              <w:spacing w:before="0" w:after="0" w:line="240" w:lineRule="auto"/>
              <w:jc w:val="left"/>
              <w:rPr>
                <w:color w:val="auto"/>
                <w:highlight w:val="none"/>
              </w:rPr>
            </w:pPr>
            <w:r>
              <w:rPr>
                <w:rFonts w:ascii="Calibri" w:hAnsi="Calibri"/>
                <w:b w:val="0"/>
                <w:i w:val="0"/>
                <w:color w:val="auto"/>
                <w:sz w:val="17"/>
                <w:highlight w:val="none"/>
              </w:rPr>
              <w:t>African</w:t>
            </w:r>
          </w:p>
        </w:tc>
        <w:tc>
          <w:tcPr>
            <w:tcW w:w="1512"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4959C205">
            <w:pPr>
              <w:spacing w:before="0" w:after="0" w:line="240" w:lineRule="auto"/>
              <w:jc w:val="center"/>
              <w:rPr>
                <w:color w:val="auto"/>
                <w:highlight w:val="none"/>
              </w:rPr>
            </w:pPr>
            <w:r>
              <w:rPr>
                <w:rFonts w:ascii="Calibri" w:hAnsi="Calibri"/>
                <w:b w:val="0"/>
                <w:i w:val="0"/>
                <w:color w:val="auto"/>
                <w:sz w:val="17"/>
                <w:highlight w:val="none"/>
              </w:rPr>
              <w:t>183</w:t>
            </w:r>
          </w:p>
        </w:tc>
        <w:tc>
          <w:tcPr>
            <w:tcW w:w="1512"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55490E21">
            <w:pPr>
              <w:spacing w:before="0" w:after="0" w:line="240" w:lineRule="auto"/>
              <w:jc w:val="center"/>
              <w:rPr>
                <w:color w:val="auto"/>
                <w:highlight w:val="none"/>
              </w:rPr>
            </w:pPr>
            <w:r>
              <w:rPr>
                <w:rFonts w:ascii="Calibri" w:hAnsi="Calibri"/>
                <w:b w:val="0"/>
                <w:i w:val="0"/>
                <w:color w:val="auto"/>
                <w:sz w:val="17"/>
                <w:highlight w:val="none"/>
              </w:rPr>
              <w:t>13</w:t>
            </w:r>
          </w:p>
        </w:tc>
        <w:tc>
          <w:tcPr>
            <w:tcW w:w="1368"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37DC387D">
            <w:pPr>
              <w:spacing w:before="0" w:after="0" w:line="240" w:lineRule="auto"/>
              <w:jc w:val="center"/>
              <w:rPr>
                <w:color w:val="auto"/>
                <w:highlight w:val="none"/>
              </w:rPr>
            </w:pPr>
            <w:r>
              <w:rPr>
                <w:rFonts w:ascii="Calibri" w:hAnsi="Calibri"/>
                <w:b w:val="0"/>
                <w:i w:val="0"/>
                <w:color w:val="auto"/>
                <w:sz w:val="17"/>
                <w:highlight w:val="none"/>
              </w:rPr>
              <w:t>196</w:t>
            </w:r>
          </w:p>
        </w:tc>
        <w:tc>
          <w:tcPr>
            <w:tcW w:w="3312"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4D0105B0">
            <w:pPr>
              <w:spacing w:before="0" w:after="0" w:line="240" w:lineRule="auto"/>
              <w:jc w:val="center"/>
              <w:rPr>
                <w:color w:val="auto"/>
                <w:highlight w:val="none"/>
              </w:rPr>
            </w:pPr>
            <w:r>
              <w:rPr>
                <w:rFonts w:ascii="Calibri" w:hAnsi="Calibri"/>
                <w:b w:val="0"/>
                <w:i w:val="0"/>
                <w:color w:val="auto"/>
                <w:sz w:val="17"/>
                <w:highlight w:val="none"/>
              </w:rPr>
              <w:t>93.4</w:t>
            </w:r>
          </w:p>
        </w:tc>
      </w:tr>
      <w:tr w14:paraId="4C775A1D">
        <w:trPr>
          <w:cantSplit/>
        </w:trPr>
        <w:tc>
          <w:tcPr>
            <w:tcW w:w="2232" w:type="dxa"/>
            <w:vMerge w:val="continue"/>
            <w:tcMar>
              <w:top w:w="50" w:type="dxa"/>
              <w:left w:w="120" w:type="dxa"/>
              <w:bottom w:w="50" w:type="dxa"/>
              <w:right w:w="120" w:type="dxa"/>
            </w:tcMar>
            <w:vAlign w:val="center"/>
          </w:tcPr>
          <w:p w14:paraId="5A9964EF">
            <w:pPr>
              <w:rPr>
                <w:color w:val="auto"/>
                <w:highlight w:val="none"/>
              </w:rPr>
            </w:pPr>
          </w:p>
        </w:tc>
        <w:tc>
          <w:tcPr>
            <w:tcW w:w="3744"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7A6EA72E">
            <w:pPr>
              <w:spacing w:before="0" w:after="0" w:line="240" w:lineRule="auto"/>
              <w:jc w:val="left"/>
              <w:rPr>
                <w:color w:val="auto"/>
                <w:highlight w:val="none"/>
              </w:rPr>
            </w:pPr>
            <w:r>
              <w:rPr>
                <w:rFonts w:ascii="Calibri" w:hAnsi="Calibri"/>
                <w:b w:val="0"/>
                <w:i w:val="0"/>
                <w:color w:val="auto"/>
                <w:sz w:val="17"/>
                <w:highlight w:val="none"/>
              </w:rPr>
              <w:t>Americas</w:t>
            </w:r>
          </w:p>
        </w:tc>
        <w:tc>
          <w:tcPr>
            <w:tcW w:w="1512"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624974A2">
            <w:pPr>
              <w:spacing w:before="0" w:after="0" w:line="240" w:lineRule="auto"/>
              <w:jc w:val="center"/>
              <w:rPr>
                <w:color w:val="auto"/>
                <w:highlight w:val="none"/>
              </w:rPr>
            </w:pPr>
            <w:r>
              <w:rPr>
                <w:rFonts w:ascii="Calibri" w:hAnsi="Calibri"/>
                <w:b w:val="0"/>
                <w:i w:val="0"/>
                <w:color w:val="auto"/>
                <w:sz w:val="17"/>
                <w:highlight w:val="none"/>
              </w:rPr>
              <w:t>56</w:t>
            </w:r>
          </w:p>
        </w:tc>
        <w:tc>
          <w:tcPr>
            <w:tcW w:w="1512"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5A4CCB77">
            <w:pPr>
              <w:spacing w:before="0" w:after="0" w:line="240" w:lineRule="auto"/>
              <w:jc w:val="center"/>
              <w:rPr>
                <w:color w:val="auto"/>
                <w:highlight w:val="none"/>
              </w:rPr>
            </w:pPr>
            <w:r>
              <w:rPr>
                <w:rFonts w:ascii="Calibri" w:hAnsi="Calibri"/>
                <w:b w:val="0"/>
                <w:i w:val="0"/>
                <w:color w:val="auto"/>
                <w:sz w:val="17"/>
                <w:highlight w:val="none"/>
              </w:rPr>
              <w:t>22</w:t>
            </w:r>
          </w:p>
        </w:tc>
        <w:tc>
          <w:tcPr>
            <w:tcW w:w="1368"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0D6311A7">
            <w:pPr>
              <w:spacing w:before="0" w:after="0" w:line="240" w:lineRule="auto"/>
              <w:jc w:val="center"/>
              <w:rPr>
                <w:color w:val="auto"/>
                <w:highlight w:val="none"/>
              </w:rPr>
            </w:pPr>
            <w:r>
              <w:rPr>
                <w:rFonts w:ascii="Calibri" w:hAnsi="Calibri"/>
                <w:b w:val="0"/>
                <w:i w:val="0"/>
                <w:color w:val="auto"/>
                <w:sz w:val="17"/>
                <w:highlight w:val="none"/>
              </w:rPr>
              <w:t>78</w:t>
            </w:r>
          </w:p>
        </w:tc>
        <w:tc>
          <w:tcPr>
            <w:tcW w:w="3312"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78077D2E">
            <w:pPr>
              <w:spacing w:before="0" w:after="0" w:line="240" w:lineRule="auto"/>
              <w:jc w:val="center"/>
              <w:rPr>
                <w:color w:val="auto"/>
                <w:highlight w:val="none"/>
              </w:rPr>
            </w:pPr>
            <w:r>
              <w:rPr>
                <w:rFonts w:ascii="Calibri" w:hAnsi="Calibri"/>
                <w:b w:val="0"/>
                <w:i w:val="0"/>
                <w:color w:val="auto"/>
                <w:sz w:val="17"/>
                <w:highlight w:val="none"/>
              </w:rPr>
              <w:t>71.8</w:t>
            </w:r>
          </w:p>
        </w:tc>
      </w:tr>
      <w:tr w14:paraId="23BFF3C2">
        <w:trPr>
          <w:cantSplit/>
        </w:trPr>
        <w:tc>
          <w:tcPr>
            <w:tcW w:w="2232" w:type="dxa"/>
            <w:vMerge w:val="continue"/>
            <w:tcMar>
              <w:top w:w="50" w:type="dxa"/>
              <w:left w:w="120" w:type="dxa"/>
              <w:bottom w:w="50" w:type="dxa"/>
              <w:right w:w="120" w:type="dxa"/>
            </w:tcMar>
            <w:vAlign w:val="center"/>
          </w:tcPr>
          <w:p w14:paraId="07FA5E19">
            <w:pPr>
              <w:rPr>
                <w:color w:val="auto"/>
                <w:highlight w:val="none"/>
              </w:rPr>
            </w:pPr>
          </w:p>
        </w:tc>
        <w:tc>
          <w:tcPr>
            <w:tcW w:w="3744"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56525CCA">
            <w:pPr>
              <w:spacing w:before="0" w:after="0" w:line="240" w:lineRule="auto"/>
              <w:jc w:val="left"/>
              <w:rPr>
                <w:color w:val="auto"/>
                <w:highlight w:val="none"/>
              </w:rPr>
            </w:pPr>
            <w:r>
              <w:rPr>
                <w:rFonts w:ascii="Calibri" w:hAnsi="Calibri"/>
                <w:b w:val="0"/>
                <w:i w:val="0"/>
                <w:color w:val="auto"/>
                <w:sz w:val="17"/>
                <w:highlight w:val="none"/>
              </w:rPr>
              <w:t>Eastern Mediterranean</w:t>
            </w:r>
          </w:p>
        </w:tc>
        <w:tc>
          <w:tcPr>
            <w:tcW w:w="1512"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119D8962">
            <w:pPr>
              <w:spacing w:before="0" w:after="0" w:line="240" w:lineRule="auto"/>
              <w:jc w:val="center"/>
              <w:rPr>
                <w:color w:val="auto"/>
                <w:highlight w:val="none"/>
              </w:rPr>
            </w:pPr>
            <w:r>
              <w:rPr>
                <w:rFonts w:ascii="Calibri" w:hAnsi="Calibri"/>
                <w:b w:val="0"/>
                <w:i w:val="0"/>
                <w:color w:val="auto"/>
                <w:sz w:val="17"/>
                <w:highlight w:val="none"/>
              </w:rPr>
              <w:t>30</w:t>
            </w:r>
          </w:p>
        </w:tc>
        <w:tc>
          <w:tcPr>
            <w:tcW w:w="1512"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322E223E">
            <w:pPr>
              <w:spacing w:before="0" w:after="0" w:line="240" w:lineRule="auto"/>
              <w:jc w:val="center"/>
              <w:rPr>
                <w:color w:val="auto"/>
                <w:highlight w:val="none"/>
              </w:rPr>
            </w:pPr>
            <w:r>
              <w:rPr>
                <w:rFonts w:ascii="Calibri" w:hAnsi="Calibri"/>
                <w:b w:val="0"/>
                <w:i w:val="0"/>
                <w:color w:val="auto"/>
                <w:sz w:val="17"/>
                <w:highlight w:val="none"/>
              </w:rPr>
              <w:t>5</w:t>
            </w:r>
          </w:p>
        </w:tc>
        <w:tc>
          <w:tcPr>
            <w:tcW w:w="1368"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65C2BAC1">
            <w:pPr>
              <w:spacing w:before="0" w:after="0" w:line="240" w:lineRule="auto"/>
              <w:jc w:val="center"/>
              <w:rPr>
                <w:color w:val="auto"/>
                <w:highlight w:val="none"/>
              </w:rPr>
            </w:pPr>
            <w:r>
              <w:rPr>
                <w:rFonts w:ascii="Calibri" w:hAnsi="Calibri"/>
                <w:b w:val="0"/>
                <w:i w:val="0"/>
                <w:color w:val="auto"/>
                <w:sz w:val="17"/>
                <w:highlight w:val="none"/>
              </w:rPr>
              <w:t>35</w:t>
            </w:r>
          </w:p>
        </w:tc>
        <w:tc>
          <w:tcPr>
            <w:tcW w:w="3312"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2D008530">
            <w:pPr>
              <w:spacing w:before="0" w:after="0" w:line="240" w:lineRule="auto"/>
              <w:jc w:val="center"/>
              <w:rPr>
                <w:color w:val="auto"/>
                <w:highlight w:val="none"/>
              </w:rPr>
            </w:pPr>
            <w:r>
              <w:rPr>
                <w:rFonts w:ascii="Calibri" w:hAnsi="Calibri"/>
                <w:b w:val="0"/>
                <w:i w:val="0"/>
                <w:color w:val="auto"/>
                <w:sz w:val="17"/>
                <w:highlight w:val="none"/>
              </w:rPr>
              <w:t>85.7</w:t>
            </w:r>
          </w:p>
        </w:tc>
      </w:tr>
      <w:tr w14:paraId="7AF3769A">
        <w:trPr>
          <w:cantSplit/>
        </w:trPr>
        <w:tc>
          <w:tcPr>
            <w:tcW w:w="2232" w:type="dxa"/>
            <w:vMerge w:val="continue"/>
            <w:tcMar>
              <w:top w:w="50" w:type="dxa"/>
              <w:left w:w="120" w:type="dxa"/>
              <w:bottom w:w="50" w:type="dxa"/>
              <w:right w:w="120" w:type="dxa"/>
            </w:tcMar>
            <w:vAlign w:val="center"/>
          </w:tcPr>
          <w:p w14:paraId="6DDF01F5">
            <w:pPr>
              <w:rPr>
                <w:color w:val="auto"/>
                <w:highlight w:val="none"/>
              </w:rPr>
            </w:pPr>
          </w:p>
        </w:tc>
        <w:tc>
          <w:tcPr>
            <w:tcW w:w="3744"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2327A796">
            <w:pPr>
              <w:spacing w:before="0" w:after="0" w:line="240" w:lineRule="auto"/>
              <w:jc w:val="left"/>
              <w:rPr>
                <w:color w:val="auto"/>
                <w:highlight w:val="none"/>
              </w:rPr>
            </w:pPr>
            <w:r>
              <w:rPr>
                <w:rFonts w:ascii="Calibri" w:hAnsi="Calibri"/>
                <w:b w:val="0"/>
                <w:i w:val="0"/>
                <w:color w:val="auto"/>
                <w:sz w:val="17"/>
                <w:highlight w:val="none"/>
              </w:rPr>
              <w:t>European</w:t>
            </w:r>
          </w:p>
        </w:tc>
        <w:tc>
          <w:tcPr>
            <w:tcW w:w="1512"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422925F2">
            <w:pPr>
              <w:spacing w:before="0" w:after="0" w:line="240" w:lineRule="auto"/>
              <w:jc w:val="center"/>
              <w:rPr>
                <w:color w:val="auto"/>
                <w:highlight w:val="none"/>
              </w:rPr>
            </w:pPr>
            <w:r>
              <w:rPr>
                <w:rFonts w:ascii="Calibri" w:hAnsi="Calibri"/>
                <w:b w:val="0"/>
                <w:i w:val="0"/>
                <w:color w:val="auto"/>
                <w:sz w:val="17"/>
                <w:highlight w:val="none"/>
              </w:rPr>
              <w:t>10</w:t>
            </w:r>
          </w:p>
        </w:tc>
        <w:tc>
          <w:tcPr>
            <w:tcW w:w="1512"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21FC7AD1">
            <w:pPr>
              <w:spacing w:before="0" w:after="0" w:line="240" w:lineRule="auto"/>
              <w:jc w:val="center"/>
              <w:rPr>
                <w:color w:val="auto"/>
                <w:highlight w:val="none"/>
              </w:rPr>
            </w:pPr>
            <w:r>
              <w:rPr>
                <w:rFonts w:ascii="Calibri" w:hAnsi="Calibri"/>
                <w:b w:val="0"/>
                <w:i w:val="0"/>
                <w:color w:val="auto"/>
                <w:sz w:val="17"/>
                <w:highlight w:val="none"/>
              </w:rPr>
              <w:t>35</w:t>
            </w:r>
          </w:p>
        </w:tc>
        <w:tc>
          <w:tcPr>
            <w:tcW w:w="1368"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27BA3CA9">
            <w:pPr>
              <w:spacing w:before="0" w:after="0" w:line="240" w:lineRule="auto"/>
              <w:jc w:val="center"/>
              <w:rPr>
                <w:color w:val="auto"/>
                <w:highlight w:val="none"/>
              </w:rPr>
            </w:pPr>
            <w:r>
              <w:rPr>
                <w:rFonts w:ascii="Calibri" w:hAnsi="Calibri"/>
                <w:b w:val="0"/>
                <w:i w:val="0"/>
                <w:color w:val="auto"/>
                <w:sz w:val="17"/>
                <w:highlight w:val="none"/>
              </w:rPr>
              <w:t>45</w:t>
            </w:r>
          </w:p>
        </w:tc>
        <w:tc>
          <w:tcPr>
            <w:tcW w:w="3312"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60F64AC1">
            <w:pPr>
              <w:spacing w:before="0" w:after="0" w:line="240" w:lineRule="auto"/>
              <w:jc w:val="center"/>
              <w:rPr>
                <w:color w:val="auto"/>
                <w:highlight w:val="none"/>
              </w:rPr>
            </w:pPr>
            <w:r>
              <w:rPr>
                <w:rFonts w:ascii="Calibri" w:hAnsi="Calibri"/>
                <w:b w:val="0"/>
                <w:i w:val="0"/>
                <w:color w:val="auto"/>
                <w:sz w:val="17"/>
                <w:highlight w:val="none"/>
              </w:rPr>
              <w:t>22.2</w:t>
            </w:r>
          </w:p>
        </w:tc>
      </w:tr>
      <w:tr w14:paraId="01B0D476">
        <w:trPr>
          <w:cantSplit/>
        </w:trPr>
        <w:tc>
          <w:tcPr>
            <w:tcW w:w="2232" w:type="dxa"/>
            <w:vMerge w:val="continue"/>
            <w:tcMar>
              <w:top w:w="50" w:type="dxa"/>
              <w:left w:w="120" w:type="dxa"/>
              <w:bottom w:w="50" w:type="dxa"/>
              <w:right w:w="120" w:type="dxa"/>
            </w:tcMar>
            <w:vAlign w:val="center"/>
          </w:tcPr>
          <w:p w14:paraId="63243FE8">
            <w:pPr>
              <w:rPr>
                <w:color w:val="auto"/>
                <w:highlight w:val="none"/>
              </w:rPr>
            </w:pPr>
          </w:p>
        </w:tc>
        <w:tc>
          <w:tcPr>
            <w:tcW w:w="3744"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2CCCCA89">
            <w:pPr>
              <w:spacing w:before="0" w:after="0" w:line="240" w:lineRule="auto"/>
              <w:jc w:val="left"/>
              <w:rPr>
                <w:color w:val="auto"/>
                <w:highlight w:val="none"/>
              </w:rPr>
            </w:pPr>
            <w:r>
              <w:rPr>
                <w:rFonts w:ascii="Calibri" w:hAnsi="Calibri"/>
                <w:b w:val="0"/>
                <w:i w:val="0"/>
                <w:color w:val="auto"/>
                <w:sz w:val="17"/>
                <w:highlight w:val="none"/>
              </w:rPr>
              <w:t>South-East Asia</w:t>
            </w:r>
          </w:p>
        </w:tc>
        <w:tc>
          <w:tcPr>
            <w:tcW w:w="1512"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1F40F4A1">
            <w:pPr>
              <w:spacing w:before="0" w:after="0" w:line="240" w:lineRule="auto"/>
              <w:jc w:val="center"/>
              <w:rPr>
                <w:color w:val="auto"/>
                <w:highlight w:val="none"/>
              </w:rPr>
            </w:pPr>
            <w:r>
              <w:rPr>
                <w:rFonts w:ascii="Calibri" w:hAnsi="Calibri"/>
                <w:b w:val="0"/>
                <w:i w:val="0"/>
                <w:color w:val="auto"/>
                <w:sz w:val="17"/>
                <w:highlight w:val="none"/>
              </w:rPr>
              <w:t>31</w:t>
            </w:r>
          </w:p>
        </w:tc>
        <w:tc>
          <w:tcPr>
            <w:tcW w:w="1512"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57929B76">
            <w:pPr>
              <w:spacing w:before="0" w:after="0" w:line="240" w:lineRule="auto"/>
              <w:jc w:val="center"/>
              <w:rPr>
                <w:color w:val="auto"/>
                <w:highlight w:val="none"/>
              </w:rPr>
            </w:pPr>
            <w:r>
              <w:rPr>
                <w:rFonts w:ascii="Calibri" w:hAnsi="Calibri"/>
                <w:b w:val="0"/>
                <w:i w:val="0"/>
                <w:color w:val="auto"/>
                <w:sz w:val="17"/>
                <w:highlight w:val="none"/>
              </w:rPr>
              <w:t>1</w:t>
            </w:r>
          </w:p>
        </w:tc>
        <w:tc>
          <w:tcPr>
            <w:tcW w:w="1368"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59CF1D9F">
            <w:pPr>
              <w:spacing w:before="0" w:after="0" w:line="240" w:lineRule="auto"/>
              <w:jc w:val="center"/>
              <w:rPr>
                <w:color w:val="auto"/>
                <w:highlight w:val="none"/>
              </w:rPr>
            </w:pPr>
            <w:r>
              <w:rPr>
                <w:rFonts w:ascii="Calibri" w:hAnsi="Calibri"/>
                <w:b w:val="0"/>
                <w:i w:val="0"/>
                <w:color w:val="auto"/>
                <w:sz w:val="17"/>
                <w:highlight w:val="none"/>
              </w:rPr>
              <w:t>32</w:t>
            </w:r>
          </w:p>
        </w:tc>
        <w:tc>
          <w:tcPr>
            <w:tcW w:w="3312"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01E0BE78">
            <w:pPr>
              <w:spacing w:before="0" w:after="0" w:line="240" w:lineRule="auto"/>
              <w:jc w:val="center"/>
              <w:rPr>
                <w:color w:val="auto"/>
                <w:highlight w:val="none"/>
              </w:rPr>
            </w:pPr>
            <w:r>
              <w:rPr>
                <w:rFonts w:ascii="Calibri" w:hAnsi="Calibri"/>
                <w:b w:val="0"/>
                <w:i w:val="0"/>
                <w:color w:val="auto"/>
                <w:sz w:val="17"/>
                <w:highlight w:val="none"/>
              </w:rPr>
              <w:t>96.9</w:t>
            </w:r>
          </w:p>
        </w:tc>
      </w:tr>
      <w:tr w14:paraId="3D3B32D3">
        <w:trPr>
          <w:cantSplit/>
        </w:trPr>
        <w:tc>
          <w:tcPr>
            <w:tcW w:w="2232" w:type="dxa"/>
            <w:vMerge w:val="continue"/>
            <w:tcMar>
              <w:top w:w="50" w:type="dxa"/>
              <w:left w:w="120" w:type="dxa"/>
              <w:bottom w:w="50" w:type="dxa"/>
              <w:right w:w="120" w:type="dxa"/>
            </w:tcMar>
            <w:vAlign w:val="center"/>
          </w:tcPr>
          <w:p w14:paraId="6D64C403">
            <w:pPr>
              <w:rPr>
                <w:color w:val="auto"/>
                <w:highlight w:val="none"/>
              </w:rPr>
            </w:pPr>
          </w:p>
        </w:tc>
        <w:tc>
          <w:tcPr>
            <w:tcW w:w="3744"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6BB26B3F">
            <w:pPr>
              <w:spacing w:before="0" w:after="0" w:line="240" w:lineRule="auto"/>
              <w:jc w:val="left"/>
              <w:rPr>
                <w:color w:val="auto"/>
                <w:highlight w:val="none"/>
              </w:rPr>
            </w:pPr>
            <w:r>
              <w:rPr>
                <w:rFonts w:ascii="Calibri" w:hAnsi="Calibri"/>
                <w:b w:val="0"/>
                <w:i w:val="0"/>
                <w:color w:val="auto"/>
                <w:sz w:val="17"/>
                <w:highlight w:val="none"/>
              </w:rPr>
              <w:t>Western Pacific</w:t>
            </w:r>
          </w:p>
        </w:tc>
        <w:tc>
          <w:tcPr>
            <w:tcW w:w="1512"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111E6A6E">
            <w:pPr>
              <w:spacing w:before="0" w:after="0" w:line="240" w:lineRule="auto"/>
              <w:jc w:val="center"/>
              <w:rPr>
                <w:color w:val="auto"/>
                <w:highlight w:val="none"/>
              </w:rPr>
            </w:pPr>
            <w:r>
              <w:rPr>
                <w:rFonts w:ascii="Calibri" w:hAnsi="Calibri"/>
                <w:b w:val="0"/>
                <w:i w:val="0"/>
                <w:color w:val="auto"/>
                <w:sz w:val="17"/>
                <w:highlight w:val="none"/>
              </w:rPr>
              <w:t>29</w:t>
            </w:r>
          </w:p>
        </w:tc>
        <w:tc>
          <w:tcPr>
            <w:tcW w:w="1512"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2326421D">
            <w:pPr>
              <w:spacing w:before="0" w:after="0" w:line="240" w:lineRule="auto"/>
              <w:jc w:val="center"/>
              <w:rPr>
                <w:color w:val="auto"/>
                <w:highlight w:val="none"/>
              </w:rPr>
            </w:pPr>
            <w:r>
              <w:rPr>
                <w:rFonts w:ascii="Calibri" w:hAnsi="Calibri"/>
                <w:b w:val="0"/>
                <w:i w:val="0"/>
                <w:color w:val="auto"/>
                <w:sz w:val="17"/>
                <w:highlight w:val="none"/>
              </w:rPr>
              <w:t>11</w:t>
            </w:r>
          </w:p>
        </w:tc>
        <w:tc>
          <w:tcPr>
            <w:tcW w:w="1368"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15CE37A6">
            <w:pPr>
              <w:spacing w:before="0" w:after="0" w:line="240" w:lineRule="auto"/>
              <w:jc w:val="center"/>
              <w:rPr>
                <w:color w:val="auto"/>
                <w:highlight w:val="none"/>
              </w:rPr>
            </w:pPr>
            <w:r>
              <w:rPr>
                <w:rFonts w:ascii="Calibri" w:hAnsi="Calibri"/>
                <w:b w:val="0"/>
                <w:i w:val="0"/>
                <w:color w:val="auto"/>
                <w:sz w:val="17"/>
                <w:highlight w:val="none"/>
              </w:rPr>
              <w:t>40</w:t>
            </w:r>
          </w:p>
        </w:tc>
        <w:tc>
          <w:tcPr>
            <w:tcW w:w="3312" w:type="dxa"/>
            <w:tcBorders>
              <w:top w:val="single" w:color="AAB7C4" w:sz="4" w:space="0"/>
              <w:left w:val="single" w:color="AAB7C4" w:sz="4" w:space="0"/>
              <w:bottom w:val="single" w:color="AAB7C4" w:sz="4" w:space="0"/>
              <w:right w:val="single" w:color="AAB7C4" w:sz="4" w:space="0"/>
            </w:tcBorders>
            <w:tcMar>
              <w:top w:w="50" w:type="dxa"/>
              <w:left w:w="120" w:type="dxa"/>
              <w:bottom w:w="50" w:type="dxa"/>
              <w:right w:w="120" w:type="dxa"/>
            </w:tcMar>
            <w:vAlign w:val="center"/>
          </w:tcPr>
          <w:p w14:paraId="27216477">
            <w:pPr>
              <w:spacing w:before="0" w:after="0" w:line="240" w:lineRule="auto"/>
              <w:jc w:val="center"/>
              <w:rPr>
                <w:color w:val="auto"/>
                <w:highlight w:val="none"/>
              </w:rPr>
            </w:pPr>
            <w:r>
              <w:rPr>
                <w:rFonts w:ascii="Calibri" w:hAnsi="Calibri"/>
                <w:b w:val="0"/>
                <w:i w:val="0"/>
                <w:color w:val="auto"/>
                <w:sz w:val="17"/>
                <w:highlight w:val="none"/>
              </w:rPr>
              <w:t>72.5</w:t>
            </w:r>
          </w:p>
        </w:tc>
      </w:tr>
      <w:tr w14:paraId="47ED76BF">
        <w:trPr>
          <w:cantSplit/>
        </w:trPr>
        <w:tc>
          <w:tcPr>
            <w:tcW w:w="2232" w:type="dxa"/>
            <w:tcBorders>
              <w:top w:val="single" w:color="AAB7C4" w:sz="4" w:space="0"/>
              <w:left w:val="single" w:color="AAB7C4" w:sz="4" w:space="0"/>
              <w:bottom w:val="single" w:color="AAB7C4" w:sz="4" w:space="0"/>
              <w:right w:val="single" w:color="AAB7C4" w:sz="4" w:space="0"/>
            </w:tcBorders>
            <w:shd w:val="clear" w:color="auto" w:fill="F2F4F7"/>
            <w:tcMar>
              <w:top w:w="50" w:type="dxa"/>
              <w:left w:w="120" w:type="dxa"/>
              <w:bottom w:w="50" w:type="dxa"/>
              <w:right w:w="120" w:type="dxa"/>
            </w:tcMar>
            <w:vAlign w:val="center"/>
          </w:tcPr>
          <w:p w14:paraId="56F0BAD3">
            <w:pPr>
              <w:spacing w:before="0" w:after="0" w:line="240" w:lineRule="auto"/>
              <w:jc w:val="left"/>
              <w:rPr>
                <w:color w:val="auto"/>
                <w:highlight w:val="none"/>
              </w:rPr>
            </w:pPr>
            <w:r>
              <w:rPr>
                <w:rFonts w:ascii="Calibri" w:hAnsi="Calibri"/>
                <w:b/>
                <w:i w:val="0"/>
                <w:color w:val="auto"/>
                <w:sz w:val="17"/>
                <w:highlight w:val="none"/>
              </w:rPr>
              <w:t>Overall</w:t>
            </w:r>
          </w:p>
        </w:tc>
        <w:tc>
          <w:tcPr>
            <w:tcW w:w="3744" w:type="dxa"/>
            <w:tcBorders>
              <w:top w:val="single" w:color="AAB7C4" w:sz="4" w:space="0"/>
              <w:left w:val="single" w:color="AAB7C4" w:sz="4" w:space="0"/>
              <w:bottom w:val="single" w:color="AAB7C4" w:sz="4" w:space="0"/>
              <w:right w:val="single" w:color="AAB7C4" w:sz="4" w:space="0"/>
            </w:tcBorders>
            <w:shd w:val="clear" w:color="auto" w:fill="F2F4F7"/>
            <w:tcMar>
              <w:top w:w="50" w:type="dxa"/>
              <w:left w:w="120" w:type="dxa"/>
              <w:bottom w:w="50" w:type="dxa"/>
              <w:right w:w="120" w:type="dxa"/>
            </w:tcMar>
            <w:vAlign w:val="center"/>
          </w:tcPr>
          <w:p w14:paraId="41685C6A">
            <w:pPr>
              <w:spacing w:before="0" w:after="0" w:line="240" w:lineRule="auto"/>
              <w:jc w:val="left"/>
              <w:rPr>
                <w:color w:val="auto"/>
                <w:highlight w:val="none"/>
              </w:rPr>
            </w:pPr>
            <w:r>
              <w:rPr>
                <w:rFonts w:ascii="Calibri" w:hAnsi="Calibri"/>
                <w:b/>
                <w:i w:val="0"/>
                <w:color w:val="auto"/>
                <w:sz w:val="17"/>
                <w:highlight w:val="none"/>
              </w:rPr>
              <w:t>All candidate surveys</w:t>
            </w:r>
          </w:p>
        </w:tc>
        <w:tc>
          <w:tcPr>
            <w:tcW w:w="1512" w:type="dxa"/>
            <w:tcBorders>
              <w:top w:val="single" w:color="AAB7C4" w:sz="4" w:space="0"/>
              <w:left w:val="single" w:color="AAB7C4" w:sz="4" w:space="0"/>
              <w:bottom w:val="single" w:color="AAB7C4" w:sz="4" w:space="0"/>
              <w:right w:val="single" w:color="AAB7C4" w:sz="4" w:space="0"/>
            </w:tcBorders>
            <w:shd w:val="clear" w:color="auto" w:fill="F2F4F7"/>
            <w:tcMar>
              <w:top w:w="50" w:type="dxa"/>
              <w:left w:w="120" w:type="dxa"/>
              <w:bottom w:w="50" w:type="dxa"/>
              <w:right w:w="120" w:type="dxa"/>
            </w:tcMar>
            <w:vAlign w:val="center"/>
          </w:tcPr>
          <w:p w14:paraId="68609812">
            <w:pPr>
              <w:spacing w:before="0" w:after="0" w:line="240" w:lineRule="auto"/>
              <w:jc w:val="center"/>
              <w:rPr>
                <w:color w:val="auto"/>
                <w:highlight w:val="none"/>
              </w:rPr>
            </w:pPr>
            <w:r>
              <w:rPr>
                <w:rFonts w:ascii="Calibri" w:hAnsi="Calibri"/>
                <w:b/>
                <w:i w:val="0"/>
                <w:color w:val="auto"/>
                <w:sz w:val="17"/>
                <w:highlight w:val="none"/>
              </w:rPr>
              <w:t>339</w:t>
            </w:r>
          </w:p>
        </w:tc>
        <w:tc>
          <w:tcPr>
            <w:tcW w:w="1512" w:type="dxa"/>
            <w:tcBorders>
              <w:top w:val="single" w:color="AAB7C4" w:sz="4" w:space="0"/>
              <w:left w:val="single" w:color="AAB7C4" w:sz="4" w:space="0"/>
              <w:bottom w:val="single" w:color="AAB7C4" w:sz="4" w:space="0"/>
              <w:right w:val="single" w:color="AAB7C4" w:sz="4" w:space="0"/>
            </w:tcBorders>
            <w:shd w:val="clear" w:color="auto" w:fill="F2F4F7"/>
            <w:tcMar>
              <w:top w:w="50" w:type="dxa"/>
              <w:left w:w="120" w:type="dxa"/>
              <w:bottom w:w="50" w:type="dxa"/>
              <w:right w:w="120" w:type="dxa"/>
            </w:tcMar>
            <w:vAlign w:val="center"/>
          </w:tcPr>
          <w:p w14:paraId="6D1F7E7C">
            <w:pPr>
              <w:spacing w:before="0" w:after="0" w:line="240" w:lineRule="auto"/>
              <w:jc w:val="center"/>
              <w:rPr>
                <w:color w:val="auto"/>
                <w:highlight w:val="none"/>
              </w:rPr>
            </w:pPr>
            <w:r>
              <w:rPr>
                <w:rFonts w:ascii="Calibri" w:hAnsi="Calibri"/>
                <w:b/>
                <w:i w:val="0"/>
                <w:color w:val="auto"/>
                <w:sz w:val="17"/>
                <w:highlight w:val="none"/>
              </w:rPr>
              <w:t>87</w:t>
            </w:r>
          </w:p>
        </w:tc>
        <w:tc>
          <w:tcPr>
            <w:tcW w:w="1368" w:type="dxa"/>
            <w:tcBorders>
              <w:top w:val="single" w:color="AAB7C4" w:sz="4" w:space="0"/>
              <w:left w:val="single" w:color="AAB7C4" w:sz="4" w:space="0"/>
              <w:bottom w:val="single" w:color="AAB7C4" w:sz="4" w:space="0"/>
              <w:right w:val="single" w:color="AAB7C4" w:sz="4" w:space="0"/>
            </w:tcBorders>
            <w:shd w:val="clear" w:color="auto" w:fill="F2F4F7"/>
            <w:tcMar>
              <w:top w:w="50" w:type="dxa"/>
              <w:left w:w="120" w:type="dxa"/>
              <w:bottom w:w="50" w:type="dxa"/>
              <w:right w:w="120" w:type="dxa"/>
            </w:tcMar>
            <w:vAlign w:val="center"/>
          </w:tcPr>
          <w:p w14:paraId="4792A12C">
            <w:pPr>
              <w:spacing w:before="0" w:after="0" w:line="240" w:lineRule="auto"/>
              <w:jc w:val="center"/>
              <w:rPr>
                <w:color w:val="auto"/>
                <w:highlight w:val="none"/>
              </w:rPr>
            </w:pPr>
            <w:r>
              <w:rPr>
                <w:rFonts w:ascii="Calibri" w:hAnsi="Calibri"/>
                <w:b/>
                <w:i w:val="0"/>
                <w:color w:val="auto"/>
                <w:sz w:val="17"/>
                <w:highlight w:val="none"/>
              </w:rPr>
              <w:t>426</w:t>
            </w:r>
          </w:p>
        </w:tc>
        <w:tc>
          <w:tcPr>
            <w:tcW w:w="3312" w:type="dxa"/>
            <w:tcBorders>
              <w:top w:val="single" w:color="AAB7C4" w:sz="4" w:space="0"/>
              <w:left w:val="single" w:color="AAB7C4" w:sz="4" w:space="0"/>
              <w:bottom w:val="single" w:color="AAB7C4" w:sz="4" w:space="0"/>
              <w:right w:val="single" w:color="AAB7C4" w:sz="4" w:space="0"/>
            </w:tcBorders>
            <w:shd w:val="clear" w:color="auto" w:fill="F2F4F7"/>
            <w:tcMar>
              <w:top w:w="50" w:type="dxa"/>
              <w:left w:w="120" w:type="dxa"/>
              <w:bottom w:w="50" w:type="dxa"/>
              <w:right w:w="120" w:type="dxa"/>
            </w:tcMar>
            <w:vAlign w:val="center"/>
          </w:tcPr>
          <w:p w14:paraId="481949B5">
            <w:pPr>
              <w:spacing w:before="0" w:after="0" w:line="240" w:lineRule="auto"/>
              <w:jc w:val="center"/>
              <w:rPr>
                <w:color w:val="auto"/>
                <w:highlight w:val="none"/>
              </w:rPr>
            </w:pPr>
            <w:r>
              <w:rPr>
                <w:rFonts w:ascii="Calibri" w:hAnsi="Calibri"/>
                <w:b/>
                <w:i w:val="0"/>
                <w:color w:val="auto"/>
                <w:sz w:val="17"/>
                <w:highlight w:val="none"/>
              </w:rPr>
              <w:t>79.6</w:t>
            </w:r>
          </w:p>
        </w:tc>
      </w:tr>
    </w:tbl>
    <w:p w14:paraId="0E8F1450">
      <w:pPr>
        <w:spacing w:before="60" w:after="0" w:line="240" w:lineRule="auto"/>
        <w:rPr>
          <w:color w:val="auto"/>
          <w:highlight w:val="none"/>
        </w:rPr>
      </w:pPr>
      <w:r>
        <w:rPr>
          <w:rFonts w:ascii="Calibri" w:hAnsi="Calibri"/>
          <w:b/>
          <w:i w:val="0"/>
          <w:color w:val="auto"/>
          <w:sz w:val="15"/>
          <w:highlight w:val="none"/>
        </w:rPr>
        <w:t xml:space="preserve">Note. </w:t>
      </w:r>
      <w:r>
        <w:rPr>
          <w:rFonts w:ascii="Calibri" w:hAnsi="Calibri"/>
          <w:b w:val="0"/>
          <w:i w:val="0"/>
          <w:color w:val="auto"/>
          <w:sz w:val="15"/>
          <w:highlight w:val="none"/>
        </w:rPr>
        <w:t>Included surveys had sufficient subgroup-specific zero-dose prevalence estimates and population-share information to calculate the primary population-weighted between-group standard deviation for household wealth, maternal education, place of residence, and subnational region. Retained within category was calculated as included surveys divided by all candidate surveys in that category. Income group refers to the 2025 World Bank classification; Missing indicates that no 2025 income-group value was available. Countries represented in Panel A are not mutually exclusive because a country could contribute both included and excluded survey years. Standardised differences were calculated as the included-group mean minus the excluded-group mean divided by the pooled standard deviation. Source: WHO Health Inequality Data Repository, 15 May 2025 update.</w:t>
      </w:r>
    </w:p>
    <w:p w14:paraId="19EC9F30">
      <w:pPr>
        <w:keepNext/>
        <w:spacing w:before="0" w:after="200"/>
        <w:rPr>
          <w:color w:val="auto"/>
          <w:highlight w:val="none"/>
        </w:rPr>
      </w:pPr>
      <w:r>
        <w:rPr>
          <w:rFonts w:ascii="Calibri" w:hAnsi="Calibri" w:eastAsia="Calibri"/>
          <w:b/>
          <w:i w:val="0"/>
          <w:color w:val="auto"/>
          <w:sz w:val="25"/>
          <w:highlight w:val="none"/>
        </w:rPr>
        <w:t>Supplementary Table S2. Expanded country and survey-year fixed-effects models for population-weighted between-group dispersion</w:t>
      </w:r>
    </w:p>
    <w:tbl>
      <w:tblPr>
        <w:tblStyle w:val="5"/>
        <w:tblW w:w="13920" w:type="dxa"/>
        <w:jc w:val="center"/>
        <w:tblBorders>
          <w:top w:val="single" w:color="AAB9CC" w:sz="6" w:space="0"/>
          <w:left w:val="single" w:color="AAB9CC" w:sz="6" w:space="0"/>
          <w:bottom w:val="single" w:color="AAB9CC" w:sz="6" w:space="0"/>
          <w:right w:val="single" w:color="AAB9CC" w:sz="6" w:space="0"/>
          <w:insideH w:val="single" w:color="AAB9CC" w:sz="6" w:space="0"/>
          <w:insideV w:val="single" w:color="AAB9CC" w:sz="6" w:space="0"/>
        </w:tblBorders>
        <w:tblLayout w:type="fixed"/>
        <w:tblCellMar>
          <w:top w:w="0" w:type="dxa"/>
          <w:left w:w="108" w:type="dxa"/>
          <w:bottom w:w="0" w:type="dxa"/>
          <w:right w:w="108" w:type="dxa"/>
        </w:tblCellMar>
      </w:tblPr>
      <w:tblGrid>
        <w:gridCol w:w="3384"/>
        <w:gridCol w:w="2634"/>
        <w:gridCol w:w="2634"/>
        <w:gridCol w:w="2634"/>
        <w:gridCol w:w="2634"/>
      </w:tblGrid>
      <w:tr w14:paraId="0D4B4580">
        <w:trPr>
          <w:tblHeader/>
          <w:jc w:val="center"/>
        </w:trPr>
        <w:tc>
          <w:tcPr>
            <w:tcW w:w="3384" w:type="dxa"/>
            <w:shd w:val="clear" w:color="auto" w:fill="E8EEF5"/>
            <w:tcMar>
              <w:top w:w="100" w:type="dxa"/>
              <w:left w:w="110" w:type="dxa"/>
              <w:bottom w:w="100" w:type="dxa"/>
              <w:right w:w="110" w:type="dxa"/>
            </w:tcMar>
            <w:vAlign w:val="center"/>
          </w:tcPr>
          <w:p w14:paraId="6390C0FD">
            <w:pPr>
              <w:spacing w:before="0" w:after="0" w:line="240" w:lineRule="auto"/>
              <w:jc w:val="center"/>
              <w:rPr>
                <w:color w:val="auto"/>
                <w:highlight w:val="none"/>
              </w:rPr>
            </w:pPr>
            <w:r>
              <w:rPr>
                <w:rFonts w:ascii="Calibri" w:hAnsi="Calibri" w:eastAsia="Calibri"/>
                <w:b/>
                <w:i w:val="0"/>
                <w:color w:val="auto"/>
                <w:sz w:val="17"/>
                <w:highlight w:val="none"/>
              </w:rPr>
              <w:t>Inequality dimension</w:t>
            </w:r>
          </w:p>
        </w:tc>
        <w:tc>
          <w:tcPr>
            <w:tcW w:w="2634" w:type="dxa"/>
            <w:shd w:val="clear" w:color="auto" w:fill="E8EEF5"/>
            <w:tcMar>
              <w:top w:w="100" w:type="dxa"/>
              <w:left w:w="110" w:type="dxa"/>
              <w:bottom w:w="100" w:type="dxa"/>
              <w:right w:w="110" w:type="dxa"/>
            </w:tcMar>
            <w:vAlign w:val="center"/>
          </w:tcPr>
          <w:p w14:paraId="66BDA6F1">
            <w:pPr>
              <w:spacing w:before="0" w:after="0" w:line="240" w:lineRule="auto"/>
              <w:jc w:val="center"/>
              <w:rPr>
                <w:color w:val="auto"/>
                <w:highlight w:val="none"/>
              </w:rPr>
            </w:pPr>
            <w:r>
              <w:rPr>
                <w:rFonts w:ascii="Calibri" w:hAnsi="Calibri" w:eastAsia="Calibri"/>
                <w:b/>
                <w:i w:val="0"/>
                <w:color w:val="auto"/>
                <w:sz w:val="17"/>
                <w:highlight w:val="none"/>
              </w:rPr>
              <w:t>Female secondary-school enrolment</w:t>
            </w:r>
            <w:r>
              <w:rPr>
                <w:color w:val="auto"/>
                <w:highlight w:val="none"/>
              </w:rPr>
              <w:br w:type="textWrapping"/>
            </w:r>
            <w:r>
              <w:rPr>
                <w:rFonts w:ascii="Calibri" w:hAnsi="Calibri" w:eastAsia="Calibri"/>
                <w:b/>
                <w:i w:val="0"/>
                <w:color w:val="auto"/>
                <w:sz w:val="17"/>
                <w:highlight w:val="none"/>
              </w:rPr>
              <w:t>β (p)</w:t>
            </w:r>
          </w:p>
        </w:tc>
        <w:tc>
          <w:tcPr>
            <w:tcW w:w="2634" w:type="dxa"/>
            <w:shd w:val="clear" w:color="auto" w:fill="E8EEF5"/>
            <w:tcMar>
              <w:top w:w="100" w:type="dxa"/>
              <w:left w:w="110" w:type="dxa"/>
              <w:bottom w:w="100" w:type="dxa"/>
              <w:right w:w="110" w:type="dxa"/>
            </w:tcMar>
            <w:vAlign w:val="center"/>
          </w:tcPr>
          <w:p w14:paraId="691CE313">
            <w:pPr>
              <w:spacing w:before="0" w:after="0" w:line="240" w:lineRule="auto"/>
              <w:jc w:val="center"/>
              <w:rPr>
                <w:color w:val="auto"/>
                <w:highlight w:val="none"/>
              </w:rPr>
            </w:pPr>
            <w:r>
              <w:rPr>
                <w:rFonts w:ascii="Calibri" w:hAnsi="Calibri" w:eastAsia="Calibri"/>
                <w:b/>
                <w:i w:val="0"/>
                <w:color w:val="auto"/>
                <w:sz w:val="17"/>
                <w:highlight w:val="none"/>
              </w:rPr>
              <w:t>Log GDP per capita</w:t>
            </w:r>
            <w:r>
              <w:rPr>
                <w:color w:val="auto"/>
                <w:highlight w:val="none"/>
              </w:rPr>
              <w:br w:type="textWrapping"/>
            </w:r>
            <w:r>
              <w:rPr>
                <w:rFonts w:ascii="Calibri" w:hAnsi="Calibri" w:eastAsia="Calibri"/>
                <w:b/>
                <w:i w:val="0"/>
                <w:color w:val="auto"/>
                <w:sz w:val="17"/>
                <w:highlight w:val="none"/>
              </w:rPr>
              <w:t>β (p)</w:t>
            </w:r>
          </w:p>
        </w:tc>
        <w:tc>
          <w:tcPr>
            <w:tcW w:w="2634" w:type="dxa"/>
            <w:shd w:val="clear" w:color="auto" w:fill="E8EEF5"/>
            <w:tcMar>
              <w:top w:w="100" w:type="dxa"/>
              <w:left w:w="110" w:type="dxa"/>
              <w:bottom w:w="100" w:type="dxa"/>
              <w:right w:w="110" w:type="dxa"/>
            </w:tcMar>
            <w:vAlign w:val="center"/>
          </w:tcPr>
          <w:p w14:paraId="72AF8A17">
            <w:pPr>
              <w:spacing w:before="0" w:after="0" w:line="240" w:lineRule="auto"/>
              <w:jc w:val="center"/>
              <w:rPr>
                <w:color w:val="auto"/>
                <w:highlight w:val="none"/>
              </w:rPr>
            </w:pPr>
            <w:r>
              <w:rPr>
                <w:rFonts w:ascii="Calibri" w:hAnsi="Calibri" w:eastAsia="Calibri"/>
                <w:b/>
                <w:i w:val="0"/>
                <w:color w:val="auto"/>
                <w:sz w:val="17"/>
                <w:highlight w:val="none"/>
              </w:rPr>
              <w:t>Log health expenditure per capita</w:t>
            </w:r>
            <w:r>
              <w:rPr>
                <w:color w:val="auto"/>
                <w:highlight w:val="none"/>
              </w:rPr>
              <w:br w:type="textWrapping"/>
            </w:r>
            <w:r>
              <w:rPr>
                <w:rFonts w:ascii="Calibri" w:hAnsi="Calibri" w:eastAsia="Calibri"/>
                <w:b/>
                <w:i w:val="0"/>
                <w:color w:val="auto"/>
                <w:sz w:val="17"/>
                <w:highlight w:val="none"/>
              </w:rPr>
              <w:t>β (p)</w:t>
            </w:r>
          </w:p>
        </w:tc>
        <w:tc>
          <w:tcPr>
            <w:tcW w:w="2634" w:type="dxa"/>
            <w:shd w:val="clear" w:color="auto" w:fill="E8EEF5"/>
            <w:tcMar>
              <w:top w:w="100" w:type="dxa"/>
              <w:left w:w="110" w:type="dxa"/>
              <w:bottom w:w="100" w:type="dxa"/>
              <w:right w:w="110" w:type="dxa"/>
            </w:tcMar>
            <w:vAlign w:val="center"/>
          </w:tcPr>
          <w:p w14:paraId="4F9A5DF5">
            <w:pPr>
              <w:spacing w:before="0" w:after="0" w:line="240" w:lineRule="auto"/>
              <w:jc w:val="center"/>
              <w:rPr>
                <w:color w:val="auto"/>
                <w:highlight w:val="none"/>
              </w:rPr>
            </w:pPr>
            <w:r>
              <w:rPr>
                <w:rFonts w:ascii="Calibri" w:hAnsi="Calibri" w:eastAsia="Calibri"/>
                <w:b/>
                <w:i w:val="0"/>
                <w:color w:val="auto"/>
                <w:sz w:val="17"/>
                <w:highlight w:val="none"/>
              </w:rPr>
              <w:t>Urban population share</w:t>
            </w:r>
            <w:r>
              <w:rPr>
                <w:color w:val="auto"/>
                <w:highlight w:val="none"/>
              </w:rPr>
              <w:br w:type="textWrapping"/>
            </w:r>
            <w:r>
              <w:rPr>
                <w:rFonts w:ascii="Calibri" w:hAnsi="Calibri" w:eastAsia="Calibri"/>
                <w:b/>
                <w:i w:val="0"/>
                <w:color w:val="auto"/>
                <w:sz w:val="17"/>
                <w:highlight w:val="none"/>
              </w:rPr>
              <w:t>β (p)</w:t>
            </w:r>
          </w:p>
        </w:tc>
      </w:tr>
      <w:tr w14:paraId="2115D301">
        <w:trPr>
          <w:jc w:val="center"/>
        </w:trPr>
        <w:tc>
          <w:tcPr>
            <w:tcW w:w="3384" w:type="dxa"/>
            <w:tcMar>
              <w:top w:w="100" w:type="dxa"/>
              <w:left w:w="110" w:type="dxa"/>
              <w:bottom w:w="100" w:type="dxa"/>
              <w:right w:w="110" w:type="dxa"/>
            </w:tcMar>
            <w:vAlign w:val="center"/>
          </w:tcPr>
          <w:p w14:paraId="73305CF1">
            <w:pPr>
              <w:spacing w:before="0" w:after="0" w:line="240" w:lineRule="auto"/>
              <w:jc w:val="left"/>
              <w:rPr>
                <w:color w:val="auto"/>
                <w:highlight w:val="none"/>
              </w:rPr>
            </w:pPr>
            <w:r>
              <w:rPr>
                <w:rFonts w:ascii="Calibri" w:hAnsi="Calibri" w:eastAsia="Calibri"/>
                <w:b w:val="0"/>
                <w:i w:val="0"/>
                <w:color w:val="auto"/>
                <w:sz w:val="18"/>
                <w:highlight w:val="none"/>
              </w:rPr>
              <w:t>Household wealth</w:t>
            </w:r>
          </w:p>
        </w:tc>
        <w:tc>
          <w:tcPr>
            <w:tcW w:w="2634" w:type="dxa"/>
            <w:tcMar>
              <w:top w:w="100" w:type="dxa"/>
              <w:left w:w="110" w:type="dxa"/>
              <w:bottom w:w="100" w:type="dxa"/>
              <w:right w:w="110" w:type="dxa"/>
            </w:tcMar>
            <w:vAlign w:val="center"/>
          </w:tcPr>
          <w:p w14:paraId="3506D2A6">
            <w:pPr>
              <w:spacing w:before="0" w:after="0" w:line="240" w:lineRule="auto"/>
              <w:jc w:val="center"/>
              <w:rPr>
                <w:color w:val="auto"/>
                <w:highlight w:val="none"/>
              </w:rPr>
            </w:pPr>
            <w:r>
              <w:rPr>
                <w:rFonts w:ascii="Calibri" w:hAnsi="Calibri" w:eastAsia="Calibri"/>
                <w:b w:val="0"/>
                <w:i w:val="0"/>
                <w:color w:val="auto"/>
                <w:sz w:val="18"/>
                <w:highlight w:val="none"/>
              </w:rPr>
              <w:t>0.007 (0.833)</w:t>
            </w:r>
          </w:p>
        </w:tc>
        <w:tc>
          <w:tcPr>
            <w:tcW w:w="2634" w:type="dxa"/>
            <w:tcMar>
              <w:top w:w="100" w:type="dxa"/>
              <w:left w:w="110" w:type="dxa"/>
              <w:bottom w:w="100" w:type="dxa"/>
              <w:right w:w="110" w:type="dxa"/>
            </w:tcMar>
            <w:vAlign w:val="center"/>
          </w:tcPr>
          <w:p w14:paraId="4BB07394">
            <w:pPr>
              <w:spacing w:before="0" w:after="0" w:line="240" w:lineRule="auto"/>
              <w:jc w:val="center"/>
              <w:rPr>
                <w:color w:val="auto"/>
                <w:highlight w:val="none"/>
              </w:rPr>
            </w:pPr>
            <w:r>
              <w:rPr>
                <w:rFonts w:ascii="Calibri" w:hAnsi="Calibri" w:eastAsia="Calibri"/>
                <w:b w:val="0"/>
                <w:i w:val="0"/>
                <w:color w:val="auto"/>
                <w:sz w:val="18"/>
                <w:highlight w:val="none"/>
              </w:rPr>
              <w:t>−1.731 (0.334)</w:t>
            </w:r>
          </w:p>
        </w:tc>
        <w:tc>
          <w:tcPr>
            <w:tcW w:w="2634" w:type="dxa"/>
            <w:tcMar>
              <w:top w:w="100" w:type="dxa"/>
              <w:left w:w="110" w:type="dxa"/>
              <w:bottom w:w="100" w:type="dxa"/>
              <w:right w:w="110" w:type="dxa"/>
            </w:tcMar>
            <w:vAlign w:val="center"/>
          </w:tcPr>
          <w:p w14:paraId="21788E00">
            <w:pPr>
              <w:spacing w:before="0" w:after="0" w:line="240" w:lineRule="auto"/>
              <w:jc w:val="center"/>
              <w:rPr>
                <w:color w:val="auto"/>
                <w:highlight w:val="none"/>
              </w:rPr>
            </w:pPr>
            <w:r>
              <w:rPr>
                <w:rFonts w:ascii="Calibri" w:hAnsi="Calibri" w:eastAsia="Calibri"/>
                <w:b w:val="0"/>
                <w:i w:val="0"/>
                <w:color w:val="auto"/>
                <w:sz w:val="18"/>
                <w:highlight w:val="none"/>
              </w:rPr>
              <w:t>0.687 (0.485)</w:t>
            </w:r>
          </w:p>
        </w:tc>
        <w:tc>
          <w:tcPr>
            <w:tcW w:w="2634" w:type="dxa"/>
            <w:tcMar>
              <w:top w:w="100" w:type="dxa"/>
              <w:left w:w="110" w:type="dxa"/>
              <w:bottom w:w="100" w:type="dxa"/>
              <w:right w:w="110" w:type="dxa"/>
            </w:tcMar>
            <w:vAlign w:val="center"/>
          </w:tcPr>
          <w:p w14:paraId="5B5C590D">
            <w:pPr>
              <w:spacing w:before="0" w:after="0" w:line="240" w:lineRule="auto"/>
              <w:jc w:val="center"/>
              <w:rPr>
                <w:color w:val="auto"/>
                <w:highlight w:val="none"/>
              </w:rPr>
            </w:pPr>
            <w:r>
              <w:rPr>
                <w:rFonts w:ascii="Calibri" w:hAnsi="Calibri" w:eastAsia="Calibri"/>
                <w:b w:val="0"/>
                <w:i w:val="0"/>
                <w:color w:val="auto"/>
                <w:sz w:val="18"/>
                <w:highlight w:val="none"/>
              </w:rPr>
              <w:t>−0.109 (0.105)</w:t>
            </w:r>
          </w:p>
        </w:tc>
      </w:tr>
      <w:tr w14:paraId="226EF26F">
        <w:trPr>
          <w:jc w:val="center"/>
        </w:trPr>
        <w:tc>
          <w:tcPr>
            <w:tcW w:w="3384" w:type="dxa"/>
            <w:tcMar>
              <w:top w:w="100" w:type="dxa"/>
              <w:left w:w="110" w:type="dxa"/>
              <w:bottom w:w="100" w:type="dxa"/>
              <w:right w:w="110" w:type="dxa"/>
            </w:tcMar>
            <w:vAlign w:val="center"/>
          </w:tcPr>
          <w:p w14:paraId="78DCDFA3">
            <w:pPr>
              <w:spacing w:before="0" w:after="0" w:line="240" w:lineRule="auto"/>
              <w:jc w:val="left"/>
              <w:rPr>
                <w:color w:val="auto"/>
                <w:highlight w:val="none"/>
              </w:rPr>
            </w:pPr>
            <w:r>
              <w:rPr>
                <w:rFonts w:ascii="Calibri" w:hAnsi="Calibri" w:eastAsia="Calibri"/>
                <w:b w:val="0"/>
                <w:i w:val="0"/>
                <w:color w:val="auto"/>
                <w:sz w:val="18"/>
                <w:highlight w:val="none"/>
              </w:rPr>
              <w:t>Maternal education</w:t>
            </w:r>
          </w:p>
        </w:tc>
        <w:tc>
          <w:tcPr>
            <w:tcW w:w="2634" w:type="dxa"/>
            <w:tcMar>
              <w:top w:w="100" w:type="dxa"/>
              <w:left w:w="110" w:type="dxa"/>
              <w:bottom w:w="100" w:type="dxa"/>
              <w:right w:w="110" w:type="dxa"/>
            </w:tcMar>
            <w:vAlign w:val="center"/>
          </w:tcPr>
          <w:p w14:paraId="76EA310B">
            <w:pPr>
              <w:spacing w:before="0" w:after="0" w:line="240" w:lineRule="auto"/>
              <w:jc w:val="center"/>
              <w:rPr>
                <w:color w:val="auto"/>
                <w:highlight w:val="none"/>
              </w:rPr>
            </w:pPr>
            <w:r>
              <w:rPr>
                <w:rFonts w:ascii="Calibri" w:hAnsi="Calibri" w:eastAsia="Calibri"/>
                <w:b w:val="0"/>
                <w:i w:val="0"/>
                <w:color w:val="auto"/>
                <w:sz w:val="18"/>
                <w:highlight w:val="none"/>
              </w:rPr>
              <w:t>−0.005 (0.856)</w:t>
            </w:r>
          </w:p>
        </w:tc>
        <w:tc>
          <w:tcPr>
            <w:tcW w:w="2634" w:type="dxa"/>
            <w:tcMar>
              <w:top w:w="100" w:type="dxa"/>
              <w:left w:w="110" w:type="dxa"/>
              <w:bottom w:w="100" w:type="dxa"/>
              <w:right w:w="110" w:type="dxa"/>
            </w:tcMar>
            <w:vAlign w:val="center"/>
          </w:tcPr>
          <w:p w14:paraId="7DEA0634">
            <w:pPr>
              <w:spacing w:before="0" w:after="0" w:line="240" w:lineRule="auto"/>
              <w:jc w:val="center"/>
              <w:rPr>
                <w:color w:val="auto"/>
                <w:highlight w:val="none"/>
              </w:rPr>
            </w:pPr>
            <w:r>
              <w:rPr>
                <w:rFonts w:ascii="Calibri" w:hAnsi="Calibri" w:eastAsia="Calibri"/>
                <w:b w:val="0"/>
                <w:i w:val="0"/>
                <w:color w:val="auto"/>
                <w:sz w:val="18"/>
                <w:highlight w:val="none"/>
              </w:rPr>
              <w:t>−1.239 (0.513)</w:t>
            </w:r>
          </w:p>
        </w:tc>
        <w:tc>
          <w:tcPr>
            <w:tcW w:w="2634" w:type="dxa"/>
            <w:tcMar>
              <w:top w:w="100" w:type="dxa"/>
              <w:left w:w="110" w:type="dxa"/>
              <w:bottom w:w="100" w:type="dxa"/>
              <w:right w:w="110" w:type="dxa"/>
            </w:tcMar>
            <w:vAlign w:val="center"/>
          </w:tcPr>
          <w:p w14:paraId="1B0751E5">
            <w:pPr>
              <w:spacing w:before="0" w:after="0" w:line="240" w:lineRule="auto"/>
              <w:jc w:val="center"/>
              <w:rPr>
                <w:color w:val="auto"/>
                <w:highlight w:val="none"/>
              </w:rPr>
            </w:pPr>
            <w:r>
              <w:rPr>
                <w:rFonts w:ascii="Calibri" w:hAnsi="Calibri" w:eastAsia="Calibri"/>
                <w:b w:val="0"/>
                <w:i w:val="0"/>
                <w:color w:val="auto"/>
                <w:sz w:val="18"/>
                <w:highlight w:val="none"/>
              </w:rPr>
              <w:t>0.813 (0.308)</w:t>
            </w:r>
          </w:p>
        </w:tc>
        <w:tc>
          <w:tcPr>
            <w:tcW w:w="2634" w:type="dxa"/>
            <w:tcMar>
              <w:top w:w="100" w:type="dxa"/>
              <w:left w:w="110" w:type="dxa"/>
              <w:bottom w:w="100" w:type="dxa"/>
              <w:right w:w="110" w:type="dxa"/>
            </w:tcMar>
            <w:vAlign w:val="center"/>
          </w:tcPr>
          <w:p w14:paraId="36F8DFF7">
            <w:pPr>
              <w:spacing w:before="0" w:after="0" w:line="240" w:lineRule="auto"/>
              <w:jc w:val="center"/>
              <w:rPr>
                <w:color w:val="auto"/>
                <w:highlight w:val="none"/>
              </w:rPr>
            </w:pPr>
            <w:r>
              <w:rPr>
                <w:rFonts w:ascii="Calibri" w:hAnsi="Calibri" w:eastAsia="Calibri"/>
                <w:b w:val="0"/>
                <w:i w:val="0"/>
                <w:color w:val="auto"/>
                <w:sz w:val="18"/>
                <w:highlight w:val="none"/>
              </w:rPr>
              <w:t>−0.182 (0.003)</w:t>
            </w:r>
          </w:p>
        </w:tc>
      </w:tr>
      <w:tr w14:paraId="55B28428">
        <w:trPr>
          <w:jc w:val="center"/>
        </w:trPr>
        <w:tc>
          <w:tcPr>
            <w:tcW w:w="3384" w:type="dxa"/>
            <w:tcMar>
              <w:top w:w="100" w:type="dxa"/>
              <w:left w:w="110" w:type="dxa"/>
              <w:bottom w:w="100" w:type="dxa"/>
              <w:right w:w="110" w:type="dxa"/>
            </w:tcMar>
            <w:vAlign w:val="center"/>
          </w:tcPr>
          <w:p w14:paraId="22B13DC0">
            <w:pPr>
              <w:spacing w:before="0" w:after="0" w:line="240" w:lineRule="auto"/>
              <w:jc w:val="left"/>
              <w:rPr>
                <w:color w:val="auto"/>
                <w:highlight w:val="none"/>
              </w:rPr>
            </w:pPr>
            <w:r>
              <w:rPr>
                <w:rFonts w:ascii="Calibri" w:hAnsi="Calibri" w:eastAsia="Calibri"/>
                <w:b w:val="0"/>
                <w:i w:val="0"/>
                <w:color w:val="auto"/>
                <w:sz w:val="18"/>
                <w:highlight w:val="none"/>
              </w:rPr>
              <w:t>Place of residence</w:t>
            </w:r>
          </w:p>
        </w:tc>
        <w:tc>
          <w:tcPr>
            <w:tcW w:w="2634" w:type="dxa"/>
            <w:tcMar>
              <w:top w:w="100" w:type="dxa"/>
              <w:left w:w="110" w:type="dxa"/>
              <w:bottom w:w="100" w:type="dxa"/>
              <w:right w:w="110" w:type="dxa"/>
            </w:tcMar>
            <w:vAlign w:val="center"/>
          </w:tcPr>
          <w:p w14:paraId="3B8AF7AB">
            <w:pPr>
              <w:spacing w:before="0" w:after="0" w:line="240" w:lineRule="auto"/>
              <w:jc w:val="center"/>
              <w:rPr>
                <w:color w:val="auto"/>
                <w:highlight w:val="none"/>
              </w:rPr>
            </w:pPr>
            <w:r>
              <w:rPr>
                <w:rFonts w:ascii="Calibri" w:hAnsi="Calibri" w:eastAsia="Calibri"/>
                <w:b w:val="0"/>
                <w:i w:val="0"/>
                <w:color w:val="auto"/>
                <w:sz w:val="18"/>
                <w:highlight w:val="none"/>
              </w:rPr>
              <w:t>0.013 (0.455)</w:t>
            </w:r>
          </w:p>
        </w:tc>
        <w:tc>
          <w:tcPr>
            <w:tcW w:w="2634" w:type="dxa"/>
            <w:tcMar>
              <w:top w:w="100" w:type="dxa"/>
              <w:left w:w="110" w:type="dxa"/>
              <w:bottom w:w="100" w:type="dxa"/>
              <w:right w:w="110" w:type="dxa"/>
            </w:tcMar>
            <w:vAlign w:val="center"/>
          </w:tcPr>
          <w:p w14:paraId="384C3D6B">
            <w:pPr>
              <w:spacing w:before="0" w:after="0" w:line="240" w:lineRule="auto"/>
              <w:jc w:val="center"/>
              <w:rPr>
                <w:color w:val="auto"/>
                <w:highlight w:val="none"/>
              </w:rPr>
            </w:pPr>
            <w:r>
              <w:rPr>
                <w:rFonts w:ascii="Calibri" w:hAnsi="Calibri" w:eastAsia="Calibri"/>
                <w:b w:val="0"/>
                <w:i w:val="0"/>
                <w:color w:val="auto"/>
                <w:sz w:val="18"/>
                <w:highlight w:val="none"/>
              </w:rPr>
              <w:t>−0.211 (0.823)</w:t>
            </w:r>
          </w:p>
        </w:tc>
        <w:tc>
          <w:tcPr>
            <w:tcW w:w="2634" w:type="dxa"/>
            <w:tcMar>
              <w:top w:w="100" w:type="dxa"/>
              <w:left w:w="110" w:type="dxa"/>
              <w:bottom w:w="100" w:type="dxa"/>
              <w:right w:w="110" w:type="dxa"/>
            </w:tcMar>
            <w:vAlign w:val="center"/>
          </w:tcPr>
          <w:p w14:paraId="130349C2">
            <w:pPr>
              <w:spacing w:before="0" w:after="0" w:line="240" w:lineRule="auto"/>
              <w:jc w:val="center"/>
              <w:rPr>
                <w:color w:val="auto"/>
                <w:highlight w:val="none"/>
              </w:rPr>
            </w:pPr>
            <w:r>
              <w:rPr>
                <w:rFonts w:ascii="Calibri" w:hAnsi="Calibri" w:eastAsia="Calibri"/>
                <w:b w:val="0"/>
                <w:i w:val="0"/>
                <w:color w:val="auto"/>
                <w:sz w:val="18"/>
                <w:highlight w:val="none"/>
              </w:rPr>
              <w:t>0.197 (0.719)</w:t>
            </w:r>
          </w:p>
        </w:tc>
        <w:tc>
          <w:tcPr>
            <w:tcW w:w="2634" w:type="dxa"/>
            <w:tcMar>
              <w:top w:w="100" w:type="dxa"/>
              <w:left w:w="110" w:type="dxa"/>
              <w:bottom w:w="100" w:type="dxa"/>
              <w:right w:w="110" w:type="dxa"/>
            </w:tcMar>
            <w:vAlign w:val="center"/>
          </w:tcPr>
          <w:p w14:paraId="3FD2F119">
            <w:pPr>
              <w:spacing w:before="0" w:after="0" w:line="240" w:lineRule="auto"/>
              <w:jc w:val="center"/>
              <w:rPr>
                <w:color w:val="auto"/>
                <w:highlight w:val="none"/>
              </w:rPr>
            </w:pPr>
            <w:r>
              <w:rPr>
                <w:rFonts w:ascii="Calibri" w:hAnsi="Calibri" w:eastAsia="Calibri"/>
                <w:b w:val="0"/>
                <w:i w:val="0"/>
                <w:color w:val="auto"/>
                <w:sz w:val="18"/>
                <w:highlight w:val="none"/>
              </w:rPr>
              <w:t>0.017 (0.553)</w:t>
            </w:r>
          </w:p>
        </w:tc>
      </w:tr>
      <w:tr w14:paraId="33B83A0A">
        <w:trPr>
          <w:jc w:val="center"/>
        </w:trPr>
        <w:tc>
          <w:tcPr>
            <w:tcW w:w="3384" w:type="dxa"/>
            <w:tcMar>
              <w:top w:w="100" w:type="dxa"/>
              <w:left w:w="110" w:type="dxa"/>
              <w:bottom w:w="100" w:type="dxa"/>
              <w:right w:w="110" w:type="dxa"/>
            </w:tcMar>
            <w:vAlign w:val="center"/>
          </w:tcPr>
          <w:p w14:paraId="2780CFEC">
            <w:pPr>
              <w:spacing w:before="0" w:after="0" w:line="240" w:lineRule="auto"/>
              <w:jc w:val="left"/>
              <w:rPr>
                <w:color w:val="auto"/>
                <w:highlight w:val="none"/>
              </w:rPr>
            </w:pPr>
            <w:r>
              <w:rPr>
                <w:rFonts w:ascii="Calibri" w:hAnsi="Calibri" w:eastAsia="Calibri"/>
                <w:b w:val="0"/>
                <w:i w:val="0"/>
                <w:color w:val="auto"/>
                <w:sz w:val="18"/>
                <w:highlight w:val="none"/>
              </w:rPr>
              <w:t>Subnational region</w:t>
            </w:r>
          </w:p>
        </w:tc>
        <w:tc>
          <w:tcPr>
            <w:tcW w:w="2634" w:type="dxa"/>
            <w:tcMar>
              <w:top w:w="100" w:type="dxa"/>
              <w:left w:w="110" w:type="dxa"/>
              <w:bottom w:w="100" w:type="dxa"/>
              <w:right w:w="110" w:type="dxa"/>
            </w:tcMar>
            <w:vAlign w:val="center"/>
          </w:tcPr>
          <w:p w14:paraId="5223926A">
            <w:pPr>
              <w:spacing w:before="0" w:after="0" w:line="240" w:lineRule="auto"/>
              <w:jc w:val="center"/>
              <w:rPr>
                <w:color w:val="auto"/>
                <w:highlight w:val="none"/>
              </w:rPr>
            </w:pPr>
            <w:r>
              <w:rPr>
                <w:rFonts w:ascii="Calibri" w:hAnsi="Calibri" w:eastAsia="Calibri"/>
                <w:b w:val="0"/>
                <w:i w:val="0"/>
                <w:color w:val="auto"/>
                <w:sz w:val="18"/>
                <w:highlight w:val="none"/>
              </w:rPr>
              <w:t>−0.032 (0.393)</w:t>
            </w:r>
          </w:p>
        </w:tc>
        <w:tc>
          <w:tcPr>
            <w:tcW w:w="2634" w:type="dxa"/>
            <w:tcMar>
              <w:top w:w="100" w:type="dxa"/>
              <w:left w:w="110" w:type="dxa"/>
              <w:bottom w:w="100" w:type="dxa"/>
              <w:right w:w="110" w:type="dxa"/>
            </w:tcMar>
            <w:vAlign w:val="center"/>
          </w:tcPr>
          <w:p w14:paraId="0A5A6B12">
            <w:pPr>
              <w:spacing w:before="0" w:after="0" w:line="240" w:lineRule="auto"/>
              <w:jc w:val="center"/>
              <w:rPr>
                <w:color w:val="auto"/>
                <w:highlight w:val="none"/>
              </w:rPr>
            </w:pPr>
            <w:r>
              <w:rPr>
                <w:rFonts w:ascii="Calibri" w:hAnsi="Calibri" w:eastAsia="Calibri"/>
                <w:b w:val="0"/>
                <w:i w:val="0"/>
                <w:color w:val="auto"/>
                <w:sz w:val="18"/>
                <w:highlight w:val="none"/>
              </w:rPr>
              <w:t>−1.683 (0.458)</w:t>
            </w:r>
          </w:p>
        </w:tc>
        <w:tc>
          <w:tcPr>
            <w:tcW w:w="2634" w:type="dxa"/>
            <w:tcMar>
              <w:top w:w="100" w:type="dxa"/>
              <w:left w:w="110" w:type="dxa"/>
              <w:bottom w:w="100" w:type="dxa"/>
              <w:right w:w="110" w:type="dxa"/>
            </w:tcMar>
            <w:vAlign w:val="center"/>
          </w:tcPr>
          <w:p w14:paraId="2D9940F9">
            <w:pPr>
              <w:spacing w:before="0" w:after="0" w:line="240" w:lineRule="auto"/>
              <w:jc w:val="center"/>
              <w:rPr>
                <w:color w:val="auto"/>
                <w:highlight w:val="none"/>
              </w:rPr>
            </w:pPr>
            <w:r>
              <w:rPr>
                <w:rFonts w:ascii="Calibri" w:hAnsi="Calibri" w:eastAsia="Calibri"/>
                <w:b w:val="0"/>
                <w:i w:val="0"/>
                <w:color w:val="auto"/>
                <w:sz w:val="18"/>
                <w:highlight w:val="none"/>
              </w:rPr>
              <w:t>1.583 (0.124)</w:t>
            </w:r>
          </w:p>
        </w:tc>
        <w:tc>
          <w:tcPr>
            <w:tcW w:w="2634" w:type="dxa"/>
            <w:tcMar>
              <w:top w:w="100" w:type="dxa"/>
              <w:left w:w="110" w:type="dxa"/>
              <w:bottom w:w="100" w:type="dxa"/>
              <w:right w:w="110" w:type="dxa"/>
            </w:tcMar>
            <w:vAlign w:val="center"/>
          </w:tcPr>
          <w:p w14:paraId="73247894">
            <w:pPr>
              <w:spacing w:before="0" w:after="0" w:line="240" w:lineRule="auto"/>
              <w:jc w:val="center"/>
              <w:rPr>
                <w:color w:val="auto"/>
                <w:highlight w:val="none"/>
              </w:rPr>
            </w:pPr>
            <w:r>
              <w:rPr>
                <w:rFonts w:ascii="Calibri" w:hAnsi="Calibri" w:eastAsia="Calibri"/>
                <w:b w:val="0"/>
                <w:i w:val="0"/>
                <w:color w:val="auto"/>
                <w:sz w:val="18"/>
                <w:highlight w:val="none"/>
              </w:rPr>
              <w:t>−0.080 (0.275)</w:t>
            </w:r>
          </w:p>
        </w:tc>
      </w:tr>
    </w:tbl>
    <w:p w14:paraId="29FE7491">
      <w:pPr>
        <w:pStyle w:val="2"/>
        <w:widowControl/>
        <w:numPr>
          <w:ilvl w:val="0"/>
          <w:numId w:val="0"/>
        </w:numPr>
        <w:spacing w:after="160" w:line="280" w:lineRule="auto"/>
        <w:contextualSpacing/>
        <w:rPr>
          <w:color w:val="auto"/>
          <w:highlight w:val="none"/>
        </w:rPr>
      </w:pPr>
      <w:r>
        <w:rPr>
          <w:rFonts w:ascii="Calibri" w:hAnsi="Calibri" w:eastAsia="Calibri"/>
          <w:b/>
          <w:i/>
          <w:color w:val="auto"/>
          <w:sz w:val="17"/>
          <w:highlight w:val="none"/>
        </w:rPr>
        <w:t xml:space="preserve">Note. </w:t>
      </w:r>
      <w:r>
        <w:rPr>
          <w:rFonts w:ascii="Calibri" w:hAnsi="Calibri" w:eastAsia="Calibri"/>
          <w:b w:val="0"/>
          <w:i w:val="0"/>
          <w:color w:val="auto"/>
          <w:sz w:val="17"/>
          <w:highlight w:val="none"/>
        </w:rPr>
        <w:t xml:space="preserve">All models included country and survey-year fixed effects, with standard errors clustered by country. Each model included 197 country–year surveys from 67 countries. The dependent variable was the population-weighted between-group standard deviation of subgroup-specific zero-dose prevalence within the indicated inequality dimension. Coefficients are presented with two-sided p values in </w:t>
      </w:r>
      <w:r>
        <w:rPr>
          <w:rFonts w:hint="eastAsia" w:ascii="Calibri" w:hAnsi="Calibri" w:eastAsia="Calibri"/>
          <w:b w:val="0"/>
          <w:i w:val="0"/>
          <w:color w:val="auto"/>
          <w:sz w:val="17"/>
          <w:highlight w:val="none"/>
        </w:rPr>
        <w:t>parentheses.</w:t>
      </w:r>
    </w:p>
    <w:p w14:paraId="343BBF29">
      <w:bookmarkStart w:id="0" w:name="_GoBack"/>
      <w:bookmarkEnd w:id="0"/>
    </w:p>
    <w:sectPr>
      <w:headerReference r:id="rId5" w:type="default"/>
      <w:footerReference r:id="rId6" w:type="default"/>
      <w:pgSz w:w="15840" w:h="12240" w:orient="landscape"/>
      <w:pgMar w:top="720" w:right="720" w:bottom="720" w:left="720" w:header="360" w:footer="36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50620C">
    <w:pPr>
      <w:pStyle w:val="3"/>
      <w:jc w:val="right"/>
    </w:pPr>
    <w:r>
      <w:rPr>
        <w:rFonts w:ascii="Calibri" w:hAnsi="Calibri"/>
        <w:color w:val="5B6573"/>
        <w:sz w:val="17"/>
      </w:rPr>
      <w:t xml:space="preserve">Page </w:t>
    </w:r>
    <w:r>
      <w:fldChar w:fldCharType="begin"/>
    </w:r>
    <w:r>
      <w:instrText xml:space="preserve">PAGE</w:instrText>
    </w:r>
    <w:r>
      <w:fldChar w:fldCharType="separate"/>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64" w:lineRule="auto"/>
      </w:pPr>
      <w:r>
        <w:separator/>
      </w:r>
    </w:p>
  </w:footnote>
  <w:footnote w:type="continuationSeparator" w:id="1">
    <w:p>
      <w:pPr>
        <w:spacing w:before="0" w:after="0" w:line="264"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735F6">
    <w:pPr>
      <w:pStyle w:val="4"/>
    </w:pPr>
  </w:p>
  <w:tbl>
    <w:tblPr>
      <w:tblStyle w:val="5"/>
      <w:tblW w:w="0" w:type="auto"/>
      <w:jc w:val="center"/>
      <w:tblBorders>
        <w:top w:val="single" w:color="2E74B5" w:sz="6" w:space="0"/>
        <w:left w:val="single" w:color="2E74B5" w:sz="6" w:space="0"/>
        <w:bottom w:val="single" w:color="2E74B5" w:sz="6" w:space="0"/>
        <w:right w:val="single" w:color="2E74B5" w:sz="6" w:space="0"/>
        <w:insideH w:val="single" w:color="2E74B5" w:sz="6" w:space="0"/>
        <w:insideV w:val="single" w:color="2E74B5" w:sz="6" w:space="0"/>
      </w:tblBorders>
      <w:tblLayout w:type="fixed"/>
      <w:tblCellMar>
        <w:top w:w="0" w:type="dxa"/>
        <w:left w:w="108" w:type="dxa"/>
        <w:bottom w:w="0" w:type="dxa"/>
        <w:right w:w="108" w:type="dxa"/>
      </w:tblCellMar>
    </w:tblPr>
    <w:tblGrid>
      <w:gridCol w:w="4680"/>
      <w:gridCol w:w="4680"/>
    </w:tblGrid>
    <w:tr w14:paraId="7D605D31">
      <w:trPr>
        <w:jc w:val="center"/>
      </w:trPr>
      <w:tc>
        <w:tcPr>
          <w:tcW w:w="6600" w:type="dxa"/>
          <w:tcMar>
            <w:top w:w="0" w:type="dxa"/>
            <w:left w:w="0" w:type="dxa"/>
            <w:bottom w:w="40" w:type="dxa"/>
            <w:right w:w="0" w:type="dxa"/>
          </w:tcMar>
        </w:tcPr>
        <w:p w14:paraId="5AA592C9">
          <w:pPr>
            <w:jc w:val="left"/>
          </w:pPr>
          <w:r>
            <w:rPr>
              <w:rFonts w:ascii="Calibri" w:hAnsi="Calibri"/>
              <w:b/>
              <w:color w:val="1F4D78"/>
              <w:sz w:val="17"/>
            </w:rPr>
            <w:t>PROPOSED REVISED MANUSCRIPT</w:t>
          </w:r>
        </w:p>
      </w:tc>
      <w:tc>
        <w:tcPr>
          <w:tcW w:w="2760" w:type="dxa"/>
          <w:tcMar>
            <w:top w:w="0" w:type="dxa"/>
            <w:left w:w="0" w:type="dxa"/>
            <w:bottom w:w="40" w:type="dxa"/>
            <w:right w:w="0" w:type="dxa"/>
          </w:tcMar>
        </w:tcPr>
        <w:p w14:paraId="4DCDD223">
          <w:pPr>
            <w:jc w:val="right"/>
          </w:pPr>
          <w:r>
            <w:rPr>
              <w:rFonts w:ascii="Calibri" w:hAnsi="Calibri"/>
              <w:color w:val="5B6573"/>
              <w:sz w:val="16"/>
            </w:rPr>
            <w:t>REVISION PACKAGE • 09 AUG 2026</w:t>
          </w:r>
        </w:p>
      </w:tc>
    </w:tr>
  </w:tbl>
  <w:p w14:paraId="2686C95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CFB9F11"/>
    <w:multiLevelType w:val="singleLevel"/>
    <w:tmpl w:val="7CFB9F11"/>
    <w:lvl w:ilvl="0" w:tentative="0">
      <w:start w:val="1"/>
      <w:numFmt w:val="decimal"/>
      <w:pStyle w:val="2"/>
      <w:lvlText w:val="%1."/>
      <w:lvlJc w:val="left"/>
      <w:pPr>
        <w:tabs>
          <w:tab w:val="left" w:pos="360"/>
        </w:tabs>
        <w:ind w:left="36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4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A9FB21C"/>
    <w:rsid w:val="FA9FB2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iPriority="99" w:semiHidden="0" w:name="header"/>
    <w:lsdException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spacing w:after="120" w:line="264" w:lineRule="auto"/>
    </w:pPr>
    <w:rPr>
      <w:rFonts w:ascii="Calibri" w:hAnsi="Calibri" w:eastAsiaTheme="minorEastAsia" w:cstheme="minorBidi"/>
      <w:color w:val="17212B"/>
      <w:sz w:val="22"/>
      <w:szCs w:val="22"/>
      <w:lang w:val="en-US" w:eastAsia="en-US"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List Number"/>
    <w:basedOn w:val="1"/>
    <w:uiPriority w:val="0"/>
    <w:pPr>
      <w:numPr>
        <w:ilvl w:val="0"/>
        <w:numId w:val="1"/>
      </w:numPr>
    </w:pPr>
  </w:style>
  <w:style w:type="paragraph" w:styleId="3">
    <w:name w:val="footer"/>
    <w:basedOn w:val="1"/>
    <w:unhideWhenUsed/>
    <w:uiPriority w:val="99"/>
    <w:pPr>
      <w:tabs>
        <w:tab w:val="center" w:pos="4680"/>
        <w:tab w:val="right" w:pos="9360"/>
      </w:tabs>
      <w:spacing w:after="0" w:line="240" w:lineRule="auto"/>
    </w:pPr>
  </w:style>
  <w:style w:type="paragraph" w:styleId="4">
    <w:name w:val="header"/>
    <w:basedOn w:val="1"/>
    <w:unhideWhenUsed/>
    <w:uiPriority w:val="99"/>
    <w:pPr>
      <w:tabs>
        <w:tab w:val="center" w:pos="4680"/>
        <w:tab w:val="right" w:pos="9360"/>
      </w:tabs>
      <w:spacing w:after="0" w:line="240" w:lineRule="auto"/>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Office_12.1.25205.25205_F1E327BC-269C-435d-A152-05C5408002CA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2026-08-15T20:49:00Z</dcterms:created>
  <dc:creator>邱涵</dc:creator>
  <cp:lastModifiedBy>邱涵</cp:lastModifiedBy>
  <dcterms:modified xsi:type="dcterms:W3CDTF">2026-08-15T20:49:11Z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2052-12.1.25205.25205</vt:lpwstr>
  </property>
  <property fmtid="{D5CDD505-2E9C-101B-9397-08002B2CF9AE}" pid="3" name="ICV">
    <vt:lpwstr>36293B29B6AAD1424060806A9C1BD5BE_41</vt:lpwstr>
  </property>
</Properties>
</file>