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86BFB">
      <w:pPr>
        <w:keepNext w:val="0"/>
        <w:keepLines w:val="0"/>
        <w:widowControl/>
        <w:suppressLineNumbers w:val="0"/>
        <w:spacing w:line="480" w:lineRule="auto"/>
        <w:jc w:val="cente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Additional file 1: Rationale for Covariate Selection</w:t>
      </w:r>
    </w:p>
    <w:p w14:paraId="6E63AC5F">
      <w:pPr>
        <w:spacing w:line="480" w:lineRule="auto"/>
        <w:ind w:firstLine="420" w:firstLineChars="0"/>
        <w:rPr>
          <w:rFonts w:hint="default" w:ascii="Times New Roman" w:hAnsi="Times New Roman" w:cs="Times New Roman"/>
          <w:sz w:val="21"/>
          <w:szCs w:val="24"/>
        </w:rPr>
      </w:pPr>
      <w:r>
        <w:rPr>
          <w:rFonts w:hint="default" w:ascii="Times New Roman" w:hAnsi="Times New Roman" w:cs="Times New Roman"/>
          <w:sz w:val="21"/>
          <w:szCs w:val="24"/>
        </w:rPr>
        <w:t>Covariates were selected according to Andersen’s Behavioral Model of Health Service Use, which conceptualizes that healthcare utilization is determined by three domains: predisposing, enabling, and need factors. Predisposing factors describe inherent individual characteristics that influence the propensity to seek care; enabling factors represent the resources and contextual conditions that facilitate or constrain access to healthcare; and need factors reflect perceived and evaluated health conditions that directly generate demand for services.</w:t>
      </w:r>
      <w:r>
        <w:rPr>
          <w:rFonts w:hint="eastAsia" w:ascii="Times New Roman" w:hAnsi="Times New Roman" w:cs="Times New Roman"/>
          <w:sz w:val="21"/>
          <w:szCs w:val="24"/>
          <w:lang w:val="en-US" w:eastAsia="zh-CN"/>
        </w:rPr>
        <w:t xml:space="preserve"> </w:t>
      </w:r>
      <w:r>
        <w:rPr>
          <w:rFonts w:hint="default" w:ascii="Times New Roman" w:hAnsi="Times New Roman" w:cs="Times New Roman"/>
          <w:sz w:val="21"/>
          <w:szCs w:val="24"/>
        </w:rPr>
        <w:t>Guided by this framework, we included variables covering demographic, socioeconomic, and health-related dimensions to control for potential confounding and to better estimate associations of health check-up type with healthcare utilization and inequality</w:t>
      </w:r>
    </w:p>
    <w:p w14:paraId="3371B55B">
      <w:pPr>
        <w:spacing w:line="480" w:lineRule="auto"/>
        <w:ind w:firstLine="420" w:firstLineChars="0"/>
        <w:rPr>
          <w:rFonts w:hint="eastAsia" w:ascii="Times New Roman" w:hAnsi="Times New Roman" w:cs="Times New Roman"/>
          <w:sz w:val="21"/>
          <w:szCs w:val="24"/>
          <w:lang w:val="en-US" w:eastAsia="zh-CN"/>
        </w:rPr>
      </w:pPr>
      <w:r>
        <w:rPr>
          <w:rFonts w:hint="eastAsia" w:ascii="Times New Roman" w:hAnsi="Times New Roman" w:cs="Times New Roman"/>
          <w:sz w:val="21"/>
          <w:szCs w:val="24"/>
          <w:lang w:val="en-US" w:eastAsia="zh-CN"/>
        </w:rPr>
        <w:t>Predisposing factors included age, gender, education level, and marital status. These variables capture demographic and social characteristics shaping health perceptions and care-seeking behavior. Age, gender, and marital status reflect differences in health risk and social support; education level represents health literacy and capacity to engage effectively with the healthcare system.</w:t>
      </w:r>
    </w:p>
    <w:p w14:paraId="60448F25">
      <w:pPr>
        <w:spacing w:line="480" w:lineRule="auto"/>
        <w:ind w:firstLine="420" w:firstLineChars="0"/>
        <w:rPr>
          <w:rFonts w:hint="eastAsia" w:ascii="Times New Roman" w:hAnsi="Times New Roman" w:cs="Times New Roman"/>
          <w:sz w:val="21"/>
          <w:szCs w:val="24"/>
          <w:lang w:val="en-US" w:eastAsia="zh-CN"/>
        </w:rPr>
      </w:pPr>
      <w:r>
        <w:rPr>
          <w:rFonts w:hint="eastAsia" w:ascii="Times New Roman" w:hAnsi="Times New Roman" w:cs="Times New Roman"/>
          <w:sz w:val="21"/>
          <w:szCs w:val="24"/>
          <w:lang w:val="en-US" w:eastAsia="zh-CN"/>
        </w:rPr>
        <w:t>Enabling factors comprised residential area, health insurance coverage, and per capita household consumption. Residential area captures the urban</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rural divide in healthcare resource availability and geographic accessibility. Health insurance coverage reduces financial barriers. Per capita household consumption serves as a proxy for household income or wealth and reflects financial capacity to meet out-of-pocket healthcare expenses.</w:t>
      </w:r>
    </w:p>
    <w:p w14:paraId="51376F62">
      <w:pPr>
        <w:spacing w:line="480" w:lineRule="auto"/>
        <w:ind w:firstLine="420" w:firstLineChars="0"/>
        <w:rPr>
          <w:rFonts w:hint="eastAsia" w:ascii="Times New Roman" w:hAnsi="Times New Roman" w:cs="Times New Roman"/>
          <w:sz w:val="21"/>
          <w:szCs w:val="24"/>
          <w:lang w:val="en-US" w:eastAsia="zh-CN"/>
        </w:rPr>
      </w:pPr>
      <w:r>
        <w:rPr>
          <w:rFonts w:hint="eastAsia" w:ascii="Times New Roman" w:hAnsi="Times New Roman" w:cs="Times New Roman"/>
          <w:sz w:val="21"/>
          <w:szCs w:val="24"/>
          <w:lang w:val="en-US" w:eastAsia="zh-CN"/>
        </w:rPr>
        <w:t>Need factors included self-rated health status, chronic disease status, smoking habit, drinking habit, physical activity, and depression risk. Self-rated health indicates perceived health burden, while chronic disease status reflects objective medical need. Health behaviors (smoking, drinking, and physical activity) measure both risk exposure and health awareness, and depression risk captures mental health needs that are prevalent among older adults and linked to higher service utilization.</w:t>
      </w:r>
    </w:p>
    <w:p w14:paraId="3CFF2803">
      <w:pPr>
        <w:spacing w:line="480" w:lineRule="auto"/>
        <w:ind w:firstLine="420" w:firstLineChars="0"/>
        <w:rPr>
          <w:rFonts w:hint="default" w:ascii="Times New Roman" w:hAnsi="Times New Roman" w:cs="Times New Roman"/>
          <w:sz w:val="21"/>
          <w:szCs w:val="24"/>
          <w:lang w:val="en-US" w:eastAsia="zh-CN"/>
        </w:rPr>
      </w:pPr>
      <w:r>
        <w:rPr>
          <w:rFonts w:hint="default" w:ascii="Times New Roman" w:hAnsi="Times New Roman" w:cs="Times New Roman"/>
          <w:sz w:val="21"/>
          <w:szCs w:val="24"/>
          <w:lang w:val="en-US" w:eastAsia="zh-CN"/>
        </w:rPr>
        <w:t>By controlling for these predisposing, enabling, and need factors, this study aims to minimize confounding bias and provide a more comprehensive assessment of the associations between health check-up type and healthcare utilization and inequality.</w:t>
      </w:r>
    </w:p>
    <w:p w14:paraId="082C0359">
      <w:pPr>
        <w:spacing w:line="480" w:lineRule="auto"/>
        <w:ind w:firstLine="420" w:firstLineChars="0"/>
        <w:rPr>
          <w:rFonts w:hint="default" w:ascii="Times New Roman" w:hAnsi="Times New Roman" w:cs="Times New Roman"/>
          <w:sz w:val="21"/>
          <w:szCs w:val="24"/>
          <w:lang w:val="en-US" w:eastAsia="zh-CN"/>
        </w:rPr>
      </w:pPr>
    </w:p>
    <w:p w14:paraId="21C44CD5">
      <w:pPr>
        <w:keepNext w:val="0"/>
        <w:keepLines w:val="0"/>
        <w:widowControl/>
        <w:suppressLineNumbers w:val="0"/>
        <w:spacing w:line="480" w:lineRule="auto"/>
        <w:jc w:val="center"/>
        <w:rPr>
          <w:rFonts w:hint="eastAsia"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Additional file 2: Sensitivity analyses</w:t>
      </w:r>
    </w:p>
    <w:p w14:paraId="4DF9B67E">
      <w:pPr>
        <w:spacing w:line="240" w:lineRule="auto"/>
        <w:rPr>
          <w:rFonts w:hint="eastAsia" w:ascii="Times New Roman" w:hAnsi="Times New Roman" w:eastAsia="宋体" w:cs="Times New Roman"/>
          <w:b/>
          <w:bCs/>
          <w:color w:val="auto"/>
          <w:sz w:val="20"/>
          <w:szCs w:val="20"/>
          <w:highlight w:val="none"/>
          <w:u w:val="none"/>
          <w:lang w:val="en-US" w:eastAsia="zh-CN"/>
        </w:rPr>
      </w:pPr>
      <w:r>
        <w:rPr>
          <w:rFonts w:hint="eastAsia" w:ascii="Times New Roman" w:hAnsi="Times New Roman" w:eastAsia="宋体" w:cs="Times New Roman"/>
          <w:b/>
          <w:bCs/>
          <w:color w:val="auto"/>
          <w:sz w:val="20"/>
          <w:szCs w:val="20"/>
          <w:highlight w:val="none"/>
          <w:u w:val="none"/>
          <w:lang w:val="en-US" w:eastAsia="zh-CN"/>
        </w:rPr>
        <w:t>Table S1.</w:t>
      </w:r>
    </w:p>
    <w:p w14:paraId="5B51990B">
      <w:pPr>
        <w:spacing w:line="240" w:lineRule="auto"/>
        <w:rPr>
          <w:rFonts w:hint="default" w:ascii="Times New Roman" w:hAnsi="Times New Roman" w:eastAsia="宋体" w:cs="Times New Roman"/>
          <w:b w:val="0"/>
          <w:bCs w:val="0"/>
          <w:color w:val="auto"/>
          <w:sz w:val="20"/>
          <w:szCs w:val="20"/>
          <w:highlight w:val="none"/>
          <w:u w:val="none"/>
          <w:lang w:val="en-US" w:eastAsia="zh-CN"/>
        </w:rPr>
      </w:pPr>
      <w:r>
        <w:rPr>
          <w:rFonts w:hint="default" w:ascii="Times New Roman" w:hAnsi="Times New Roman" w:eastAsia="宋体" w:cs="Times New Roman"/>
          <w:b w:val="0"/>
          <w:bCs w:val="0"/>
          <w:color w:val="auto"/>
          <w:sz w:val="20"/>
          <w:szCs w:val="20"/>
          <w:highlight w:val="none"/>
          <w:u w:val="none"/>
          <w:lang w:val="en-US" w:eastAsia="zh-CN"/>
        </w:rPr>
        <w:t>Sensitivity analyses additionally adjusting for lagged healthcare utilization and expenditure outcomes (FE-Logit for binary outcomes and FE-OLS for continuous outcomes)</w:t>
      </w:r>
    </w:p>
    <w:tbl>
      <w:tblPr>
        <w:tblStyle w:val="2"/>
        <w:tblW w:w="6855" w:type="pct"/>
        <w:jc w:val="center"/>
        <w:tblLayout w:type="fixed"/>
        <w:tblCellMar>
          <w:top w:w="0" w:type="dxa"/>
          <w:left w:w="108" w:type="dxa"/>
          <w:bottom w:w="0" w:type="dxa"/>
          <w:right w:w="108" w:type="dxa"/>
        </w:tblCellMar>
      </w:tblPr>
      <w:tblGrid>
        <w:gridCol w:w="3333"/>
        <w:gridCol w:w="1670"/>
        <w:gridCol w:w="1670"/>
        <w:gridCol w:w="1670"/>
        <w:gridCol w:w="1670"/>
        <w:gridCol w:w="1672"/>
      </w:tblGrid>
      <w:tr w14:paraId="22D5A480">
        <w:tblPrEx>
          <w:tblCellMar>
            <w:top w:w="0" w:type="dxa"/>
            <w:left w:w="108" w:type="dxa"/>
            <w:bottom w:w="0" w:type="dxa"/>
            <w:right w:w="108" w:type="dxa"/>
          </w:tblCellMar>
        </w:tblPrEx>
        <w:trPr>
          <w:trHeight w:val="90" w:hRule="atLeast"/>
          <w:jc w:val="center"/>
        </w:trPr>
        <w:tc>
          <w:tcPr>
            <w:tcW w:w="3333" w:type="dxa"/>
            <w:tcBorders>
              <w:top w:val="single" w:color="000000" w:sz="12" w:space="0"/>
              <w:left w:val="nil"/>
              <w:bottom w:val="single" w:color="000000" w:sz="4" w:space="0"/>
              <w:right w:val="nil"/>
              <w:tl2br w:val="nil"/>
              <w:tr2bl w:val="nil"/>
            </w:tcBorders>
            <w:shd w:val="clear" w:color="auto" w:fill="FFFFFF"/>
            <w:vAlign w:val="center"/>
          </w:tcPr>
          <w:p w14:paraId="3FC4D4AE">
            <w:pPr>
              <w:keepNext w:val="0"/>
              <w:keepLines w:val="0"/>
              <w:widowControl/>
              <w:suppressLineNumbers w:val="0"/>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bCs w:val="0"/>
                <w:color w:val="000000"/>
                <w:kern w:val="0"/>
                <w:sz w:val="20"/>
                <w:szCs w:val="20"/>
                <w:lang w:val="en-US" w:eastAsia="zh-CN" w:bidi="ar"/>
              </w:rPr>
              <w:t>Variables</w:t>
            </w:r>
          </w:p>
        </w:tc>
        <w:tc>
          <w:tcPr>
            <w:tcW w:w="1670" w:type="dxa"/>
            <w:tcBorders>
              <w:top w:val="single" w:color="000000" w:sz="12" w:space="0"/>
              <w:left w:val="nil"/>
              <w:bottom w:val="single" w:color="000000" w:sz="4" w:space="0"/>
              <w:right w:val="nil"/>
              <w:tl2br w:val="nil"/>
              <w:tr2bl w:val="nil"/>
            </w:tcBorders>
            <w:shd w:val="clear" w:color="auto" w:fill="FFFFFF"/>
            <w:vAlign w:val="center"/>
          </w:tcPr>
          <w:p w14:paraId="5D59455A">
            <w:pPr>
              <w:spacing w:line="240" w:lineRule="auto"/>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ascii="Times New Roman" w:hAnsi="Times New Roman" w:eastAsia="宋体" w:cs="Times New Roman"/>
                <w:b/>
                <w:bCs/>
                <w:color w:val="000000"/>
                <w:sz w:val="20"/>
                <w:szCs w:val="20"/>
                <w:highlight w:val="none"/>
                <w:lang w:val="en-US" w:eastAsia="zh-CN"/>
              </w:rPr>
              <w:t xml:space="preserve">Monthly outpatient visit </w:t>
            </w:r>
            <w:r>
              <w:rPr>
                <w:rFonts w:hint="eastAsia" w:ascii="Times New Roman" w:hAnsi="Times New Roman" w:eastAsia="宋体" w:cs="Times New Roman"/>
                <w:b/>
                <w:bCs/>
                <w:color w:val="000000"/>
                <w:sz w:val="20"/>
                <w:szCs w:val="20"/>
                <w:highlight w:val="none"/>
                <w:lang w:val="en-US" w:eastAsia="zh-CN"/>
              </w:rPr>
              <w:t>(</w:t>
            </w:r>
            <w:r>
              <w:rPr>
                <w:rFonts w:ascii="Times New Roman" w:hAnsi="Times New Roman" w:eastAsia="宋体" w:cs="Times New Roman"/>
                <w:b/>
                <w:bCs/>
                <w:color w:val="000000"/>
                <w:sz w:val="20"/>
                <w:szCs w:val="20"/>
                <w:highlight w:val="none"/>
                <w:lang w:val="en-US" w:eastAsia="zh-CN"/>
              </w:rPr>
              <w:t>OR</w:t>
            </w:r>
            <w:r>
              <w:rPr>
                <w:rFonts w:hint="eastAsia" w:ascii="Times New Roman" w:hAnsi="Times New Roman" w:eastAsia="宋体" w:cs="Times New Roman"/>
                <w:b/>
                <w:bCs/>
                <w:color w:val="000000"/>
                <w:sz w:val="20"/>
                <w:szCs w:val="20"/>
                <w:highlight w:val="none"/>
                <w:lang w:val="en-US" w:eastAsia="zh-CN"/>
              </w:rPr>
              <w:t>)</w:t>
            </w:r>
          </w:p>
        </w:tc>
        <w:tc>
          <w:tcPr>
            <w:tcW w:w="1670" w:type="dxa"/>
            <w:tcBorders>
              <w:top w:val="single" w:color="000000" w:sz="12" w:space="0"/>
              <w:left w:val="nil"/>
              <w:bottom w:val="single" w:color="000000" w:sz="4" w:space="0"/>
              <w:right w:val="nil"/>
              <w:tl2br w:val="nil"/>
              <w:tr2bl w:val="nil"/>
            </w:tcBorders>
            <w:shd w:val="clear" w:color="auto" w:fill="FFFFFF"/>
            <w:vAlign w:val="center"/>
          </w:tcPr>
          <w:p w14:paraId="7A45C3D1">
            <w:pPr>
              <w:spacing w:line="240" w:lineRule="auto"/>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ascii="Times New Roman" w:hAnsi="Times New Roman" w:eastAsia="宋体" w:cs="Times New Roman"/>
                <w:b/>
                <w:bCs/>
                <w:color w:val="000000"/>
                <w:sz w:val="20"/>
                <w:szCs w:val="20"/>
                <w:highlight w:val="none"/>
                <w:lang w:val="en-US" w:eastAsia="zh-CN"/>
              </w:rPr>
              <w:t xml:space="preserve">Annual hospital admission </w:t>
            </w:r>
            <w:r>
              <w:rPr>
                <w:rFonts w:hint="eastAsia" w:ascii="Times New Roman" w:hAnsi="Times New Roman" w:eastAsia="宋体" w:cs="Times New Roman"/>
                <w:b/>
                <w:bCs/>
                <w:color w:val="000000"/>
                <w:sz w:val="20"/>
                <w:szCs w:val="20"/>
                <w:highlight w:val="none"/>
                <w:lang w:val="en-US" w:eastAsia="zh-CN"/>
              </w:rPr>
              <w:t>(</w:t>
            </w:r>
            <w:r>
              <w:rPr>
                <w:rFonts w:ascii="Times New Roman" w:hAnsi="Times New Roman" w:eastAsia="宋体" w:cs="Times New Roman"/>
                <w:b/>
                <w:bCs/>
                <w:color w:val="000000"/>
                <w:sz w:val="20"/>
                <w:szCs w:val="20"/>
                <w:highlight w:val="none"/>
                <w:lang w:val="en-US" w:eastAsia="zh-CN"/>
              </w:rPr>
              <w:t>OR</w:t>
            </w:r>
            <w:r>
              <w:rPr>
                <w:rFonts w:hint="eastAsia" w:ascii="Times New Roman" w:hAnsi="Times New Roman" w:eastAsia="宋体" w:cs="Times New Roman"/>
                <w:b/>
                <w:bCs/>
                <w:color w:val="000000"/>
                <w:sz w:val="20"/>
                <w:szCs w:val="20"/>
                <w:highlight w:val="none"/>
                <w:lang w:val="en-US" w:eastAsia="zh-CN"/>
              </w:rPr>
              <w:t>)</w:t>
            </w:r>
          </w:p>
        </w:tc>
        <w:tc>
          <w:tcPr>
            <w:tcW w:w="1670" w:type="dxa"/>
            <w:tcBorders>
              <w:top w:val="single" w:color="000000" w:sz="12" w:space="0"/>
              <w:left w:val="nil"/>
              <w:bottom w:val="single" w:color="000000" w:sz="4" w:space="0"/>
              <w:right w:val="nil"/>
              <w:tl2br w:val="nil"/>
              <w:tr2bl w:val="nil"/>
            </w:tcBorders>
            <w:shd w:val="clear" w:color="auto" w:fill="FFFFFF"/>
            <w:vAlign w:val="center"/>
          </w:tcPr>
          <w:p w14:paraId="77D57894">
            <w:pPr>
              <w:spacing w:line="240" w:lineRule="auto"/>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ascii="Times New Roman" w:hAnsi="Times New Roman" w:eastAsia="宋体" w:cs="Times New Roman"/>
                <w:b/>
                <w:bCs/>
                <w:color w:val="000000"/>
                <w:sz w:val="20"/>
                <w:szCs w:val="20"/>
                <w:highlight w:val="none"/>
                <w:lang w:val="en-US" w:eastAsia="zh-CN"/>
              </w:rPr>
              <w:t xml:space="preserve">Log monthly outpatient expenditure </w:t>
            </w:r>
            <w:r>
              <w:rPr>
                <w:rFonts w:hint="eastAsia" w:ascii="Times New Roman" w:hAnsi="Times New Roman" w:eastAsia="宋体" w:cs="Times New Roman"/>
                <w:b/>
                <w:bCs/>
                <w:color w:val="000000"/>
                <w:sz w:val="20"/>
                <w:szCs w:val="20"/>
                <w:highlight w:val="none"/>
                <w:lang w:val="en-US" w:eastAsia="zh-CN"/>
              </w:rPr>
              <w:t>(</w:t>
            </w:r>
            <w:r>
              <w:rPr>
                <w:rFonts w:ascii="Times New Roman" w:hAnsi="Times New Roman" w:eastAsia="宋体" w:cs="Times New Roman"/>
                <w:b/>
                <w:bCs/>
                <w:color w:val="000000"/>
                <w:sz w:val="20"/>
                <w:szCs w:val="20"/>
                <w:highlight w:val="none"/>
                <w:lang w:val="en-US" w:eastAsia="zh-CN"/>
              </w:rPr>
              <w:t>β</w:t>
            </w:r>
            <w:r>
              <w:rPr>
                <w:rFonts w:hint="eastAsia" w:ascii="Times New Roman" w:hAnsi="Times New Roman" w:eastAsia="宋体" w:cs="Times New Roman"/>
                <w:b/>
                <w:bCs/>
                <w:color w:val="000000"/>
                <w:sz w:val="20"/>
                <w:szCs w:val="20"/>
                <w:highlight w:val="none"/>
                <w:lang w:val="en-US" w:eastAsia="zh-CN"/>
              </w:rPr>
              <w:t>)</w:t>
            </w:r>
          </w:p>
        </w:tc>
        <w:tc>
          <w:tcPr>
            <w:tcW w:w="1670" w:type="dxa"/>
            <w:tcBorders>
              <w:top w:val="single" w:color="000000" w:sz="12" w:space="0"/>
              <w:left w:val="nil"/>
              <w:bottom w:val="single" w:color="000000" w:sz="4" w:space="0"/>
              <w:right w:val="nil"/>
              <w:tl2br w:val="nil"/>
              <w:tr2bl w:val="nil"/>
            </w:tcBorders>
            <w:shd w:val="clear" w:color="auto" w:fill="FFFFFF"/>
            <w:vAlign w:val="center"/>
          </w:tcPr>
          <w:p w14:paraId="4F4F5CC2">
            <w:pPr>
              <w:spacing w:line="240" w:lineRule="auto"/>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ascii="Times New Roman" w:hAnsi="Times New Roman" w:eastAsia="宋体" w:cs="Times New Roman"/>
                <w:b/>
                <w:bCs/>
                <w:color w:val="000000"/>
                <w:sz w:val="20"/>
                <w:szCs w:val="20"/>
                <w:highlight w:val="none"/>
                <w:lang w:val="en-US" w:eastAsia="zh-CN"/>
              </w:rPr>
              <w:t xml:space="preserve">Log annual inpatient expenditure </w:t>
            </w:r>
            <w:r>
              <w:rPr>
                <w:rFonts w:hint="eastAsia" w:ascii="Times New Roman" w:hAnsi="Times New Roman" w:eastAsia="宋体" w:cs="Times New Roman"/>
                <w:b/>
                <w:bCs/>
                <w:color w:val="000000"/>
                <w:sz w:val="20"/>
                <w:szCs w:val="20"/>
                <w:highlight w:val="none"/>
                <w:lang w:val="en-US" w:eastAsia="zh-CN"/>
              </w:rPr>
              <w:t>(</w:t>
            </w:r>
            <w:r>
              <w:rPr>
                <w:rFonts w:ascii="Times New Roman" w:hAnsi="Times New Roman" w:eastAsia="宋体" w:cs="Times New Roman"/>
                <w:b/>
                <w:bCs/>
                <w:color w:val="000000"/>
                <w:sz w:val="20"/>
                <w:szCs w:val="20"/>
                <w:highlight w:val="none"/>
                <w:lang w:val="en-US" w:eastAsia="zh-CN"/>
              </w:rPr>
              <w:t>β</w:t>
            </w:r>
            <w:r>
              <w:rPr>
                <w:rFonts w:hint="eastAsia" w:ascii="Times New Roman" w:hAnsi="Times New Roman" w:eastAsia="宋体" w:cs="Times New Roman"/>
                <w:b/>
                <w:bCs/>
                <w:color w:val="000000"/>
                <w:sz w:val="20"/>
                <w:szCs w:val="20"/>
                <w:highlight w:val="none"/>
                <w:lang w:val="en-US" w:eastAsia="zh-CN"/>
              </w:rPr>
              <w:t>)</w:t>
            </w:r>
          </w:p>
        </w:tc>
        <w:tc>
          <w:tcPr>
            <w:tcW w:w="1672" w:type="dxa"/>
            <w:tcBorders>
              <w:top w:val="single" w:color="000000" w:sz="12" w:space="0"/>
              <w:left w:val="nil"/>
              <w:bottom w:val="single" w:color="000000" w:sz="4" w:space="0"/>
              <w:right w:val="nil"/>
              <w:tl2br w:val="nil"/>
              <w:tr2bl w:val="nil"/>
            </w:tcBorders>
            <w:shd w:val="clear" w:color="auto" w:fill="FFFFFF"/>
            <w:vAlign w:val="center"/>
          </w:tcPr>
          <w:p w14:paraId="739405FD">
            <w:pPr>
              <w:spacing w:line="240" w:lineRule="auto"/>
              <w:jc w:val="center"/>
              <w:rPr>
                <w:rFonts w:hint="default" w:ascii="Times New Roman" w:hAnsi="Times New Roman" w:eastAsia="宋体" w:cs="Times New Roman"/>
                <w:b/>
                <w:bCs w:val="0"/>
                <w:color w:val="000000"/>
                <w:sz w:val="20"/>
                <w:szCs w:val="20"/>
                <w:highlight w:val="none"/>
                <w:shd w:val="clear" w:color="auto" w:fill="auto"/>
                <w:vertAlign w:val="baseline"/>
                <w:lang w:val="en-US" w:eastAsia="zh-CN"/>
              </w:rPr>
            </w:pPr>
            <w:r>
              <w:rPr>
                <w:rFonts w:ascii="Times New Roman" w:hAnsi="Times New Roman" w:eastAsia="宋体" w:cs="Times New Roman"/>
                <w:b/>
                <w:bCs/>
                <w:color w:val="000000"/>
                <w:sz w:val="20"/>
                <w:szCs w:val="20"/>
                <w:highlight w:val="none"/>
                <w:lang w:val="en-US" w:eastAsia="zh-CN"/>
              </w:rPr>
              <w:t xml:space="preserve">Log total annual medical expenditure </w:t>
            </w:r>
            <w:r>
              <w:rPr>
                <w:rFonts w:hint="eastAsia" w:ascii="Times New Roman" w:hAnsi="Times New Roman" w:eastAsia="宋体" w:cs="Times New Roman"/>
                <w:b/>
                <w:bCs/>
                <w:color w:val="000000"/>
                <w:sz w:val="20"/>
                <w:szCs w:val="20"/>
                <w:highlight w:val="none"/>
                <w:lang w:val="en-US" w:eastAsia="zh-CN"/>
              </w:rPr>
              <w:t>(</w:t>
            </w:r>
            <w:r>
              <w:rPr>
                <w:rFonts w:ascii="Times New Roman" w:hAnsi="Times New Roman" w:eastAsia="宋体" w:cs="Times New Roman"/>
                <w:b/>
                <w:bCs/>
                <w:color w:val="000000"/>
                <w:sz w:val="20"/>
                <w:szCs w:val="20"/>
                <w:highlight w:val="none"/>
                <w:lang w:val="en-US" w:eastAsia="zh-CN"/>
              </w:rPr>
              <w:t>β</w:t>
            </w:r>
            <w:r>
              <w:rPr>
                <w:rFonts w:hint="eastAsia" w:ascii="Times New Roman" w:hAnsi="Times New Roman" w:eastAsia="宋体" w:cs="Times New Roman"/>
                <w:b/>
                <w:bCs/>
                <w:color w:val="000000"/>
                <w:sz w:val="20"/>
                <w:szCs w:val="20"/>
                <w:highlight w:val="none"/>
                <w:lang w:val="en-US" w:eastAsia="zh-CN"/>
              </w:rPr>
              <w:t>)</w:t>
            </w:r>
          </w:p>
        </w:tc>
      </w:tr>
      <w:tr w14:paraId="43EFD56A">
        <w:tblPrEx>
          <w:tblCellMar>
            <w:top w:w="0" w:type="dxa"/>
            <w:left w:w="108" w:type="dxa"/>
            <w:bottom w:w="0" w:type="dxa"/>
            <w:right w:w="108" w:type="dxa"/>
          </w:tblCellMar>
        </w:tblPrEx>
        <w:trPr>
          <w:trHeight w:val="360" w:hRule="exact"/>
          <w:jc w:val="center"/>
        </w:trPr>
        <w:tc>
          <w:tcPr>
            <w:tcW w:w="3333" w:type="dxa"/>
            <w:tcBorders>
              <w:top w:val="single" w:color="000000" w:sz="4" w:space="0"/>
              <w:left w:val="nil"/>
              <w:bottom w:val="nil"/>
              <w:right w:val="nil"/>
              <w:tl2br w:val="nil"/>
              <w:tr2bl w:val="nil"/>
            </w:tcBorders>
            <w:shd w:val="clear" w:color="auto" w:fill="FFFFFF"/>
            <w:vAlign w:val="center"/>
          </w:tcPr>
          <w:p w14:paraId="1DE98C11">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Free health check-up</w:t>
            </w:r>
          </w:p>
        </w:tc>
        <w:tc>
          <w:tcPr>
            <w:tcW w:w="1670" w:type="dxa"/>
            <w:tcBorders>
              <w:top w:val="single" w:color="000000" w:sz="4" w:space="0"/>
              <w:left w:val="nil"/>
              <w:bottom w:val="nil"/>
              <w:right w:val="nil"/>
              <w:tl2br w:val="nil"/>
              <w:tr2bl w:val="nil"/>
            </w:tcBorders>
            <w:shd w:val="clear" w:color="auto" w:fill="FFFFFF"/>
            <w:vAlign w:val="center"/>
          </w:tcPr>
          <w:p w14:paraId="5FEA864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1.02 (0.19)</w:t>
            </w:r>
          </w:p>
        </w:tc>
        <w:tc>
          <w:tcPr>
            <w:tcW w:w="1670" w:type="dxa"/>
            <w:tcBorders>
              <w:top w:val="single" w:color="000000" w:sz="4" w:space="0"/>
              <w:left w:val="nil"/>
              <w:bottom w:val="nil"/>
              <w:right w:val="nil"/>
              <w:tl2br w:val="nil"/>
              <w:tr2bl w:val="nil"/>
            </w:tcBorders>
            <w:shd w:val="clear" w:color="auto" w:fill="FFFFFF"/>
            <w:vAlign w:val="center"/>
          </w:tcPr>
          <w:p w14:paraId="4D5982E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0.97 (0.20)</w:t>
            </w:r>
          </w:p>
        </w:tc>
        <w:tc>
          <w:tcPr>
            <w:tcW w:w="1670" w:type="dxa"/>
            <w:tcBorders>
              <w:top w:val="single" w:color="000000" w:sz="4" w:space="0"/>
              <w:left w:val="nil"/>
              <w:bottom w:val="nil"/>
              <w:right w:val="nil"/>
              <w:tl2br w:val="nil"/>
              <w:tr2bl w:val="nil"/>
            </w:tcBorders>
            <w:shd w:val="clear" w:color="auto" w:fill="FFFFFF"/>
            <w:vAlign w:val="center"/>
          </w:tcPr>
          <w:p w14:paraId="16F6CEA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0.01 (0.12)</w:t>
            </w:r>
          </w:p>
        </w:tc>
        <w:tc>
          <w:tcPr>
            <w:tcW w:w="1670" w:type="dxa"/>
            <w:tcBorders>
              <w:top w:val="single" w:color="000000" w:sz="4" w:space="0"/>
              <w:left w:val="nil"/>
              <w:bottom w:val="nil"/>
              <w:right w:val="nil"/>
              <w:tl2br w:val="nil"/>
              <w:tr2bl w:val="nil"/>
            </w:tcBorders>
            <w:shd w:val="clear" w:color="auto" w:fill="FFFFFF"/>
            <w:vAlign w:val="center"/>
          </w:tcPr>
          <w:p w14:paraId="70FEB7E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-0.02 (0.17)</w:t>
            </w:r>
          </w:p>
        </w:tc>
        <w:tc>
          <w:tcPr>
            <w:tcW w:w="1672" w:type="dxa"/>
            <w:tcBorders>
              <w:top w:val="single" w:color="000000" w:sz="4" w:space="0"/>
              <w:left w:val="nil"/>
              <w:bottom w:val="nil"/>
              <w:right w:val="nil"/>
              <w:tl2br w:val="nil"/>
              <w:tr2bl w:val="nil"/>
            </w:tcBorders>
            <w:shd w:val="clear" w:color="auto" w:fill="FFFFFF"/>
            <w:vAlign w:val="center"/>
          </w:tcPr>
          <w:p w14:paraId="790250A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0.00 (0.20)</w:t>
            </w:r>
          </w:p>
        </w:tc>
      </w:tr>
      <w:tr w14:paraId="6D138069">
        <w:tblPrEx>
          <w:tblCellMar>
            <w:top w:w="0" w:type="dxa"/>
            <w:left w:w="108" w:type="dxa"/>
            <w:bottom w:w="0" w:type="dxa"/>
            <w:right w:w="108" w:type="dxa"/>
          </w:tblCellMar>
        </w:tblPrEx>
        <w:trPr>
          <w:trHeight w:val="363" w:hRule="exact"/>
          <w:jc w:val="center"/>
        </w:trPr>
        <w:tc>
          <w:tcPr>
            <w:tcW w:w="3333" w:type="dxa"/>
            <w:tcBorders>
              <w:top w:val="nil"/>
              <w:left w:val="nil"/>
              <w:bottom w:val="nil"/>
              <w:right w:val="nil"/>
              <w:tl2br w:val="nil"/>
              <w:tr2bl w:val="nil"/>
            </w:tcBorders>
            <w:shd w:val="clear" w:color="auto" w:fill="FFFFFF"/>
            <w:vAlign w:val="center"/>
          </w:tcPr>
          <w:p w14:paraId="1A314F4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Self-paid health check-up</w:t>
            </w:r>
          </w:p>
        </w:tc>
        <w:tc>
          <w:tcPr>
            <w:tcW w:w="1670" w:type="dxa"/>
            <w:tcBorders>
              <w:top w:val="nil"/>
              <w:left w:val="nil"/>
              <w:bottom w:val="nil"/>
              <w:right w:val="nil"/>
              <w:tl2br w:val="nil"/>
              <w:tr2bl w:val="nil"/>
            </w:tcBorders>
            <w:shd w:val="clear" w:color="auto" w:fill="FFFFFF"/>
            <w:vAlign w:val="center"/>
          </w:tcPr>
          <w:p w14:paraId="116686C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1.25 (0.23)</w:t>
            </w:r>
          </w:p>
        </w:tc>
        <w:tc>
          <w:tcPr>
            <w:tcW w:w="1670" w:type="dxa"/>
            <w:tcBorders>
              <w:top w:val="nil"/>
              <w:left w:val="nil"/>
              <w:bottom w:val="nil"/>
              <w:right w:val="nil"/>
              <w:tl2br w:val="nil"/>
              <w:tr2bl w:val="nil"/>
            </w:tcBorders>
            <w:shd w:val="clear" w:color="auto" w:fill="FFFFFF"/>
            <w:vAlign w:val="center"/>
          </w:tcPr>
          <w:p w14:paraId="7D63BF8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2.08*** (0.47)</w:t>
            </w:r>
          </w:p>
        </w:tc>
        <w:tc>
          <w:tcPr>
            <w:tcW w:w="1670" w:type="dxa"/>
            <w:tcBorders>
              <w:top w:val="nil"/>
              <w:left w:val="nil"/>
              <w:bottom w:val="nil"/>
              <w:right w:val="nil"/>
              <w:tl2br w:val="nil"/>
              <w:tr2bl w:val="nil"/>
            </w:tcBorders>
            <w:shd w:val="clear" w:color="auto" w:fill="FFFFFF"/>
            <w:vAlign w:val="center"/>
          </w:tcPr>
          <w:p w14:paraId="2E957AF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0.32** (0.14)</w:t>
            </w:r>
          </w:p>
        </w:tc>
        <w:tc>
          <w:tcPr>
            <w:tcW w:w="1670" w:type="dxa"/>
            <w:tcBorders>
              <w:top w:val="nil"/>
              <w:left w:val="nil"/>
              <w:bottom w:val="nil"/>
              <w:right w:val="nil"/>
              <w:tl2br w:val="nil"/>
              <w:tr2bl w:val="nil"/>
            </w:tcBorders>
            <w:shd w:val="clear" w:color="auto" w:fill="FFFFFF"/>
            <w:vAlign w:val="center"/>
          </w:tcPr>
          <w:p w14:paraId="46FC67C7">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0.53*** (0.19)</w:t>
            </w:r>
          </w:p>
        </w:tc>
        <w:tc>
          <w:tcPr>
            <w:tcW w:w="1672" w:type="dxa"/>
            <w:tcBorders>
              <w:top w:val="nil"/>
              <w:left w:val="nil"/>
              <w:bottom w:val="nil"/>
              <w:right w:val="nil"/>
              <w:tl2br w:val="nil"/>
              <w:tr2bl w:val="nil"/>
            </w:tcBorders>
            <w:shd w:val="clear" w:color="auto" w:fill="FFFFFF"/>
            <w:vAlign w:val="center"/>
          </w:tcPr>
          <w:p w14:paraId="3DD7ADF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0.68*** (0.21)</w:t>
            </w:r>
          </w:p>
        </w:tc>
      </w:tr>
      <w:tr w14:paraId="4C5FD6FB">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3801F5A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Lagged dependent variable</w:t>
            </w:r>
          </w:p>
        </w:tc>
        <w:tc>
          <w:tcPr>
            <w:tcW w:w="1670" w:type="dxa"/>
            <w:tcBorders>
              <w:top w:val="nil"/>
              <w:left w:val="nil"/>
              <w:bottom w:val="nil"/>
              <w:right w:val="nil"/>
              <w:tl2br w:val="nil"/>
              <w:tr2bl w:val="nil"/>
            </w:tcBorders>
            <w:shd w:val="clear" w:color="auto" w:fill="FFFFFF"/>
            <w:vAlign w:val="center"/>
          </w:tcPr>
          <w:p w14:paraId="3CE9696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0.10*** (0.02)</w:t>
            </w:r>
          </w:p>
        </w:tc>
        <w:tc>
          <w:tcPr>
            <w:tcW w:w="1670" w:type="dxa"/>
            <w:tcBorders>
              <w:top w:val="nil"/>
              <w:left w:val="nil"/>
              <w:bottom w:val="nil"/>
              <w:right w:val="nil"/>
              <w:tl2br w:val="nil"/>
              <w:tr2bl w:val="nil"/>
            </w:tcBorders>
            <w:shd w:val="clear" w:color="auto" w:fill="FFFFFF"/>
            <w:vAlign w:val="center"/>
          </w:tcPr>
          <w:p w14:paraId="117D3C81">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0.07*** (0.02)</w:t>
            </w:r>
          </w:p>
        </w:tc>
        <w:tc>
          <w:tcPr>
            <w:tcW w:w="1670" w:type="dxa"/>
            <w:tcBorders>
              <w:top w:val="nil"/>
              <w:left w:val="nil"/>
              <w:bottom w:val="nil"/>
              <w:right w:val="nil"/>
              <w:tl2br w:val="nil"/>
              <w:tr2bl w:val="nil"/>
            </w:tcBorders>
            <w:shd w:val="clear" w:color="auto" w:fill="FFFFFF"/>
            <w:vAlign w:val="center"/>
          </w:tcPr>
          <w:p w14:paraId="3EAEE50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-0.41*** (0.02)</w:t>
            </w:r>
          </w:p>
        </w:tc>
        <w:tc>
          <w:tcPr>
            <w:tcW w:w="1670" w:type="dxa"/>
            <w:tcBorders>
              <w:top w:val="nil"/>
              <w:left w:val="nil"/>
              <w:bottom w:val="nil"/>
              <w:right w:val="nil"/>
              <w:tl2br w:val="nil"/>
              <w:tr2bl w:val="nil"/>
            </w:tcBorders>
            <w:shd w:val="clear" w:color="auto" w:fill="FFFFFF"/>
            <w:vAlign w:val="center"/>
          </w:tcPr>
          <w:p w14:paraId="211C0B8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-0.41*** (0.03)</w:t>
            </w:r>
          </w:p>
        </w:tc>
        <w:tc>
          <w:tcPr>
            <w:tcW w:w="1672" w:type="dxa"/>
            <w:tcBorders>
              <w:top w:val="nil"/>
              <w:left w:val="nil"/>
              <w:bottom w:val="nil"/>
              <w:right w:val="nil"/>
              <w:tl2br w:val="nil"/>
              <w:tr2bl w:val="nil"/>
            </w:tcBorders>
            <w:shd w:val="clear" w:color="auto" w:fill="FFFFFF"/>
            <w:vAlign w:val="center"/>
          </w:tcPr>
          <w:p w14:paraId="52A92A7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-0.39*** (0.02)</w:t>
            </w:r>
          </w:p>
        </w:tc>
      </w:tr>
      <w:tr w14:paraId="03FC9A93">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1C23877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Age: 71–75 years vs 65–70 years</w:t>
            </w:r>
          </w:p>
        </w:tc>
        <w:tc>
          <w:tcPr>
            <w:tcW w:w="1670" w:type="dxa"/>
            <w:tcBorders>
              <w:top w:val="nil"/>
              <w:left w:val="nil"/>
              <w:bottom w:val="nil"/>
              <w:right w:val="nil"/>
              <w:tl2br w:val="nil"/>
              <w:tr2bl w:val="nil"/>
            </w:tcBorders>
            <w:shd w:val="clear" w:color="auto" w:fill="FFFFFF"/>
            <w:vAlign w:val="center"/>
          </w:tcPr>
          <w:p w14:paraId="30C4298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0.84 (0.20)</w:t>
            </w:r>
          </w:p>
        </w:tc>
        <w:tc>
          <w:tcPr>
            <w:tcW w:w="1670" w:type="dxa"/>
            <w:tcBorders>
              <w:top w:val="nil"/>
              <w:left w:val="nil"/>
              <w:bottom w:val="nil"/>
              <w:right w:val="nil"/>
              <w:tl2br w:val="nil"/>
              <w:tr2bl w:val="nil"/>
            </w:tcBorders>
            <w:shd w:val="clear" w:color="auto" w:fill="FFFFFF"/>
            <w:vAlign w:val="center"/>
          </w:tcPr>
          <w:p w14:paraId="060F9BB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0.81 (0.20)</w:t>
            </w:r>
          </w:p>
        </w:tc>
        <w:tc>
          <w:tcPr>
            <w:tcW w:w="1670" w:type="dxa"/>
            <w:tcBorders>
              <w:top w:val="nil"/>
              <w:left w:val="nil"/>
              <w:bottom w:val="nil"/>
              <w:right w:val="nil"/>
              <w:tl2br w:val="nil"/>
              <w:tr2bl w:val="nil"/>
            </w:tcBorders>
            <w:shd w:val="clear" w:color="auto" w:fill="FFFFFF"/>
            <w:vAlign w:val="center"/>
          </w:tcPr>
          <w:p w14:paraId="349CC43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0.02 (0.14)</w:t>
            </w:r>
          </w:p>
        </w:tc>
        <w:tc>
          <w:tcPr>
            <w:tcW w:w="1670" w:type="dxa"/>
            <w:tcBorders>
              <w:top w:val="nil"/>
              <w:left w:val="nil"/>
              <w:bottom w:val="nil"/>
              <w:right w:val="nil"/>
              <w:tl2br w:val="nil"/>
              <w:tr2bl w:val="nil"/>
            </w:tcBorders>
            <w:shd w:val="clear" w:color="auto" w:fill="FFFFFF"/>
            <w:vAlign w:val="center"/>
          </w:tcPr>
          <w:p w14:paraId="453167F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-0.20 (0.20)</w:t>
            </w:r>
          </w:p>
        </w:tc>
        <w:tc>
          <w:tcPr>
            <w:tcW w:w="1672" w:type="dxa"/>
            <w:tcBorders>
              <w:top w:val="nil"/>
              <w:left w:val="nil"/>
              <w:bottom w:val="nil"/>
              <w:right w:val="nil"/>
              <w:tl2br w:val="nil"/>
              <w:tr2bl w:val="nil"/>
            </w:tcBorders>
            <w:shd w:val="clear" w:color="auto" w:fill="FFFFFF"/>
            <w:vAlign w:val="center"/>
          </w:tcPr>
          <w:p w14:paraId="2BE8479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-0.22 (0.23)</w:t>
            </w:r>
          </w:p>
        </w:tc>
      </w:tr>
      <w:tr w14:paraId="3816960C">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2B2DF82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Age: ≥76 years vs 65–70 years</w:t>
            </w:r>
          </w:p>
        </w:tc>
        <w:tc>
          <w:tcPr>
            <w:tcW w:w="1670" w:type="dxa"/>
            <w:tcBorders>
              <w:top w:val="nil"/>
              <w:left w:val="nil"/>
              <w:bottom w:val="nil"/>
              <w:right w:val="nil"/>
              <w:tl2br w:val="nil"/>
              <w:tr2bl w:val="nil"/>
            </w:tcBorders>
            <w:shd w:val="clear" w:color="auto" w:fill="FFFFFF"/>
            <w:vAlign w:val="center"/>
          </w:tcPr>
          <w:p w14:paraId="1724BDA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0.67 (0.27)</w:t>
            </w:r>
          </w:p>
        </w:tc>
        <w:tc>
          <w:tcPr>
            <w:tcW w:w="1670" w:type="dxa"/>
            <w:tcBorders>
              <w:top w:val="nil"/>
              <w:left w:val="nil"/>
              <w:bottom w:val="nil"/>
              <w:right w:val="nil"/>
              <w:tl2br w:val="nil"/>
              <w:tr2bl w:val="nil"/>
            </w:tcBorders>
            <w:shd w:val="clear" w:color="auto" w:fill="FFFFFF"/>
            <w:vAlign w:val="center"/>
          </w:tcPr>
          <w:p w14:paraId="57035A3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0.90 (0.42)</w:t>
            </w:r>
          </w:p>
        </w:tc>
        <w:tc>
          <w:tcPr>
            <w:tcW w:w="1670" w:type="dxa"/>
            <w:tcBorders>
              <w:top w:val="nil"/>
              <w:left w:val="nil"/>
              <w:bottom w:val="nil"/>
              <w:right w:val="nil"/>
              <w:tl2br w:val="nil"/>
              <w:tr2bl w:val="nil"/>
            </w:tcBorders>
            <w:shd w:val="clear" w:color="auto" w:fill="FFFFFF"/>
            <w:vAlign w:val="center"/>
          </w:tcPr>
          <w:p w14:paraId="03F1581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0.13 (0.26)</w:t>
            </w:r>
          </w:p>
        </w:tc>
        <w:tc>
          <w:tcPr>
            <w:tcW w:w="1670" w:type="dxa"/>
            <w:tcBorders>
              <w:top w:val="nil"/>
              <w:left w:val="nil"/>
              <w:bottom w:val="nil"/>
              <w:right w:val="nil"/>
              <w:tl2br w:val="nil"/>
              <w:tr2bl w:val="nil"/>
            </w:tcBorders>
            <w:shd w:val="clear" w:color="auto" w:fill="FFFFFF"/>
            <w:vAlign w:val="center"/>
          </w:tcPr>
          <w:p w14:paraId="4B99240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-0.27 (0.36)</w:t>
            </w:r>
          </w:p>
        </w:tc>
        <w:tc>
          <w:tcPr>
            <w:tcW w:w="1672" w:type="dxa"/>
            <w:tcBorders>
              <w:top w:val="nil"/>
              <w:left w:val="nil"/>
              <w:bottom w:val="nil"/>
              <w:right w:val="nil"/>
              <w:tl2br w:val="nil"/>
              <w:tr2bl w:val="nil"/>
            </w:tcBorders>
            <w:shd w:val="clear" w:color="auto" w:fill="FFFFFF"/>
            <w:vAlign w:val="center"/>
          </w:tcPr>
          <w:p w14:paraId="468A4D1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-0.20 (0.43)</w:t>
            </w:r>
          </w:p>
        </w:tc>
      </w:tr>
      <w:tr w14:paraId="40B43269">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43BAF05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Marital status: others vs married</w:t>
            </w:r>
          </w:p>
        </w:tc>
        <w:tc>
          <w:tcPr>
            <w:tcW w:w="1670" w:type="dxa"/>
            <w:tcBorders>
              <w:top w:val="nil"/>
              <w:left w:val="nil"/>
              <w:bottom w:val="nil"/>
              <w:right w:val="nil"/>
              <w:tl2br w:val="nil"/>
              <w:tr2bl w:val="nil"/>
            </w:tcBorders>
            <w:shd w:val="clear" w:color="auto" w:fill="FFFFFF"/>
            <w:vAlign w:val="center"/>
          </w:tcPr>
          <w:p w14:paraId="0FCB2EF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1.70 (0.79)</w:t>
            </w:r>
          </w:p>
        </w:tc>
        <w:tc>
          <w:tcPr>
            <w:tcW w:w="1670" w:type="dxa"/>
            <w:tcBorders>
              <w:top w:val="nil"/>
              <w:left w:val="nil"/>
              <w:bottom w:val="nil"/>
              <w:right w:val="nil"/>
              <w:tl2br w:val="nil"/>
              <w:tr2bl w:val="nil"/>
            </w:tcBorders>
            <w:shd w:val="clear" w:color="auto" w:fill="FFFFFF"/>
            <w:vAlign w:val="center"/>
          </w:tcPr>
          <w:p w14:paraId="4F48D06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2.00 (1.06)</w:t>
            </w:r>
          </w:p>
        </w:tc>
        <w:tc>
          <w:tcPr>
            <w:tcW w:w="1670" w:type="dxa"/>
            <w:tcBorders>
              <w:top w:val="nil"/>
              <w:left w:val="nil"/>
              <w:bottom w:val="nil"/>
              <w:right w:val="nil"/>
              <w:tl2br w:val="nil"/>
              <w:tr2bl w:val="nil"/>
            </w:tcBorders>
            <w:shd w:val="clear" w:color="auto" w:fill="FFFFFF"/>
            <w:vAlign w:val="center"/>
          </w:tcPr>
          <w:p w14:paraId="3765563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0.04 (0.28)</w:t>
            </w:r>
          </w:p>
        </w:tc>
        <w:tc>
          <w:tcPr>
            <w:tcW w:w="1670" w:type="dxa"/>
            <w:tcBorders>
              <w:top w:val="nil"/>
              <w:left w:val="nil"/>
              <w:bottom w:val="nil"/>
              <w:right w:val="nil"/>
              <w:tl2br w:val="nil"/>
              <w:tr2bl w:val="nil"/>
            </w:tcBorders>
            <w:shd w:val="clear" w:color="auto" w:fill="FFFFFF"/>
            <w:vAlign w:val="center"/>
          </w:tcPr>
          <w:p w14:paraId="66C5B45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0.40 (0.40)</w:t>
            </w:r>
          </w:p>
        </w:tc>
        <w:tc>
          <w:tcPr>
            <w:tcW w:w="1672" w:type="dxa"/>
            <w:tcBorders>
              <w:top w:val="nil"/>
              <w:left w:val="nil"/>
              <w:bottom w:val="nil"/>
              <w:right w:val="nil"/>
              <w:tl2br w:val="nil"/>
              <w:tr2bl w:val="nil"/>
            </w:tcBorders>
            <w:shd w:val="clear" w:color="auto" w:fill="FFFFFF"/>
            <w:vAlign w:val="center"/>
          </w:tcPr>
          <w:p w14:paraId="78D3E277">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0.46 (0.46)</w:t>
            </w:r>
          </w:p>
        </w:tc>
      </w:tr>
      <w:tr w14:paraId="3A1B6EA0">
        <w:tblPrEx>
          <w:tblCellMar>
            <w:top w:w="0" w:type="dxa"/>
            <w:left w:w="108" w:type="dxa"/>
            <w:bottom w:w="0" w:type="dxa"/>
            <w:right w:w="108" w:type="dxa"/>
          </w:tblCellMar>
        </w:tblPrEx>
        <w:trPr>
          <w:trHeight w:val="363" w:hRule="exact"/>
          <w:jc w:val="center"/>
        </w:trPr>
        <w:tc>
          <w:tcPr>
            <w:tcW w:w="3333" w:type="dxa"/>
            <w:tcBorders>
              <w:top w:val="nil"/>
              <w:left w:val="nil"/>
              <w:bottom w:val="nil"/>
              <w:right w:val="nil"/>
              <w:tl2br w:val="nil"/>
              <w:tr2bl w:val="nil"/>
            </w:tcBorders>
            <w:shd w:val="clear" w:color="auto" w:fill="FFFFFF"/>
            <w:vAlign w:val="center"/>
          </w:tcPr>
          <w:p w14:paraId="7477743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Health insurance coverage: yes vs no</w:t>
            </w:r>
          </w:p>
        </w:tc>
        <w:tc>
          <w:tcPr>
            <w:tcW w:w="1670" w:type="dxa"/>
            <w:tcBorders>
              <w:top w:val="nil"/>
              <w:left w:val="nil"/>
              <w:bottom w:val="nil"/>
              <w:right w:val="nil"/>
              <w:tl2br w:val="nil"/>
              <w:tr2bl w:val="nil"/>
            </w:tcBorders>
            <w:shd w:val="clear" w:color="auto" w:fill="FFFFFF"/>
            <w:vAlign w:val="center"/>
          </w:tcPr>
          <w:p w14:paraId="68DBB1E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1.00 (0.28)</w:t>
            </w:r>
          </w:p>
        </w:tc>
        <w:tc>
          <w:tcPr>
            <w:tcW w:w="1670" w:type="dxa"/>
            <w:tcBorders>
              <w:top w:val="nil"/>
              <w:left w:val="nil"/>
              <w:bottom w:val="nil"/>
              <w:right w:val="nil"/>
              <w:tl2br w:val="nil"/>
              <w:tr2bl w:val="nil"/>
            </w:tcBorders>
            <w:shd w:val="clear" w:color="auto" w:fill="FFFFFF"/>
            <w:vAlign w:val="center"/>
          </w:tcPr>
          <w:p w14:paraId="1FA7DD1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2.43** (0.87)</w:t>
            </w:r>
          </w:p>
        </w:tc>
        <w:tc>
          <w:tcPr>
            <w:tcW w:w="1670" w:type="dxa"/>
            <w:tcBorders>
              <w:top w:val="nil"/>
              <w:left w:val="nil"/>
              <w:bottom w:val="nil"/>
              <w:right w:val="nil"/>
              <w:tl2br w:val="nil"/>
              <w:tr2bl w:val="nil"/>
            </w:tcBorders>
            <w:shd w:val="clear" w:color="auto" w:fill="FFFFFF"/>
            <w:vAlign w:val="center"/>
          </w:tcPr>
          <w:p w14:paraId="7AFDAFD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-0.16 (0.20)</w:t>
            </w:r>
          </w:p>
        </w:tc>
        <w:tc>
          <w:tcPr>
            <w:tcW w:w="1670" w:type="dxa"/>
            <w:tcBorders>
              <w:top w:val="nil"/>
              <w:left w:val="nil"/>
              <w:bottom w:val="nil"/>
              <w:right w:val="nil"/>
              <w:tl2br w:val="nil"/>
              <w:tr2bl w:val="nil"/>
            </w:tcBorders>
            <w:shd w:val="clear" w:color="auto" w:fill="FFFFFF"/>
            <w:vAlign w:val="center"/>
          </w:tcPr>
          <w:p w14:paraId="770AB75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0.47* (0.24)</w:t>
            </w:r>
          </w:p>
        </w:tc>
        <w:tc>
          <w:tcPr>
            <w:tcW w:w="1672" w:type="dxa"/>
            <w:tcBorders>
              <w:top w:val="nil"/>
              <w:left w:val="nil"/>
              <w:bottom w:val="nil"/>
              <w:right w:val="nil"/>
              <w:tl2br w:val="nil"/>
              <w:tr2bl w:val="nil"/>
            </w:tcBorders>
            <w:shd w:val="clear" w:color="auto" w:fill="FFFFFF"/>
            <w:vAlign w:val="center"/>
          </w:tcPr>
          <w:p w14:paraId="4272207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0.20 (0.31)</w:t>
            </w:r>
          </w:p>
        </w:tc>
      </w:tr>
      <w:tr w14:paraId="15BCBB4A">
        <w:tblPrEx>
          <w:tblCellMar>
            <w:top w:w="0" w:type="dxa"/>
            <w:left w:w="108" w:type="dxa"/>
            <w:bottom w:w="0" w:type="dxa"/>
            <w:right w:w="108" w:type="dxa"/>
          </w:tblCellMar>
        </w:tblPrEx>
        <w:trPr>
          <w:trHeight w:val="624" w:hRule="exact"/>
          <w:jc w:val="center"/>
        </w:trPr>
        <w:tc>
          <w:tcPr>
            <w:tcW w:w="3333" w:type="dxa"/>
            <w:tcBorders>
              <w:top w:val="nil"/>
              <w:left w:val="nil"/>
              <w:bottom w:val="nil"/>
              <w:right w:val="nil"/>
              <w:tl2br w:val="nil"/>
              <w:tr2bl w:val="nil"/>
            </w:tcBorders>
            <w:shd w:val="clear" w:color="auto" w:fill="FFFFFF"/>
            <w:vAlign w:val="center"/>
          </w:tcPr>
          <w:p w14:paraId="4A2D1BA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Log of per capita household consumption</w:t>
            </w:r>
          </w:p>
        </w:tc>
        <w:tc>
          <w:tcPr>
            <w:tcW w:w="1670" w:type="dxa"/>
            <w:tcBorders>
              <w:top w:val="nil"/>
              <w:left w:val="nil"/>
              <w:bottom w:val="nil"/>
              <w:right w:val="nil"/>
              <w:tl2br w:val="nil"/>
              <w:tr2bl w:val="nil"/>
            </w:tcBorders>
            <w:shd w:val="clear" w:color="auto" w:fill="FFFFFF"/>
            <w:vAlign w:val="center"/>
          </w:tcPr>
          <w:p w14:paraId="7217468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1.14 (0.10)</w:t>
            </w:r>
          </w:p>
        </w:tc>
        <w:tc>
          <w:tcPr>
            <w:tcW w:w="1670" w:type="dxa"/>
            <w:tcBorders>
              <w:top w:val="nil"/>
              <w:left w:val="nil"/>
              <w:bottom w:val="nil"/>
              <w:right w:val="nil"/>
              <w:tl2br w:val="nil"/>
              <w:tr2bl w:val="nil"/>
            </w:tcBorders>
            <w:shd w:val="clear" w:color="auto" w:fill="FFFFFF"/>
            <w:vAlign w:val="center"/>
          </w:tcPr>
          <w:p w14:paraId="03CA04F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1.25** (0.12)</w:t>
            </w:r>
          </w:p>
        </w:tc>
        <w:tc>
          <w:tcPr>
            <w:tcW w:w="1670" w:type="dxa"/>
            <w:tcBorders>
              <w:top w:val="nil"/>
              <w:left w:val="nil"/>
              <w:bottom w:val="nil"/>
              <w:right w:val="nil"/>
              <w:tl2br w:val="nil"/>
              <w:tr2bl w:val="nil"/>
            </w:tcBorders>
            <w:shd w:val="clear" w:color="auto" w:fill="FFFFFF"/>
            <w:vAlign w:val="center"/>
          </w:tcPr>
          <w:p w14:paraId="4BE74B3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0.09* (0.05)</w:t>
            </w:r>
          </w:p>
        </w:tc>
        <w:tc>
          <w:tcPr>
            <w:tcW w:w="1670" w:type="dxa"/>
            <w:tcBorders>
              <w:top w:val="nil"/>
              <w:left w:val="nil"/>
              <w:bottom w:val="nil"/>
              <w:right w:val="nil"/>
              <w:tl2br w:val="nil"/>
              <w:tr2bl w:val="nil"/>
            </w:tcBorders>
            <w:shd w:val="clear" w:color="auto" w:fill="FFFFFF"/>
            <w:vAlign w:val="center"/>
          </w:tcPr>
          <w:p w14:paraId="0BE5D05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0.26*** (0.07)</w:t>
            </w:r>
          </w:p>
        </w:tc>
        <w:tc>
          <w:tcPr>
            <w:tcW w:w="1672" w:type="dxa"/>
            <w:tcBorders>
              <w:top w:val="nil"/>
              <w:left w:val="nil"/>
              <w:bottom w:val="nil"/>
              <w:right w:val="nil"/>
              <w:tl2br w:val="nil"/>
              <w:tr2bl w:val="nil"/>
            </w:tcBorders>
            <w:shd w:val="clear" w:color="auto" w:fill="FFFFFF"/>
            <w:vAlign w:val="center"/>
          </w:tcPr>
          <w:p w14:paraId="67674DA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0.29*** (0.08)</w:t>
            </w:r>
          </w:p>
        </w:tc>
      </w:tr>
      <w:tr w14:paraId="6682B5FA">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0F5E369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Self-rated health: fair vs poor</w:t>
            </w:r>
          </w:p>
        </w:tc>
        <w:tc>
          <w:tcPr>
            <w:tcW w:w="1670" w:type="dxa"/>
            <w:tcBorders>
              <w:top w:val="nil"/>
              <w:left w:val="nil"/>
              <w:bottom w:val="nil"/>
              <w:right w:val="nil"/>
              <w:tl2br w:val="nil"/>
              <w:tr2bl w:val="nil"/>
            </w:tcBorders>
            <w:shd w:val="clear" w:color="auto" w:fill="FFFFFF"/>
            <w:vAlign w:val="center"/>
          </w:tcPr>
          <w:p w14:paraId="3F45130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0.99 (0.18)</w:t>
            </w:r>
          </w:p>
        </w:tc>
        <w:tc>
          <w:tcPr>
            <w:tcW w:w="1670" w:type="dxa"/>
            <w:tcBorders>
              <w:top w:val="nil"/>
              <w:left w:val="nil"/>
              <w:bottom w:val="nil"/>
              <w:right w:val="nil"/>
              <w:tl2br w:val="nil"/>
              <w:tr2bl w:val="nil"/>
            </w:tcBorders>
            <w:shd w:val="clear" w:color="auto" w:fill="FFFFFF"/>
            <w:vAlign w:val="center"/>
          </w:tcPr>
          <w:p w14:paraId="63CAE8D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0.44*** (0.09)</w:t>
            </w:r>
          </w:p>
        </w:tc>
        <w:tc>
          <w:tcPr>
            <w:tcW w:w="1670" w:type="dxa"/>
            <w:tcBorders>
              <w:top w:val="nil"/>
              <w:left w:val="nil"/>
              <w:bottom w:val="nil"/>
              <w:right w:val="nil"/>
              <w:tl2br w:val="nil"/>
              <w:tr2bl w:val="nil"/>
            </w:tcBorders>
            <w:shd w:val="clear" w:color="auto" w:fill="FFFFFF"/>
            <w:vAlign w:val="center"/>
          </w:tcPr>
          <w:p w14:paraId="1C260F0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-0.08 (0.15)</w:t>
            </w:r>
          </w:p>
        </w:tc>
        <w:tc>
          <w:tcPr>
            <w:tcW w:w="1670" w:type="dxa"/>
            <w:tcBorders>
              <w:top w:val="nil"/>
              <w:left w:val="nil"/>
              <w:bottom w:val="nil"/>
              <w:right w:val="nil"/>
              <w:tl2br w:val="nil"/>
              <w:tr2bl w:val="nil"/>
            </w:tcBorders>
            <w:shd w:val="clear" w:color="auto" w:fill="FFFFFF"/>
            <w:vAlign w:val="center"/>
          </w:tcPr>
          <w:p w14:paraId="777CF6A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-0.85*** (0.20)</w:t>
            </w:r>
          </w:p>
        </w:tc>
        <w:tc>
          <w:tcPr>
            <w:tcW w:w="1672" w:type="dxa"/>
            <w:tcBorders>
              <w:top w:val="nil"/>
              <w:left w:val="nil"/>
              <w:bottom w:val="nil"/>
              <w:right w:val="nil"/>
              <w:tl2br w:val="nil"/>
              <w:tr2bl w:val="nil"/>
            </w:tcBorders>
            <w:shd w:val="clear" w:color="auto" w:fill="FFFFFF"/>
            <w:vAlign w:val="center"/>
          </w:tcPr>
          <w:p w14:paraId="57173F1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-0.64*** (0.24)</w:t>
            </w:r>
          </w:p>
        </w:tc>
      </w:tr>
      <w:tr w14:paraId="18F39000">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2FC6616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Self-rated health: good vs poor</w:t>
            </w:r>
          </w:p>
        </w:tc>
        <w:tc>
          <w:tcPr>
            <w:tcW w:w="1670" w:type="dxa"/>
            <w:tcBorders>
              <w:top w:val="nil"/>
              <w:left w:val="nil"/>
              <w:bottom w:val="nil"/>
              <w:right w:val="nil"/>
              <w:tl2br w:val="nil"/>
              <w:tr2bl w:val="nil"/>
            </w:tcBorders>
            <w:shd w:val="clear" w:color="auto" w:fill="FFFFFF"/>
            <w:vAlign w:val="center"/>
          </w:tcPr>
          <w:p w14:paraId="145F576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0.52** (0.14)</w:t>
            </w:r>
          </w:p>
        </w:tc>
        <w:tc>
          <w:tcPr>
            <w:tcW w:w="1670" w:type="dxa"/>
            <w:tcBorders>
              <w:top w:val="nil"/>
              <w:left w:val="nil"/>
              <w:bottom w:val="nil"/>
              <w:right w:val="nil"/>
              <w:tl2br w:val="nil"/>
              <w:tr2bl w:val="nil"/>
            </w:tcBorders>
            <w:shd w:val="clear" w:color="auto" w:fill="FFFFFF"/>
            <w:vAlign w:val="center"/>
          </w:tcPr>
          <w:p w14:paraId="1A02649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0.24*** (0.08)</w:t>
            </w:r>
          </w:p>
        </w:tc>
        <w:tc>
          <w:tcPr>
            <w:tcW w:w="1670" w:type="dxa"/>
            <w:tcBorders>
              <w:top w:val="nil"/>
              <w:left w:val="nil"/>
              <w:bottom w:val="nil"/>
              <w:right w:val="nil"/>
              <w:tl2br w:val="nil"/>
              <w:tr2bl w:val="nil"/>
            </w:tcBorders>
            <w:shd w:val="clear" w:color="auto" w:fill="FFFFFF"/>
            <w:vAlign w:val="center"/>
          </w:tcPr>
          <w:p w14:paraId="64E0DB0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-0.43** (0.17)</w:t>
            </w:r>
          </w:p>
        </w:tc>
        <w:tc>
          <w:tcPr>
            <w:tcW w:w="1670" w:type="dxa"/>
            <w:tcBorders>
              <w:top w:val="nil"/>
              <w:left w:val="nil"/>
              <w:bottom w:val="nil"/>
              <w:right w:val="nil"/>
              <w:tl2br w:val="nil"/>
              <w:tr2bl w:val="nil"/>
            </w:tcBorders>
            <w:shd w:val="clear" w:color="auto" w:fill="FFFFFF"/>
            <w:vAlign w:val="center"/>
          </w:tcPr>
          <w:p w14:paraId="0E547157">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-1.36*** (0.25)</w:t>
            </w:r>
          </w:p>
        </w:tc>
        <w:tc>
          <w:tcPr>
            <w:tcW w:w="1672" w:type="dxa"/>
            <w:tcBorders>
              <w:top w:val="nil"/>
              <w:left w:val="nil"/>
              <w:bottom w:val="nil"/>
              <w:right w:val="nil"/>
              <w:tl2br w:val="nil"/>
              <w:tr2bl w:val="nil"/>
            </w:tcBorders>
            <w:shd w:val="clear" w:color="auto" w:fill="FFFFFF"/>
            <w:vAlign w:val="center"/>
          </w:tcPr>
          <w:p w14:paraId="48FCDEC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-1.55*** (0.30)</w:t>
            </w:r>
          </w:p>
        </w:tc>
      </w:tr>
      <w:tr w14:paraId="48F82191">
        <w:tblPrEx>
          <w:tblCellMar>
            <w:top w:w="0" w:type="dxa"/>
            <w:left w:w="108" w:type="dxa"/>
            <w:bottom w:w="0" w:type="dxa"/>
            <w:right w:w="108" w:type="dxa"/>
          </w:tblCellMar>
        </w:tblPrEx>
        <w:trPr>
          <w:trHeight w:val="624" w:hRule="exact"/>
          <w:jc w:val="center"/>
        </w:trPr>
        <w:tc>
          <w:tcPr>
            <w:tcW w:w="3333" w:type="dxa"/>
            <w:tcBorders>
              <w:top w:val="nil"/>
              <w:left w:val="nil"/>
              <w:bottom w:val="nil"/>
              <w:right w:val="nil"/>
              <w:tl2br w:val="nil"/>
              <w:tr2bl w:val="nil"/>
            </w:tcBorders>
            <w:shd w:val="clear" w:color="auto" w:fill="FFFFFF"/>
            <w:vAlign w:val="center"/>
          </w:tcPr>
          <w:p w14:paraId="7FF4A35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Chronic disease: single chronic disease vs none</w:t>
            </w:r>
          </w:p>
        </w:tc>
        <w:tc>
          <w:tcPr>
            <w:tcW w:w="1670" w:type="dxa"/>
            <w:tcBorders>
              <w:top w:val="nil"/>
              <w:left w:val="nil"/>
              <w:bottom w:val="nil"/>
              <w:right w:val="nil"/>
              <w:tl2br w:val="nil"/>
              <w:tr2bl w:val="nil"/>
            </w:tcBorders>
            <w:shd w:val="clear" w:color="auto" w:fill="FFFFFF"/>
            <w:vAlign w:val="center"/>
          </w:tcPr>
          <w:p w14:paraId="150ADBC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1.02 (0.39)</w:t>
            </w:r>
          </w:p>
        </w:tc>
        <w:tc>
          <w:tcPr>
            <w:tcW w:w="1670" w:type="dxa"/>
            <w:tcBorders>
              <w:top w:val="nil"/>
              <w:left w:val="nil"/>
              <w:bottom w:val="nil"/>
              <w:right w:val="nil"/>
              <w:tl2br w:val="nil"/>
              <w:tr2bl w:val="nil"/>
            </w:tcBorders>
            <w:shd w:val="clear" w:color="auto" w:fill="FFFFFF"/>
            <w:vAlign w:val="center"/>
          </w:tcPr>
          <w:p w14:paraId="0FE03A5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1.14 (0.53)</w:t>
            </w:r>
          </w:p>
        </w:tc>
        <w:tc>
          <w:tcPr>
            <w:tcW w:w="1670" w:type="dxa"/>
            <w:tcBorders>
              <w:top w:val="nil"/>
              <w:left w:val="nil"/>
              <w:bottom w:val="nil"/>
              <w:right w:val="nil"/>
              <w:tl2br w:val="nil"/>
              <w:tr2bl w:val="nil"/>
            </w:tcBorders>
            <w:shd w:val="clear" w:color="auto" w:fill="FFFFFF"/>
            <w:vAlign w:val="center"/>
          </w:tcPr>
          <w:p w14:paraId="2AD1010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0.09 (0.19)</w:t>
            </w:r>
          </w:p>
        </w:tc>
        <w:tc>
          <w:tcPr>
            <w:tcW w:w="1670" w:type="dxa"/>
            <w:tcBorders>
              <w:top w:val="nil"/>
              <w:left w:val="nil"/>
              <w:bottom w:val="nil"/>
              <w:right w:val="nil"/>
              <w:tl2br w:val="nil"/>
              <w:tr2bl w:val="nil"/>
            </w:tcBorders>
            <w:shd w:val="clear" w:color="auto" w:fill="FFFFFF"/>
            <w:vAlign w:val="center"/>
          </w:tcPr>
          <w:p w14:paraId="72B22AF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-0.14 (0.23)</w:t>
            </w:r>
          </w:p>
        </w:tc>
        <w:tc>
          <w:tcPr>
            <w:tcW w:w="1672" w:type="dxa"/>
            <w:tcBorders>
              <w:top w:val="nil"/>
              <w:left w:val="nil"/>
              <w:bottom w:val="nil"/>
              <w:right w:val="nil"/>
              <w:tl2br w:val="nil"/>
              <w:tr2bl w:val="nil"/>
            </w:tcBorders>
            <w:shd w:val="clear" w:color="auto" w:fill="FFFFFF"/>
            <w:vAlign w:val="center"/>
          </w:tcPr>
          <w:p w14:paraId="24F3607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-0.06 (0.29)</w:t>
            </w:r>
          </w:p>
        </w:tc>
      </w:tr>
      <w:tr w14:paraId="1CB76805">
        <w:tblPrEx>
          <w:tblCellMar>
            <w:top w:w="0" w:type="dxa"/>
            <w:left w:w="108" w:type="dxa"/>
            <w:bottom w:w="0" w:type="dxa"/>
            <w:right w:w="108" w:type="dxa"/>
          </w:tblCellMar>
        </w:tblPrEx>
        <w:trPr>
          <w:trHeight w:val="624" w:hRule="exact"/>
          <w:jc w:val="center"/>
        </w:trPr>
        <w:tc>
          <w:tcPr>
            <w:tcW w:w="3333" w:type="dxa"/>
            <w:tcBorders>
              <w:top w:val="nil"/>
              <w:left w:val="nil"/>
              <w:bottom w:val="nil"/>
              <w:right w:val="nil"/>
              <w:tl2br w:val="nil"/>
              <w:tr2bl w:val="nil"/>
            </w:tcBorders>
            <w:shd w:val="clear" w:color="auto" w:fill="FFFFFF"/>
            <w:vAlign w:val="center"/>
          </w:tcPr>
          <w:p w14:paraId="0B3B27E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Chronic disease: multiple chronic diseases vs none</w:t>
            </w:r>
          </w:p>
        </w:tc>
        <w:tc>
          <w:tcPr>
            <w:tcW w:w="1670" w:type="dxa"/>
            <w:tcBorders>
              <w:top w:val="nil"/>
              <w:left w:val="nil"/>
              <w:bottom w:val="nil"/>
              <w:right w:val="nil"/>
              <w:tl2br w:val="nil"/>
              <w:tr2bl w:val="nil"/>
            </w:tcBorders>
            <w:shd w:val="clear" w:color="auto" w:fill="FFFFFF"/>
            <w:vAlign w:val="center"/>
          </w:tcPr>
          <w:p w14:paraId="6FE6867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1.64 (0.66)</w:t>
            </w:r>
          </w:p>
        </w:tc>
        <w:tc>
          <w:tcPr>
            <w:tcW w:w="1670" w:type="dxa"/>
            <w:tcBorders>
              <w:top w:val="nil"/>
              <w:left w:val="nil"/>
              <w:bottom w:val="nil"/>
              <w:right w:val="nil"/>
              <w:tl2br w:val="nil"/>
              <w:tr2bl w:val="nil"/>
            </w:tcBorders>
            <w:shd w:val="clear" w:color="auto" w:fill="FFFFFF"/>
            <w:vAlign w:val="center"/>
          </w:tcPr>
          <w:p w14:paraId="7425754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3.49** (1.90)</w:t>
            </w:r>
          </w:p>
        </w:tc>
        <w:tc>
          <w:tcPr>
            <w:tcW w:w="1670" w:type="dxa"/>
            <w:tcBorders>
              <w:top w:val="nil"/>
              <w:left w:val="nil"/>
              <w:bottom w:val="nil"/>
              <w:right w:val="nil"/>
              <w:tl2br w:val="nil"/>
              <w:tr2bl w:val="nil"/>
            </w:tcBorders>
            <w:shd w:val="clear" w:color="auto" w:fill="FFFFFF"/>
            <w:vAlign w:val="center"/>
          </w:tcPr>
          <w:p w14:paraId="6CCE7C8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0.17 (0.22)</w:t>
            </w:r>
          </w:p>
        </w:tc>
        <w:tc>
          <w:tcPr>
            <w:tcW w:w="1670" w:type="dxa"/>
            <w:tcBorders>
              <w:top w:val="nil"/>
              <w:left w:val="nil"/>
              <w:bottom w:val="nil"/>
              <w:right w:val="nil"/>
              <w:tl2br w:val="nil"/>
              <w:tr2bl w:val="nil"/>
            </w:tcBorders>
            <w:shd w:val="clear" w:color="auto" w:fill="FFFFFF"/>
            <w:vAlign w:val="center"/>
          </w:tcPr>
          <w:p w14:paraId="2A04E4A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0.51* (0.27)</w:t>
            </w:r>
          </w:p>
        </w:tc>
        <w:tc>
          <w:tcPr>
            <w:tcW w:w="1672" w:type="dxa"/>
            <w:tcBorders>
              <w:top w:val="nil"/>
              <w:left w:val="nil"/>
              <w:bottom w:val="nil"/>
              <w:right w:val="nil"/>
              <w:tl2br w:val="nil"/>
              <w:tr2bl w:val="nil"/>
            </w:tcBorders>
            <w:shd w:val="clear" w:color="auto" w:fill="FFFFFF"/>
            <w:vAlign w:val="center"/>
          </w:tcPr>
          <w:p w14:paraId="4FA5CC0B">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0.70** (0.34)</w:t>
            </w:r>
          </w:p>
        </w:tc>
      </w:tr>
      <w:tr w14:paraId="355AA6DB">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2C3C4B3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Drinking habit: yes vs no</w:t>
            </w:r>
          </w:p>
        </w:tc>
        <w:tc>
          <w:tcPr>
            <w:tcW w:w="1670" w:type="dxa"/>
            <w:tcBorders>
              <w:top w:val="nil"/>
              <w:left w:val="nil"/>
              <w:bottom w:val="nil"/>
              <w:right w:val="nil"/>
              <w:tl2br w:val="nil"/>
              <w:tr2bl w:val="nil"/>
            </w:tcBorders>
            <w:shd w:val="clear" w:color="auto" w:fill="FFFFFF"/>
            <w:vAlign w:val="center"/>
          </w:tcPr>
          <w:p w14:paraId="141C95F1">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0.57** (0.14)</w:t>
            </w:r>
          </w:p>
        </w:tc>
        <w:tc>
          <w:tcPr>
            <w:tcW w:w="1670" w:type="dxa"/>
            <w:tcBorders>
              <w:top w:val="nil"/>
              <w:left w:val="nil"/>
              <w:bottom w:val="nil"/>
              <w:right w:val="nil"/>
              <w:tl2br w:val="nil"/>
              <w:tr2bl w:val="nil"/>
            </w:tcBorders>
            <w:shd w:val="clear" w:color="auto" w:fill="FFFFFF"/>
            <w:vAlign w:val="center"/>
          </w:tcPr>
          <w:p w14:paraId="77C6B9D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0.56* (0.17)</w:t>
            </w:r>
          </w:p>
        </w:tc>
        <w:tc>
          <w:tcPr>
            <w:tcW w:w="1670" w:type="dxa"/>
            <w:tcBorders>
              <w:top w:val="nil"/>
              <w:left w:val="nil"/>
              <w:bottom w:val="nil"/>
              <w:right w:val="nil"/>
              <w:tl2br w:val="nil"/>
              <w:tr2bl w:val="nil"/>
            </w:tcBorders>
            <w:shd w:val="clear" w:color="auto" w:fill="FFFFFF"/>
            <w:vAlign w:val="center"/>
          </w:tcPr>
          <w:p w14:paraId="4D54AFA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-0.41** (0.16)</w:t>
            </w:r>
          </w:p>
        </w:tc>
        <w:tc>
          <w:tcPr>
            <w:tcW w:w="1670" w:type="dxa"/>
            <w:tcBorders>
              <w:top w:val="nil"/>
              <w:left w:val="nil"/>
              <w:bottom w:val="nil"/>
              <w:right w:val="nil"/>
              <w:tl2br w:val="nil"/>
              <w:tr2bl w:val="nil"/>
            </w:tcBorders>
            <w:shd w:val="clear" w:color="auto" w:fill="FFFFFF"/>
            <w:vAlign w:val="center"/>
          </w:tcPr>
          <w:p w14:paraId="69B7369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-0.55** (0.22)</w:t>
            </w:r>
          </w:p>
        </w:tc>
        <w:tc>
          <w:tcPr>
            <w:tcW w:w="1672" w:type="dxa"/>
            <w:tcBorders>
              <w:top w:val="nil"/>
              <w:left w:val="nil"/>
              <w:bottom w:val="nil"/>
              <w:right w:val="nil"/>
              <w:tl2br w:val="nil"/>
              <w:tr2bl w:val="nil"/>
            </w:tcBorders>
            <w:shd w:val="clear" w:color="auto" w:fill="FFFFFF"/>
            <w:vAlign w:val="center"/>
          </w:tcPr>
          <w:p w14:paraId="784E8A3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-0.81*** (0.26)</w:t>
            </w:r>
          </w:p>
        </w:tc>
      </w:tr>
      <w:tr w14:paraId="6126E2A3">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6F32709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Smoking habit: yes vs no</w:t>
            </w:r>
          </w:p>
        </w:tc>
        <w:tc>
          <w:tcPr>
            <w:tcW w:w="1670" w:type="dxa"/>
            <w:tcBorders>
              <w:top w:val="nil"/>
              <w:left w:val="nil"/>
              <w:bottom w:val="nil"/>
              <w:right w:val="nil"/>
              <w:tl2br w:val="nil"/>
              <w:tr2bl w:val="nil"/>
            </w:tcBorders>
            <w:shd w:val="clear" w:color="auto" w:fill="FFFFFF"/>
            <w:vAlign w:val="center"/>
          </w:tcPr>
          <w:p w14:paraId="69B4C18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0.79 (0.26)</w:t>
            </w:r>
          </w:p>
        </w:tc>
        <w:tc>
          <w:tcPr>
            <w:tcW w:w="1670" w:type="dxa"/>
            <w:tcBorders>
              <w:top w:val="nil"/>
              <w:left w:val="nil"/>
              <w:bottom w:val="nil"/>
              <w:right w:val="nil"/>
              <w:tl2br w:val="nil"/>
              <w:tr2bl w:val="nil"/>
            </w:tcBorders>
            <w:shd w:val="clear" w:color="auto" w:fill="FFFFFF"/>
            <w:vAlign w:val="center"/>
          </w:tcPr>
          <w:p w14:paraId="6C2CC58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0.81 (0.29)</w:t>
            </w:r>
          </w:p>
        </w:tc>
        <w:tc>
          <w:tcPr>
            <w:tcW w:w="1670" w:type="dxa"/>
            <w:tcBorders>
              <w:top w:val="nil"/>
              <w:left w:val="nil"/>
              <w:bottom w:val="nil"/>
              <w:right w:val="nil"/>
              <w:tl2br w:val="nil"/>
              <w:tr2bl w:val="nil"/>
            </w:tcBorders>
            <w:shd w:val="clear" w:color="auto" w:fill="FFFFFF"/>
            <w:vAlign w:val="center"/>
          </w:tcPr>
          <w:p w14:paraId="4D203E87">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-0.49** (0.23)</w:t>
            </w:r>
          </w:p>
        </w:tc>
        <w:tc>
          <w:tcPr>
            <w:tcW w:w="1670" w:type="dxa"/>
            <w:tcBorders>
              <w:top w:val="nil"/>
              <w:left w:val="nil"/>
              <w:bottom w:val="nil"/>
              <w:right w:val="nil"/>
              <w:tl2br w:val="nil"/>
              <w:tr2bl w:val="nil"/>
            </w:tcBorders>
            <w:shd w:val="clear" w:color="auto" w:fill="FFFFFF"/>
            <w:vAlign w:val="center"/>
          </w:tcPr>
          <w:p w14:paraId="5E9E03B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-1.26*** (0.33)</w:t>
            </w:r>
          </w:p>
        </w:tc>
        <w:tc>
          <w:tcPr>
            <w:tcW w:w="1672" w:type="dxa"/>
            <w:tcBorders>
              <w:top w:val="nil"/>
              <w:left w:val="nil"/>
              <w:bottom w:val="nil"/>
              <w:right w:val="nil"/>
              <w:tl2br w:val="nil"/>
              <w:tr2bl w:val="nil"/>
            </w:tcBorders>
            <w:shd w:val="clear" w:color="auto" w:fill="FFFFFF"/>
            <w:vAlign w:val="center"/>
          </w:tcPr>
          <w:p w14:paraId="4432F9B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-1.54*** (0.37)</w:t>
            </w:r>
          </w:p>
        </w:tc>
      </w:tr>
      <w:tr w14:paraId="4A7C8193">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5380EBC7">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Physical activity: yes vs no</w:t>
            </w:r>
          </w:p>
        </w:tc>
        <w:tc>
          <w:tcPr>
            <w:tcW w:w="1670" w:type="dxa"/>
            <w:tcBorders>
              <w:top w:val="nil"/>
              <w:left w:val="nil"/>
              <w:bottom w:val="nil"/>
              <w:right w:val="nil"/>
              <w:tl2br w:val="nil"/>
              <w:tr2bl w:val="nil"/>
            </w:tcBorders>
            <w:shd w:val="clear" w:color="auto" w:fill="FFFFFF"/>
            <w:vAlign w:val="center"/>
          </w:tcPr>
          <w:p w14:paraId="191DF3B0">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0.89 (0.13)</w:t>
            </w:r>
          </w:p>
        </w:tc>
        <w:tc>
          <w:tcPr>
            <w:tcW w:w="1670" w:type="dxa"/>
            <w:tcBorders>
              <w:top w:val="nil"/>
              <w:left w:val="nil"/>
              <w:bottom w:val="nil"/>
              <w:right w:val="nil"/>
              <w:tl2br w:val="nil"/>
              <w:tr2bl w:val="nil"/>
            </w:tcBorders>
            <w:shd w:val="clear" w:color="auto" w:fill="FFFFFF"/>
            <w:vAlign w:val="center"/>
          </w:tcPr>
          <w:p w14:paraId="6A1FB174">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0.92 (0.17)</w:t>
            </w:r>
          </w:p>
        </w:tc>
        <w:tc>
          <w:tcPr>
            <w:tcW w:w="1670" w:type="dxa"/>
            <w:tcBorders>
              <w:top w:val="nil"/>
              <w:left w:val="nil"/>
              <w:bottom w:val="nil"/>
              <w:right w:val="nil"/>
              <w:tl2br w:val="nil"/>
              <w:tr2bl w:val="nil"/>
            </w:tcBorders>
            <w:shd w:val="clear" w:color="auto" w:fill="FFFFFF"/>
            <w:vAlign w:val="center"/>
          </w:tcPr>
          <w:p w14:paraId="71573FC1">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-0.11 (0.10)</w:t>
            </w:r>
          </w:p>
        </w:tc>
        <w:tc>
          <w:tcPr>
            <w:tcW w:w="1670" w:type="dxa"/>
            <w:tcBorders>
              <w:top w:val="nil"/>
              <w:left w:val="nil"/>
              <w:bottom w:val="nil"/>
              <w:right w:val="nil"/>
              <w:tl2br w:val="nil"/>
              <w:tr2bl w:val="nil"/>
            </w:tcBorders>
            <w:shd w:val="clear" w:color="auto" w:fill="FFFFFF"/>
            <w:vAlign w:val="center"/>
          </w:tcPr>
          <w:p w14:paraId="0162986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-0.21 (0.14)</w:t>
            </w:r>
          </w:p>
        </w:tc>
        <w:tc>
          <w:tcPr>
            <w:tcW w:w="1672" w:type="dxa"/>
            <w:tcBorders>
              <w:top w:val="nil"/>
              <w:left w:val="nil"/>
              <w:bottom w:val="nil"/>
              <w:right w:val="nil"/>
              <w:tl2br w:val="nil"/>
              <w:tr2bl w:val="nil"/>
            </w:tcBorders>
            <w:shd w:val="clear" w:color="auto" w:fill="FFFFFF"/>
            <w:vAlign w:val="center"/>
          </w:tcPr>
          <w:p w14:paraId="7D997C0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-0.23 (0.16)</w:t>
            </w:r>
          </w:p>
        </w:tc>
      </w:tr>
      <w:tr w14:paraId="5BD10BD0">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240590E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Depression risk: high risk vs low risk</w:t>
            </w:r>
          </w:p>
        </w:tc>
        <w:tc>
          <w:tcPr>
            <w:tcW w:w="1670" w:type="dxa"/>
            <w:tcBorders>
              <w:top w:val="nil"/>
              <w:left w:val="nil"/>
              <w:bottom w:val="nil"/>
              <w:right w:val="nil"/>
              <w:tl2br w:val="nil"/>
              <w:tr2bl w:val="nil"/>
            </w:tcBorders>
            <w:shd w:val="clear" w:color="auto" w:fill="FFFFFF"/>
            <w:vAlign w:val="center"/>
          </w:tcPr>
          <w:p w14:paraId="1061DF0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1.02 (0.19)</w:t>
            </w:r>
          </w:p>
        </w:tc>
        <w:tc>
          <w:tcPr>
            <w:tcW w:w="1670" w:type="dxa"/>
            <w:tcBorders>
              <w:top w:val="nil"/>
              <w:left w:val="nil"/>
              <w:bottom w:val="nil"/>
              <w:right w:val="nil"/>
              <w:tl2br w:val="nil"/>
              <w:tr2bl w:val="nil"/>
            </w:tcBorders>
            <w:shd w:val="clear" w:color="auto" w:fill="FFFFFF"/>
            <w:vAlign w:val="center"/>
          </w:tcPr>
          <w:p w14:paraId="104E4231">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1.67*** (0.32)</w:t>
            </w:r>
          </w:p>
        </w:tc>
        <w:tc>
          <w:tcPr>
            <w:tcW w:w="1670" w:type="dxa"/>
            <w:tcBorders>
              <w:top w:val="nil"/>
              <w:left w:val="nil"/>
              <w:bottom w:val="nil"/>
              <w:right w:val="nil"/>
              <w:tl2br w:val="nil"/>
              <w:tr2bl w:val="nil"/>
            </w:tcBorders>
            <w:shd w:val="clear" w:color="auto" w:fill="FFFFFF"/>
            <w:vAlign w:val="center"/>
          </w:tcPr>
          <w:p w14:paraId="19E81CA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0.02 (0.12)</w:t>
            </w:r>
          </w:p>
        </w:tc>
        <w:tc>
          <w:tcPr>
            <w:tcW w:w="1670" w:type="dxa"/>
            <w:tcBorders>
              <w:top w:val="nil"/>
              <w:left w:val="nil"/>
              <w:bottom w:val="nil"/>
              <w:right w:val="nil"/>
              <w:tl2br w:val="nil"/>
              <w:tr2bl w:val="nil"/>
            </w:tcBorders>
            <w:shd w:val="clear" w:color="auto" w:fill="FFFFFF"/>
            <w:vAlign w:val="center"/>
          </w:tcPr>
          <w:p w14:paraId="7D1F759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0.50*** (0.17)</w:t>
            </w:r>
          </w:p>
        </w:tc>
        <w:tc>
          <w:tcPr>
            <w:tcW w:w="1672" w:type="dxa"/>
            <w:tcBorders>
              <w:top w:val="nil"/>
              <w:left w:val="nil"/>
              <w:bottom w:val="nil"/>
              <w:right w:val="nil"/>
              <w:tl2br w:val="nil"/>
              <w:tr2bl w:val="nil"/>
            </w:tcBorders>
            <w:shd w:val="clear" w:color="auto" w:fill="FFFFFF"/>
            <w:vAlign w:val="center"/>
          </w:tcPr>
          <w:p w14:paraId="13FC96A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0.48** (0.19)</w:t>
            </w:r>
          </w:p>
        </w:tc>
      </w:tr>
      <w:tr w14:paraId="2F4CEB73">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1EAB4AD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Survey year: 2015 vs 2013</w:t>
            </w:r>
          </w:p>
        </w:tc>
        <w:tc>
          <w:tcPr>
            <w:tcW w:w="1670" w:type="dxa"/>
            <w:tcBorders>
              <w:top w:val="nil"/>
              <w:left w:val="nil"/>
              <w:bottom w:val="nil"/>
              <w:right w:val="nil"/>
              <w:tl2br w:val="nil"/>
              <w:tr2bl w:val="nil"/>
            </w:tcBorders>
            <w:shd w:val="clear" w:color="auto" w:fill="FFFFFF"/>
            <w:vAlign w:val="center"/>
          </w:tcPr>
          <w:p w14:paraId="18424D2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1.11 (0.18)</w:t>
            </w:r>
          </w:p>
        </w:tc>
        <w:tc>
          <w:tcPr>
            <w:tcW w:w="1670" w:type="dxa"/>
            <w:tcBorders>
              <w:top w:val="nil"/>
              <w:left w:val="nil"/>
              <w:bottom w:val="nil"/>
              <w:right w:val="nil"/>
              <w:tl2br w:val="nil"/>
              <w:tr2bl w:val="nil"/>
            </w:tcBorders>
            <w:shd w:val="clear" w:color="auto" w:fill="FFFFFF"/>
            <w:vAlign w:val="center"/>
          </w:tcPr>
          <w:p w14:paraId="0179C16A">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2.04*** (0.43)</w:t>
            </w:r>
          </w:p>
        </w:tc>
        <w:tc>
          <w:tcPr>
            <w:tcW w:w="1670" w:type="dxa"/>
            <w:tcBorders>
              <w:top w:val="nil"/>
              <w:left w:val="nil"/>
              <w:bottom w:val="nil"/>
              <w:right w:val="nil"/>
              <w:tl2br w:val="nil"/>
              <w:tr2bl w:val="nil"/>
            </w:tcBorders>
            <w:shd w:val="clear" w:color="auto" w:fill="FFFFFF"/>
            <w:vAlign w:val="center"/>
          </w:tcPr>
          <w:p w14:paraId="07098CCC">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-0.03 (0.10)</w:t>
            </w:r>
          </w:p>
        </w:tc>
        <w:tc>
          <w:tcPr>
            <w:tcW w:w="1670" w:type="dxa"/>
            <w:tcBorders>
              <w:top w:val="nil"/>
              <w:left w:val="nil"/>
              <w:bottom w:val="nil"/>
              <w:right w:val="nil"/>
              <w:tl2br w:val="nil"/>
              <w:tr2bl w:val="nil"/>
            </w:tcBorders>
            <w:shd w:val="clear" w:color="auto" w:fill="FFFFFF"/>
            <w:vAlign w:val="center"/>
          </w:tcPr>
          <w:p w14:paraId="3F16071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0.34** (0.14)</w:t>
            </w:r>
          </w:p>
        </w:tc>
        <w:tc>
          <w:tcPr>
            <w:tcW w:w="1672" w:type="dxa"/>
            <w:tcBorders>
              <w:top w:val="nil"/>
              <w:left w:val="nil"/>
              <w:bottom w:val="nil"/>
              <w:right w:val="nil"/>
              <w:tl2br w:val="nil"/>
              <w:tr2bl w:val="nil"/>
            </w:tcBorders>
            <w:shd w:val="clear" w:color="auto" w:fill="FFFFFF"/>
            <w:vAlign w:val="center"/>
          </w:tcPr>
          <w:p w14:paraId="67653D9B">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0.15 (0.17)</w:t>
            </w:r>
          </w:p>
        </w:tc>
      </w:tr>
      <w:tr w14:paraId="795C74C7">
        <w:tblPrEx>
          <w:tblCellMar>
            <w:top w:w="0" w:type="dxa"/>
            <w:left w:w="108" w:type="dxa"/>
            <w:bottom w:w="0" w:type="dxa"/>
            <w:right w:w="108" w:type="dxa"/>
          </w:tblCellMar>
        </w:tblPrEx>
        <w:trPr>
          <w:trHeight w:val="360" w:hRule="exact"/>
          <w:jc w:val="center"/>
        </w:trPr>
        <w:tc>
          <w:tcPr>
            <w:tcW w:w="3333" w:type="dxa"/>
            <w:tcBorders>
              <w:top w:val="nil"/>
              <w:left w:val="nil"/>
              <w:bottom w:val="nil"/>
              <w:right w:val="nil"/>
              <w:tl2br w:val="nil"/>
              <w:tr2bl w:val="nil"/>
            </w:tcBorders>
            <w:shd w:val="clear" w:color="auto" w:fill="FFFFFF"/>
            <w:vAlign w:val="center"/>
          </w:tcPr>
          <w:p w14:paraId="3D9ACD32">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Survey year: 2018 vs 2013</w:t>
            </w:r>
          </w:p>
        </w:tc>
        <w:tc>
          <w:tcPr>
            <w:tcW w:w="1670" w:type="dxa"/>
            <w:tcBorders>
              <w:top w:val="nil"/>
              <w:left w:val="nil"/>
              <w:bottom w:val="nil"/>
              <w:right w:val="nil"/>
              <w:tl2br w:val="nil"/>
              <w:tr2bl w:val="nil"/>
            </w:tcBorders>
            <w:shd w:val="clear" w:color="auto" w:fill="FFFFFF"/>
            <w:vAlign w:val="center"/>
          </w:tcPr>
          <w:p w14:paraId="12E3D3E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1.07 (0.30)</w:t>
            </w:r>
          </w:p>
        </w:tc>
        <w:tc>
          <w:tcPr>
            <w:tcW w:w="1670" w:type="dxa"/>
            <w:tcBorders>
              <w:top w:val="nil"/>
              <w:left w:val="nil"/>
              <w:bottom w:val="nil"/>
              <w:right w:val="nil"/>
              <w:tl2br w:val="nil"/>
              <w:tr2bl w:val="nil"/>
            </w:tcBorders>
            <w:shd w:val="clear" w:color="auto" w:fill="FFFFFF"/>
            <w:vAlign w:val="center"/>
          </w:tcPr>
          <w:p w14:paraId="6D228DFF">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5.13*** (1.94)</w:t>
            </w:r>
          </w:p>
        </w:tc>
        <w:tc>
          <w:tcPr>
            <w:tcW w:w="1670" w:type="dxa"/>
            <w:tcBorders>
              <w:top w:val="nil"/>
              <w:left w:val="nil"/>
              <w:bottom w:val="nil"/>
              <w:right w:val="nil"/>
              <w:tl2br w:val="nil"/>
              <w:tr2bl w:val="nil"/>
            </w:tcBorders>
            <w:shd w:val="clear" w:color="auto" w:fill="FFFFFF"/>
            <w:vAlign w:val="center"/>
          </w:tcPr>
          <w:p w14:paraId="25D6F20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-0.20 (0.17)</w:t>
            </w:r>
          </w:p>
        </w:tc>
        <w:tc>
          <w:tcPr>
            <w:tcW w:w="1670" w:type="dxa"/>
            <w:tcBorders>
              <w:top w:val="nil"/>
              <w:left w:val="nil"/>
              <w:bottom w:val="nil"/>
              <w:right w:val="nil"/>
              <w:tl2br w:val="nil"/>
              <w:tr2bl w:val="nil"/>
            </w:tcBorders>
            <w:shd w:val="clear" w:color="auto" w:fill="FFFFFF"/>
            <w:vAlign w:val="center"/>
          </w:tcPr>
          <w:p w14:paraId="4E921BF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1.17*** (0.24)</w:t>
            </w:r>
          </w:p>
        </w:tc>
        <w:tc>
          <w:tcPr>
            <w:tcW w:w="1672" w:type="dxa"/>
            <w:tcBorders>
              <w:top w:val="nil"/>
              <w:left w:val="nil"/>
              <w:bottom w:val="nil"/>
              <w:right w:val="nil"/>
              <w:tl2br w:val="nil"/>
              <w:tr2bl w:val="nil"/>
            </w:tcBorders>
            <w:shd w:val="clear" w:color="auto" w:fill="FFFFFF"/>
            <w:vAlign w:val="center"/>
          </w:tcPr>
          <w:p w14:paraId="483AC6F3">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0.65** (0.29)</w:t>
            </w:r>
          </w:p>
        </w:tc>
      </w:tr>
      <w:tr w14:paraId="3AF4DD3F">
        <w:tblPrEx>
          <w:tblCellMar>
            <w:top w:w="0" w:type="dxa"/>
            <w:left w:w="108" w:type="dxa"/>
            <w:bottom w:w="0" w:type="dxa"/>
            <w:right w:w="108" w:type="dxa"/>
          </w:tblCellMar>
        </w:tblPrEx>
        <w:trPr>
          <w:trHeight w:val="360" w:hRule="exact"/>
          <w:jc w:val="center"/>
        </w:trPr>
        <w:tc>
          <w:tcPr>
            <w:tcW w:w="3333" w:type="dxa"/>
            <w:tcBorders>
              <w:top w:val="nil"/>
              <w:left w:val="nil"/>
              <w:bottom w:val="single" w:color="000000" w:sz="12" w:space="0"/>
              <w:right w:val="nil"/>
              <w:tl2br w:val="nil"/>
              <w:tr2bl w:val="nil"/>
            </w:tcBorders>
            <w:shd w:val="clear" w:color="auto" w:fill="FFFFFF"/>
            <w:vAlign w:val="center"/>
          </w:tcPr>
          <w:p w14:paraId="4978BACE">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Observations</w:t>
            </w:r>
          </w:p>
        </w:tc>
        <w:tc>
          <w:tcPr>
            <w:tcW w:w="1670" w:type="dxa"/>
            <w:tcBorders>
              <w:top w:val="nil"/>
              <w:left w:val="nil"/>
              <w:bottom w:val="single" w:color="000000" w:sz="12" w:space="0"/>
              <w:right w:val="nil"/>
              <w:tl2br w:val="nil"/>
              <w:tr2bl w:val="nil"/>
            </w:tcBorders>
            <w:shd w:val="clear" w:color="auto" w:fill="FFFFFF"/>
            <w:vAlign w:val="center"/>
          </w:tcPr>
          <w:p w14:paraId="482EBA39">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1,347</w:t>
            </w:r>
          </w:p>
        </w:tc>
        <w:tc>
          <w:tcPr>
            <w:tcW w:w="1670" w:type="dxa"/>
            <w:tcBorders>
              <w:top w:val="nil"/>
              <w:left w:val="nil"/>
              <w:bottom w:val="single" w:color="000000" w:sz="12" w:space="0"/>
              <w:right w:val="nil"/>
              <w:tl2br w:val="nil"/>
              <w:tr2bl w:val="nil"/>
            </w:tcBorders>
            <w:shd w:val="clear" w:color="auto" w:fill="FFFFFF"/>
            <w:vAlign w:val="center"/>
          </w:tcPr>
          <w:p w14:paraId="2AB75EC8">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1,269</w:t>
            </w:r>
          </w:p>
        </w:tc>
        <w:tc>
          <w:tcPr>
            <w:tcW w:w="1670" w:type="dxa"/>
            <w:tcBorders>
              <w:top w:val="nil"/>
              <w:left w:val="nil"/>
              <w:bottom w:val="single" w:color="000000" w:sz="12" w:space="0"/>
              <w:right w:val="nil"/>
              <w:tl2br w:val="nil"/>
              <w:tr2bl w:val="nil"/>
            </w:tcBorders>
            <w:shd w:val="clear" w:color="auto" w:fill="FFFFFF"/>
            <w:vAlign w:val="center"/>
          </w:tcPr>
          <w:p w14:paraId="7FDD06D6">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6,045</w:t>
            </w:r>
          </w:p>
        </w:tc>
        <w:tc>
          <w:tcPr>
            <w:tcW w:w="1670" w:type="dxa"/>
            <w:tcBorders>
              <w:top w:val="nil"/>
              <w:left w:val="nil"/>
              <w:bottom w:val="single" w:color="000000" w:sz="12" w:space="0"/>
              <w:right w:val="nil"/>
              <w:tl2br w:val="nil"/>
              <w:tr2bl w:val="nil"/>
            </w:tcBorders>
            <w:shd w:val="clear" w:color="auto" w:fill="FFFFFF"/>
            <w:vAlign w:val="center"/>
          </w:tcPr>
          <w:p w14:paraId="02660035">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6,045</w:t>
            </w:r>
          </w:p>
        </w:tc>
        <w:tc>
          <w:tcPr>
            <w:tcW w:w="1672" w:type="dxa"/>
            <w:tcBorders>
              <w:top w:val="nil"/>
              <w:left w:val="nil"/>
              <w:bottom w:val="single" w:color="000000" w:sz="12" w:space="0"/>
              <w:right w:val="nil"/>
              <w:tl2br w:val="nil"/>
              <w:tr2bl w:val="nil"/>
            </w:tcBorders>
            <w:shd w:val="clear" w:color="auto" w:fill="FFFFFF"/>
            <w:vAlign w:val="center"/>
          </w:tcPr>
          <w:p w14:paraId="091C678D">
            <w:pPr>
              <w:keepNext w:val="0"/>
              <w:keepLines w:val="0"/>
              <w:widowControl/>
              <w:suppressLineNumbers w:val="0"/>
              <w:jc w:val="cente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pPr>
            <w:r>
              <w:rPr>
                <w:rFonts w:hint="default" w:ascii="Times New Roman" w:hAnsi="Times New Roman" w:eastAsia="宋体" w:cs="Times New Roman"/>
                <w:b w:val="0"/>
                <w:color w:val="000000"/>
                <w:kern w:val="0"/>
                <w:sz w:val="20"/>
                <w:szCs w:val="20"/>
                <w:lang w:val="en-US" w:eastAsia="zh-CN" w:bidi="ar"/>
              </w:rPr>
              <w:t>6,045</w:t>
            </w:r>
          </w:p>
        </w:tc>
      </w:tr>
    </w:tbl>
    <w:p w14:paraId="026260CF">
      <w:pPr>
        <w:spacing w:line="240" w:lineRule="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Notes:</w:t>
      </w:r>
    </w:p>
    <w:p w14:paraId="54AAFC68">
      <w:pPr>
        <w:spacing w:line="240" w:lineRule="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The reduced sample size in the lagged models is attributable to three factors. First, the baseline wave (2011) does not have prior-wave information, leading to the exclusion of these observations. Second, the lagged specification requires individuals to participate in at least two consecutive survey waves, which excludes respondents with attrition. Third, Gender, education level, and residential area were omitted in fixed-effects models because of no within-person variation. Robust standard errors clustered at the individual level are shown in parentheses. * P&lt;0.10, ** P&lt;0.05, *** P&lt;0.01.</w:t>
      </w:r>
    </w:p>
    <w:p w14:paraId="60C7A77C">
      <w:pPr>
        <w:spacing w:line="480" w:lineRule="auto"/>
        <w:rPr>
          <w:rFonts w:hint="default" w:ascii="Times New Roman" w:hAnsi="Times New Roman" w:cs="Times New Roman"/>
          <w:sz w:val="21"/>
          <w:szCs w:val="24"/>
          <w:lang w:val="en-US" w:eastAsia="zh-CN"/>
        </w:rPr>
      </w:pPr>
    </w:p>
    <w:p w14:paraId="1E550BBE">
      <w:pPr>
        <w:keepNext w:val="0"/>
        <w:keepLines w:val="0"/>
        <w:widowControl/>
        <w:suppressLineNumbers w:val="0"/>
        <w:spacing w:line="480" w:lineRule="auto"/>
        <w:jc w:val="cente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Additional file 3: Heterogeneity analysis</w:t>
      </w:r>
    </w:p>
    <w:p w14:paraId="15CA09EC">
      <w:pPr>
        <w:numPr>
          <w:ilvl w:val="0"/>
          <w:numId w:val="0"/>
        </w:numPr>
        <w:rPr>
          <w:rFonts w:hint="eastAsia" w:ascii="Times New Roman" w:hAnsi="Times New Roman" w:eastAsia="宋体" w:cs="Times New Roman"/>
          <w:b/>
          <w:bCs/>
          <w:color w:val="000000"/>
          <w:sz w:val="21"/>
          <w:szCs w:val="21"/>
          <w:highlight w:val="none"/>
          <w:vertAlign w:val="baseline"/>
          <w:lang w:val="en-US" w:eastAsia="zh-CN"/>
        </w:rPr>
      </w:pPr>
      <w:r>
        <w:rPr>
          <w:rFonts w:hint="default" w:ascii="Times New Roman" w:hAnsi="Times New Roman" w:eastAsia="宋体" w:cs="Times New Roman"/>
          <w:b/>
          <w:bCs/>
          <w:color w:val="000000"/>
          <w:sz w:val="21"/>
          <w:szCs w:val="21"/>
          <w:highlight w:val="none"/>
          <w:vertAlign w:val="baseline"/>
          <w:lang w:val="en-US" w:eastAsia="zh-CN"/>
        </w:rPr>
        <w:t xml:space="preserve">Table </w:t>
      </w:r>
      <w:r>
        <w:rPr>
          <w:rFonts w:hint="eastAsia" w:ascii="Times New Roman" w:hAnsi="Times New Roman" w:eastAsia="宋体" w:cs="Times New Roman"/>
          <w:b/>
          <w:bCs/>
          <w:color w:val="000000"/>
          <w:sz w:val="21"/>
          <w:szCs w:val="21"/>
          <w:highlight w:val="none"/>
          <w:vertAlign w:val="baseline"/>
          <w:lang w:val="en-US" w:eastAsia="zh-CN"/>
        </w:rPr>
        <w:t>S2</w:t>
      </w:r>
      <w:r>
        <w:rPr>
          <w:rFonts w:hint="default" w:ascii="Times New Roman" w:hAnsi="Times New Roman" w:eastAsia="宋体" w:cs="Times New Roman"/>
          <w:b/>
          <w:bCs/>
          <w:color w:val="000000"/>
          <w:sz w:val="21"/>
          <w:szCs w:val="21"/>
          <w:highlight w:val="none"/>
          <w:vertAlign w:val="baseline"/>
          <w:lang w:val="en-US" w:eastAsia="zh-CN"/>
        </w:rPr>
        <w:t>.</w:t>
      </w:r>
      <w:r>
        <w:rPr>
          <w:rFonts w:hint="eastAsia" w:ascii="Times New Roman" w:hAnsi="Times New Roman" w:eastAsia="宋体" w:cs="Times New Roman"/>
          <w:b/>
          <w:bCs/>
          <w:color w:val="000000"/>
          <w:sz w:val="21"/>
          <w:szCs w:val="21"/>
          <w:highlight w:val="none"/>
          <w:vertAlign w:val="baseline"/>
          <w:lang w:val="en-US" w:eastAsia="zh-CN"/>
        </w:rPr>
        <w:t xml:space="preserve"> </w:t>
      </w:r>
    </w:p>
    <w:p w14:paraId="62209CC7">
      <w:pPr>
        <w:numPr>
          <w:ilvl w:val="0"/>
          <w:numId w:val="0"/>
        </w:numPr>
        <w:rPr>
          <w:rFonts w:hint="default" w:ascii="Times New Roman" w:hAnsi="Times New Roman" w:eastAsia="宋体" w:cs="Times New Roman"/>
          <w:b w:val="0"/>
          <w:bCs w:val="0"/>
          <w:color w:val="000000"/>
          <w:sz w:val="24"/>
          <w:szCs w:val="24"/>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Heterogeneity analysis in the association between health check-up type and healthcare utilization by household consumption tertiles</w:t>
      </w:r>
    </w:p>
    <w:tbl>
      <w:tblPr>
        <w:tblStyle w:val="3"/>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3"/>
        <w:gridCol w:w="1941"/>
        <w:gridCol w:w="1941"/>
        <w:gridCol w:w="1941"/>
      </w:tblGrid>
      <w:tr w14:paraId="55AB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single" w:color="000000" w:sz="12" w:space="0"/>
              <w:left w:val="nil"/>
              <w:bottom w:val="single" w:color="000000" w:sz="4" w:space="0"/>
              <w:right w:val="nil"/>
              <w:tl2br w:val="nil"/>
            </w:tcBorders>
            <w:shd w:val="clear" w:color="auto" w:fill="FFFFFF"/>
            <w:vAlign w:val="center"/>
          </w:tcPr>
          <w:p w14:paraId="50118D3E">
            <w:pPr>
              <w:numPr>
                <w:ilvl w:val="0"/>
                <w:numId w:val="0"/>
              </w:numPr>
              <w:jc w:val="both"/>
              <w:rPr>
                <w:rFonts w:hint="default" w:ascii="Times New Roman" w:hAnsi="Times New Roman" w:eastAsia="宋体" w:cs="Times New Roman"/>
                <w:b/>
                <w:bCs/>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Variables</w:t>
            </w:r>
          </w:p>
        </w:tc>
        <w:tc>
          <w:tcPr>
            <w:tcW w:w="1941" w:type="dxa"/>
            <w:tcBorders>
              <w:top w:val="single" w:color="000000" w:sz="12" w:space="0"/>
              <w:left w:val="nil"/>
              <w:bottom w:val="single" w:color="000000" w:sz="4" w:space="0"/>
              <w:right w:val="nil"/>
            </w:tcBorders>
            <w:shd w:val="clear" w:color="auto" w:fill="FFFFFF"/>
            <w:vAlign w:val="center"/>
          </w:tcPr>
          <w:p w14:paraId="3E5F1088">
            <w:pPr>
              <w:numPr>
                <w:ilvl w:val="0"/>
                <w:numId w:val="0"/>
              </w:numPr>
              <w:jc w:val="both"/>
              <w:rPr>
                <w:rFonts w:hint="default" w:ascii="Times New Roman" w:hAnsi="Times New Roman" w:eastAsia="宋体" w:cs="Times New Roman"/>
                <w:b/>
                <w:bCs/>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Low consumption</w:t>
            </w:r>
          </w:p>
        </w:tc>
        <w:tc>
          <w:tcPr>
            <w:tcW w:w="1941" w:type="dxa"/>
            <w:tcBorders>
              <w:top w:val="single" w:color="000000" w:sz="12" w:space="0"/>
              <w:left w:val="nil"/>
              <w:bottom w:val="single" w:color="000000" w:sz="4" w:space="0"/>
              <w:right w:val="nil"/>
            </w:tcBorders>
            <w:shd w:val="clear" w:color="auto" w:fill="FFFFFF"/>
            <w:vAlign w:val="center"/>
          </w:tcPr>
          <w:p w14:paraId="42BE09F3">
            <w:pPr>
              <w:numPr>
                <w:ilvl w:val="0"/>
                <w:numId w:val="0"/>
              </w:numPr>
              <w:jc w:val="both"/>
              <w:rPr>
                <w:rFonts w:hint="default" w:ascii="Times New Roman" w:hAnsi="Times New Roman" w:eastAsia="宋体" w:cs="Times New Roman"/>
                <w:b/>
                <w:bCs/>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Middle</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 xml:space="preserve"> </w:t>
            </w:r>
            <w:r>
              <w:rPr>
                <w:rFonts w:hint="default" w:ascii="Times New Roman" w:hAnsi="Times New Roman" w:eastAsia="宋体" w:cs="Times New Roman"/>
                <w:b/>
                <w:bCs/>
                <w:color w:val="000000"/>
                <w:sz w:val="21"/>
                <w:szCs w:val="21"/>
                <w:highlight w:val="none"/>
                <w:shd w:val="clear" w:color="auto" w:fill="auto"/>
                <w:vertAlign w:val="baseline"/>
                <w:lang w:val="en-US" w:eastAsia="zh-CN"/>
              </w:rPr>
              <w:t>consumption</w:t>
            </w:r>
          </w:p>
        </w:tc>
        <w:tc>
          <w:tcPr>
            <w:tcW w:w="1941" w:type="dxa"/>
            <w:tcBorders>
              <w:top w:val="single" w:color="000000" w:sz="12" w:space="0"/>
              <w:left w:val="nil"/>
              <w:bottom w:val="single" w:color="000000" w:sz="4" w:space="0"/>
              <w:right w:val="nil"/>
            </w:tcBorders>
            <w:shd w:val="clear" w:color="auto" w:fill="FFFFFF"/>
            <w:vAlign w:val="center"/>
          </w:tcPr>
          <w:p w14:paraId="3DE33C59">
            <w:pPr>
              <w:numPr>
                <w:ilvl w:val="0"/>
                <w:numId w:val="0"/>
              </w:numPr>
              <w:jc w:val="both"/>
              <w:rPr>
                <w:rFonts w:hint="default" w:ascii="Times New Roman" w:hAnsi="Times New Roman" w:eastAsia="宋体" w:cs="Times New Roman"/>
                <w:b/>
                <w:bCs/>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High consumption</w:t>
            </w:r>
          </w:p>
        </w:tc>
      </w:tr>
      <w:tr w14:paraId="32DE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43" w:type="dxa"/>
            <w:tcBorders>
              <w:top w:val="single" w:color="000000" w:sz="4" w:space="0"/>
              <w:left w:val="nil"/>
              <w:bottom w:val="nil"/>
              <w:right w:val="nil"/>
            </w:tcBorders>
            <w:shd w:val="clear" w:color="auto" w:fill="FFFFFF"/>
          </w:tcPr>
          <w:p w14:paraId="0B6BA1ED">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 xml:space="preserve">Monthly </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o</w:t>
            </w:r>
            <w:r>
              <w:rPr>
                <w:rFonts w:hint="default" w:ascii="Times New Roman" w:hAnsi="Times New Roman" w:eastAsia="宋体" w:cs="Times New Roman"/>
                <w:b/>
                <w:bCs/>
                <w:color w:val="000000"/>
                <w:sz w:val="21"/>
                <w:szCs w:val="21"/>
                <w:highlight w:val="none"/>
                <w:shd w:val="clear" w:color="auto" w:fill="auto"/>
                <w:vertAlign w:val="baseline"/>
                <w:lang w:val="en-US" w:eastAsia="zh-CN"/>
              </w:rPr>
              <w:t xml:space="preserve">utpatient </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v</w:t>
            </w:r>
            <w:r>
              <w:rPr>
                <w:rFonts w:hint="default" w:ascii="Times New Roman" w:hAnsi="Times New Roman" w:eastAsia="宋体" w:cs="Times New Roman"/>
                <w:b/>
                <w:bCs/>
                <w:color w:val="000000"/>
                <w:sz w:val="21"/>
                <w:szCs w:val="21"/>
                <w:highlight w:val="none"/>
                <w:shd w:val="clear" w:color="auto" w:fill="auto"/>
                <w:vertAlign w:val="baseline"/>
                <w:lang w:val="en-US" w:eastAsia="zh-CN"/>
              </w:rPr>
              <w:t>isit</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w:t>
            </w:r>
            <w:r>
              <w:rPr>
                <w:rFonts w:hint="default" w:ascii="Times New Roman" w:hAnsi="Times New Roman" w:eastAsia="宋体" w:cs="Times New Roman"/>
                <w:b/>
                <w:bCs/>
                <w:color w:val="000000"/>
                <w:sz w:val="21"/>
                <w:szCs w:val="21"/>
                <w:highlight w:val="none"/>
                <w:shd w:val="clear" w:color="auto" w:fill="auto"/>
                <w:vertAlign w:val="baseline"/>
                <w:lang w:val="en-US" w:eastAsia="zh-CN"/>
              </w:rPr>
              <w:t>OR</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w:t>
            </w:r>
          </w:p>
        </w:tc>
        <w:tc>
          <w:tcPr>
            <w:tcW w:w="1941" w:type="dxa"/>
            <w:tcBorders>
              <w:top w:val="single" w:color="000000" w:sz="4" w:space="0"/>
              <w:left w:val="nil"/>
              <w:bottom w:val="nil"/>
              <w:right w:val="nil"/>
            </w:tcBorders>
            <w:shd w:val="clear" w:color="auto" w:fill="FFFFFF"/>
            <w:vAlign w:val="center"/>
          </w:tcPr>
          <w:p w14:paraId="13386172">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c>
          <w:tcPr>
            <w:tcW w:w="1941" w:type="dxa"/>
            <w:tcBorders>
              <w:top w:val="single" w:color="000000" w:sz="4" w:space="0"/>
              <w:left w:val="nil"/>
              <w:bottom w:val="nil"/>
              <w:right w:val="nil"/>
            </w:tcBorders>
            <w:shd w:val="clear" w:color="auto" w:fill="FFFFFF"/>
            <w:vAlign w:val="center"/>
          </w:tcPr>
          <w:p w14:paraId="5D2A28FF">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c>
          <w:tcPr>
            <w:tcW w:w="1941" w:type="dxa"/>
            <w:tcBorders>
              <w:top w:val="single" w:color="000000" w:sz="4" w:space="0"/>
              <w:left w:val="nil"/>
              <w:bottom w:val="nil"/>
              <w:right w:val="nil"/>
            </w:tcBorders>
            <w:shd w:val="clear" w:color="auto" w:fill="FFFFFF"/>
            <w:vAlign w:val="center"/>
          </w:tcPr>
          <w:p w14:paraId="7A0EE236">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r>
      <w:tr w14:paraId="73E0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tcPr>
          <w:p w14:paraId="5FCF758A">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Free health check-up</w:t>
            </w:r>
          </w:p>
        </w:tc>
        <w:tc>
          <w:tcPr>
            <w:tcW w:w="1941" w:type="dxa"/>
            <w:tcBorders>
              <w:top w:val="nil"/>
              <w:left w:val="nil"/>
              <w:bottom w:val="nil"/>
              <w:right w:val="nil"/>
            </w:tcBorders>
            <w:shd w:val="clear" w:color="auto" w:fill="FFFFFF"/>
            <w:vAlign w:val="center"/>
          </w:tcPr>
          <w:p w14:paraId="380115D7">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0.807(0.188)</w:t>
            </w:r>
          </w:p>
        </w:tc>
        <w:tc>
          <w:tcPr>
            <w:tcW w:w="1941" w:type="dxa"/>
            <w:tcBorders>
              <w:top w:val="nil"/>
              <w:left w:val="nil"/>
              <w:bottom w:val="nil"/>
              <w:right w:val="nil"/>
            </w:tcBorders>
            <w:shd w:val="clear" w:color="auto" w:fill="FFFFFF"/>
            <w:vAlign w:val="center"/>
          </w:tcPr>
          <w:p w14:paraId="3ADDAC98">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1.174(0.269)</w:t>
            </w:r>
          </w:p>
        </w:tc>
        <w:tc>
          <w:tcPr>
            <w:tcW w:w="1941" w:type="dxa"/>
            <w:tcBorders>
              <w:top w:val="nil"/>
              <w:left w:val="nil"/>
              <w:bottom w:val="nil"/>
              <w:right w:val="nil"/>
            </w:tcBorders>
            <w:shd w:val="clear" w:color="auto" w:fill="FFFFFF"/>
            <w:vAlign w:val="center"/>
          </w:tcPr>
          <w:p w14:paraId="68CA90AC">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1.036(0.204)</w:t>
            </w:r>
          </w:p>
        </w:tc>
      </w:tr>
      <w:tr w14:paraId="2316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tcPr>
          <w:p w14:paraId="4502EDBA">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Self-paid health check-up</w:t>
            </w:r>
          </w:p>
        </w:tc>
        <w:tc>
          <w:tcPr>
            <w:tcW w:w="1941" w:type="dxa"/>
            <w:tcBorders>
              <w:top w:val="nil"/>
              <w:left w:val="nil"/>
              <w:bottom w:val="nil"/>
              <w:right w:val="nil"/>
            </w:tcBorders>
            <w:shd w:val="clear" w:color="auto" w:fill="FFFFFF"/>
            <w:vAlign w:val="center"/>
          </w:tcPr>
          <w:p w14:paraId="2E8404EF">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1.193(0.236)</w:t>
            </w:r>
          </w:p>
        </w:tc>
        <w:tc>
          <w:tcPr>
            <w:tcW w:w="1941" w:type="dxa"/>
            <w:tcBorders>
              <w:top w:val="nil"/>
              <w:left w:val="nil"/>
              <w:bottom w:val="nil"/>
              <w:right w:val="nil"/>
            </w:tcBorders>
            <w:shd w:val="clear" w:color="auto" w:fill="FFFFFF"/>
            <w:vAlign w:val="center"/>
          </w:tcPr>
          <w:p w14:paraId="3F3F0939">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1.733**(0.412)</w:t>
            </w:r>
          </w:p>
        </w:tc>
        <w:tc>
          <w:tcPr>
            <w:tcW w:w="1941" w:type="dxa"/>
            <w:tcBorders>
              <w:top w:val="nil"/>
              <w:left w:val="nil"/>
              <w:bottom w:val="nil"/>
              <w:right w:val="nil"/>
            </w:tcBorders>
            <w:shd w:val="clear" w:color="auto" w:fill="FFFFFF"/>
            <w:vAlign w:val="center"/>
          </w:tcPr>
          <w:p w14:paraId="1A98EEE2">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1.758**(0.416)</w:t>
            </w:r>
          </w:p>
        </w:tc>
      </w:tr>
      <w:tr w14:paraId="310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tcPr>
          <w:p w14:paraId="11957F53">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Annual hospital admission</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w:t>
            </w:r>
            <w:r>
              <w:rPr>
                <w:rFonts w:hint="default" w:ascii="Times New Roman" w:hAnsi="Times New Roman" w:eastAsia="宋体" w:cs="Times New Roman"/>
                <w:b/>
                <w:bCs/>
                <w:color w:val="000000"/>
                <w:sz w:val="21"/>
                <w:szCs w:val="21"/>
                <w:highlight w:val="none"/>
                <w:shd w:val="clear" w:color="auto" w:fill="auto"/>
                <w:vertAlign w:val="baseline"/>
                <w:lang w:val="en-US" w:eastAsia="zh-CN"/>
              </w:rPr>
              <w:t>OR</w:t>
            </w:r>
            <w:r>
              <w:rPr>
                <w:rFonts w:hint="eastAsia" w:ascii="Times New Roman" w:hAnsi="Times New Roman" w:eastAsia="宋体" w:cs="Times New Roman"/>
                <w:b/>
                <w:bCs/>
                <w:color w:val="000000"/>
                <w:sz w:val="21"/>
                <w:szCs w:val="21"/>
                <w:highlight w:val="none"/>
                <w:shd w:val="clear" w:color="auto" w:fill="auto"/>
                <w:vertAlign w:val="baseline"/>
                <w:lang w:val="en-US" w:eastAsia="zh-CN"/>
              </w:rPr>
              <w:t>)</w:t>
            </w:r>
          </w:p>
        </w:tc>
        <w:tc>
          <w:tcPr>
            <w:tcW w:w="1941" w:type="dxa"/>
            <w:tcBorders>
              <w:top w:val="nil"/>
              <w:left w:val="nil"/>
              <w:bottom w:val="nil"/>
              <w:right w:val="nil"/>
            </w:tcBorders>
            <w:shd w:val="clear" w:color="auto" w:fill="FFFFFF"/>
            <w:vAlign w:val="center"/>
          </w:tcPr>
          <w:p w14:paraId="51ED1AF1">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c>
          <w:tcPr>
            <w:tcW w:w="1941" w:type="dxa"/>
            <w:tcBorders>
              <w:top w:val="nil"/>
              <w:left w:val="nil"/>
              <w:bottom w:val="nil"/>
              <w:right w:val="nil"/>
            </w:tcBorders>
            <w:shd w:val="clear" w:color="auto" w:fill="FFFFFF"/>
            <w:vAlign w:val="center"/>
          </w:tcPr>
          <w:p w14:paraId="1BC1E8D0">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c>
          <w:tcPr>
            <w:tcW w:w="1941" w:type="dxa"/>
            <w:tcBorders>
              <w:top w:val="nil"/>
              <w:left w:val="nil"/>
              <w:bottom w:val="nil"/>
              <w:right w:val="nil"/>
            </w:tcBorders>
            <w:shd w:val="clear" w:color="auto" w:fill="FFFFFF"/>
            <w:vAlign w:val="center"/>
          </w:tcPr>
          <w:p w14:paraId="483EE1D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p>
        </w:tc>
      </w:tr>
      <w:tr w14:paraId="1C17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35C16888">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Free health check-up</w:t>
            </w:r>
          </w:p>
        </w:tc>
        <w:tc>
          <w:tcPr>
            <w:tcW w:w="1941" w:type="dxa"/>
            <w:tcBorders>
              <w:top w:val="nil"/>
              <w:left w:val="nil"/>
              <w:bottom w:val="nil"/>
              <w:right w:val="nil"/>
            </w:tcBorders>
            <w:shd w:val="clear" w:color="auto" w:fill="FFFFFF"/>
            <w:vAlign w:val="center"/>
          </w:tcPr>
          <w:p w14:paraId="45EC3323">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1.425(0.435)</w:t>
            </w:r>
          </w:p>
        </w:tc>
        <w:tc>
          <w:tcPr>
            <w:tcW w:w="1941" w:type="dxa"/>
            <w:tcBorders>
              <w:top w:val="nil"/>
              <w:left w:val="nil"/>
              <w:bottom w:val="nil"/>
              <w:right w:val="nil"/>
            </w:tcBorders>
            <w:shd w:val="clear" w:color="auto" w:fill="FFFFFF"/>
            <w:vAlign w:val="center"/>
          </w:tcPr>
          <w:p w14:paraId="792DEB7D">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1.118(0.287)</w:t>
            </w:r>
          </w:p>
        </w:tc>
        <w:tc>
          <w:tcPr>
            <w:tcW w:w="1941" w:type="dxa"/>
            <w:tcBorders>
              <w:top w:val="nil"/>
              <w:left w:val="nil"/>
              <w:bottom w:val="nil"/>
              <w:right w:val="nil"/>
            </w:tcBorders>
            <w:shd w:val="clear" w:color="auto" w:fill="FFFFFF"/>
            <w:vAlign w:val="center"/>
          </w:tcPr>
          <w:p w14:paraId="456248FB">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0.839(0.160)</w:t>
            </w:r>
          </w:p>
        </w:tc>
      </w:tr>
      <w:tr w14:paraId="4405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556698B4">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Self-paid health check-up</w:t>
            </w:r>
          </w:p>
        </w:tc>
        <w:tc>
          <w:tcPr>
            <w:tcW w:w="1941" w:type="dxa"/>
            <w:tcBorders>
              <w:top w:val="nil"/>
              <w:left w:val="nil"/>
              <w:bottom w:val="nil"/>
              <w:right w:val="nil"/>
            </w:tcBorders>
            <w:shd w:val="clear" w:color="auto" w:fill="FFFFFF"/>
            <w:vAlign w:val="center"/>
          </w:tcPr>
          <w:p w14:paraId="3759326C">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1.589*(0.385)</w:t>
            </w:r>
          </w:p>
        </w:tc>
        <w:tc>
          <w:tcPr>
            <w:tcW w:w="1941" w:type="dxa"/>
            <w:tcBorders>
              <w:top w:val="nil"/>
              <w:left w:val="nil"/>
              <w:bottom w:val="nil"/>
              <w:right w:val="nil"/>
            </w:tcBorders>
            <w:shd w:val="clear" w:color="auto" w:fill="FFFFFF"/>
            <w:vAlign w:val="center"/>
          </w:tcPr>
          <w:p w14:paraId="2F297D17">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1.427(0.375)</w:t>
            </w:r>
          </w:p>
        </w:tc>
        <w:tc>
          <w:tcPr>
            <w:tcW w:w="1941" w:type="dxa"/>
            <w:tcBorders>
              <w:top w:val="nil"/>
              <w:left w:val="nil"/>
              <w:bottom w:val="nil"/>
              <w:right w:val="nil"/>
            </w:tcBorders>
            <w:shd w:val="clear" w:color="auto" w:fill="FFFFFF"/>
            <w:vAlign w:val="center"/>
          </w:tcPr>
          <w:p w14:paraId="7A404A8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1.420(0.331)</w:t>
            </w:r>
          </w:p>
        </w:tc>
      </w:tr>
      <w:tr w14:paraId="276D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6" w:type="dxa"/>
            <w:gridSpan w:val="4"/>
            <w:tcBorders>
              <w:top w:val="nil"/>
              <w:left w:val="nil"/>
              <w:bottom w:val="nil"/>
              <w:right w:val="nil"/>
            </w:tcBorders>
            <w:shd w:val="clear" w:color="auto" w:fill="FFFFFF"/>
          </w:tcPr>
          <w:p w14:paraId="7EFAAA5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Log of monthly outpatient expenditure(β)</w:t>
            </w:r>
          </w:p>
        </w:tc>
      </w:tr>
      <w:tr w14:paraId="7658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356B8F48">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Free health check-up</w:t>
            </w:r>
          </w:p>
        </w:tc>
        <w:tc>
          <w:tcPr>
            <w:tcW w:w="1941" w:type="dxa"/>
            <w:tcBorders>
              <w:top w:val="nil"/>
              <w:left w:val="nil"/>
              <w:bottom w:val="nil"/>
              <w:right w:val="nil"/>
            </w:tcBorders>
            <w:shd w:val="clear" w:color="auto" w:fill="FFFFFF"/>
            <w:vAlign w:val="center"/>
          </w:tcPr>
          <w:p w14:paraId="1B546D24">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-0.212(0.130)</w:t>
            </w:r>
          </w:p>
        </w:tc>
        <w:tc>
          <w:tcPr>
            <w:tcW w:w="1941" w:type="dxa"/>
            <w:tcBorders>
              <w:top w:val="nil"/>
              <w:left w:val="nil"/>
              <w:bottom w:val="nil"/>
              <w:right w:val="nil"/>
            </w:tcBorders>
            <w:shd w:val="clear" w:color="auto" w:fill="FFFFFF"/>
            <w:vAlign w:val="center"/>
          </w:tcPr>
          <w:p w14:paraId="0CFE367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0.087(0.161)</w:t>
            </w:r>
          </w:p>
        </w:tc>
        <w:tc>
          <w:tcPr>
            <w:tcW w:w="1941" w:type="dxa"/>
            <w:tcBorders>
              <w:top w:val="nil"/>
              <w:left w:val="nil"/>
              <w:bottom w:val="nil"/>
              <w:right w:val="nil"/>
            </w:tcBorders>
            <w:shd w:val="clear" w:color="auto" w:fill="FFFFFF"/>
            <w:vAlign w:val="center"/>
          </w:tcPr>
          <w:p w14:paraId="6F791F82">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-0.084(0.171)</w:t>
            </w:r>
          </w:p>
        </w:tc>
      </w:tr>
      <w:tr w14:paraId="4F93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44A06993">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Self-paid health check-up</w:t>
            </w:r>
          </w:p>
        </w:tc>
        <w:tc>
          <w:tcPr>
            <w:tcW w:w="1941" w:type="dxa"/>
            <w:tcBorders>
              <w:top w:val="nil"/>
              <w:left w:val="nil"/>
              <w:bottom w:val="nil"/>
              <w:right w:val="nil"/>
            </w:tcBorders>
            <w:shd w:val="clear" w:color="auto" w:fill="FFFFFF"/>
            <w:vAlign w:val="center"/>
          </w:tcPr>
          <w:p w14:paraId="0768EB10">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0.261*(0.134)</w:t>
            </w:r>
          </w:p>
        </w:tc>
        <w:tc>
          <w:tcPr>
            <w:tcW w:w="1941" w:type="dxa"/>
            <w:tcBorders>
              <w:top w:val="nil"/>
              <w:left w:val="nil"/>
              <w:bottom w:val="nil"/>
              <w:right w:val="nil"/>
            </w:tcBorders>
            <w:shd w:val="clear" w:color="auto" w:fill="FFFFFF"/>
            <w:vAlign w:val="center"/>
          </w:tcPr>
          <w:p w14:paraId="622BEDDA">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0.585***(0.190)</w:t>
            </w:r>
          </w:p>
        </w:tc>
        <w:tc>
          <w:tcPr>
            <w:tcW w:w="1941" w:type="dxa"/>
            <w:tcBorders>
              <w:top w:val="nil"/>
              <w:left w:val="nil"/>
              <w:bottom w:val="nil"/>
              <w:right w:val="nil"/>
            </w:tcBorders>
            <w:shd w:val="clear" w:color="auto" w:fill="FFFFFF"/>
            <w:vAlign w:val="center"/>
          </w:tcPr>
          <w:p w14:paraId="036CDE06">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0.586***(0.210)</w:t>
            </w:r>
          </w:p>
        </w:tc>
      </w:tr>
      <w:tr w14:paraId="1D40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6" w:type="dxa"/>
            <w:gridSpan w:val="4"/>
            <w:tcBorders>
              <w:top w:val="nil"/>
              <w:left w:val="nil"/>
              <w:bottom w:val="nil"/>
              <w:right w:val="nil"/>
            </w:tcBorders>
            <w:shd w:val="clear" w:color="auto" w:fill="FFFFFF"/>
          </w:tcPr>
          <w:p w14:paraId="4A416E8F">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Log of yearly inpatient expenditure(β)</w:t>
            </w:r>
          </w:p>
        </w:tc>
      </w:tr>
      <w:tr w14:paraId="03C2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2FBDEFF1">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Free health check-up</w:t>
            </w:r>
          </w:p>
        </w:tc>
        <w:tc>
          <w:tcPr>
            <w:tcW w:w="1941" w:type="dxa"/>
            <w:tcBorders>
              <w:top w:val="nil"/>
              <w:left w:val="nil"/>
              <w:bottom w:val="nil"/>
              <w:right w:val="nil"/>
            </w:tcBorders>
            <w:shd w:val="clear" w:color="auto" w:fill="FFFFFF"/>
            <w:vAlign w:val="center"/>
          </w:tcPr>
          <w:p w14:paraId="5509704E">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-0.031(0.175)</w:t>
            </w:r>
          </w:p>
        </w:tc>
        <w:tc>
          <w:tcPr>
            <w:tcW w:w="1941" w:type="dxa"/>
            <w:tcBorders>
              <w:top w:val="nil"/>
              <w:left w:val="nil"/>
              <w:bottom w:val="nil"/>
              <w:right w:val="nil"/>
            </w:tcBorders>
            <w:shd w:val="clear" w:color="auto" w:fill="FFFFFF"/>
            <w:vAlign w:val="center"/>
          </w:tcPr>
          <w:p w14:paraId="70E5827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-0.055(0.233)</w:t>
            </w:r>
          </w:p>
        </w:tc>
        <w:tc>
          <w:tcPr>
            <w:tcW w:w="1941" w:type="dxa"/>
            <w:tcBorders>
              <w:top w:val="nil"/>
              <w:left w:val="nil"/>
              <w:bottom w:val="nil"/>
              <w:right w:val="nil"/>
            </w:tcBorders>
            <w:shd w:val="clear" w:color="auto" w:fill="FFFFFF"/>
            <w:vAlign w:val="center"/>
          </w:tcPr>
          <w:p w14:paraId="4EBA3BD5">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-0.156(0.244)</w:t>
            </w:r>
          </w:p>
        </w:tc>
      </w:tr>
      <w:tr w14:paraId="26DD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355B9F7D">
            <w:pPr>
              <w:numPr>
                <w:ilvl w:val="0"/>
                <w:numId w:val="0"/>
              </w:numPr>
              <w:ind w:left="0" w:leftChars="0" w:firstLine="0" w:firstLineChars="0"/>
              <w:rPr>
                <w:rFonts w:hint="default" w:ascii="Times New Roman" w:hAnsi="Times New Roman" w:eastAsia="宋体" w:cs="Times New Roman"/>
                <w:b w:val="0"/>
                <w:bCs w:val="0"/>
                <w:color w:val="000000"/>
                <w:kern w:val="2"/>
                <w:sz w:val="21"/>
                <w:szCs w:val="21"/>
                <w:highlight w:val="none"/>
                <w:shd w:val="clear" w:color="auto" w:fill="auto"/>
                <w:vertAlign w:val="baseline"/>
                <w:lang w:val="en-US" w:eastAsia="zh-CN" w:bidi="ar-SA"/>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Self-paid health check-up</w:t>
            </w:r>
          </w:p>
        </w:tc>
        <w:tc>
          <w:tcPr>
            <w:tcW w:w="1941" w:type="dxa"/>
            <w:tcBorders>
              <w:top w:val="nil"/>
              <w:left w:val="nil"/>
              <w:bottom w:val="nil"/>
              <w:right w:val="nil"/>
            </w:tcBorders>
            <w:shd w:val="clear" w:color="auto" w:fill="FFFFFF"/>
            <w:vAlign w:val="center"/>
          </w:tcPr>
          <w:p w14:paraId="7F0FDFDF">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0.257(0.163)</w:t>
            </w:r>
          </w:p>
        </w:tc>
        <w:tc>
          <w:tcPr>
            <w:tcW w:w="1941" w:type="dxa"/>
            <w:tcBorders>
              <w:top w:val="nil"/>
              <w:left w:val="nil"/>
              <w:bottom w:val="nil"/>
              <w:right w:val="nil"/>
            </w:tcBorders>
            <w:shd w:val="clear" w:color="auto" w:fill="FFFFFF"/>
            <w:vAlign w:val="center"/>
          </w:tcPr>
          <w:p w14:paraId="766E4A48">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0.202(0.241)</w:t>
            </w:r>
          </w:p>
        </w:tc>
        <w:tc>
          <w:tcPr>
            <w:tcW w:w="1941" w:type="dxa"/>
            <w:tcBorders>
              <w:top w:val="nil"/>
              <w:left w:val="nil"/>
              <w:bottom w:val="nil"/>
              <w:right w:val="nil"/>
            </w:tcBorders>
            <w:shd w:val="clear" w:color="auto" w:fill="FFFFFF"/>
            <w:vAlign w:val="center"/>
          </w:tcPr>
          <w:p w14:paraId="10C2B40C">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0.677**(0.305)</w:t>
            </w:r>
          </w:p>
        </w:tc>
      </w:tr>
      <w:tr w14:paraId="2B53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6" w:type="dxa"/>
            <w:gridSpan w:val="4"/>
            <w:tcBorders>
              <w:top w:val="nil"/>
              <w:left w:val="nil"/>
              <w:bottom w:val="nil"/>
              <w:right w:val="nil"/>
            </w:tcBorders>
            <w:shd w:val="clear" w:color="auto" w:fill="FFFFFF"/>
          </w:tcPr>
          <w:p w14:paraId="66DDAD8E">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bCs/>
                <w:color w:val="000000"/>
                <w:sz w:val="21"/>
                <w:szCs w:val="21"/>
                <w:highlight w:val="none"/>
                <w:shd w:val="clear" w:color="auto" w:fill="auto"/>
                <w:vertAlign w:val="baseline"/>
                <w:lang w:val="en-US" w:eastAsia="zh-CN"/>
              </w:rPr>
              <w:t>Log of total annual medical expenditure(β)</w:t>
            </w:r>
          </w:p>
        </w:tc>
      </w:tr>
      <w:tr w14:paraId="4680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nil"/>
              <w:right w:val="nil"/>
            </w:tcBorders>
            <w:shd w:val="clear" w:color="auto" w:fill="FFFFFF"/>
            <w:vAlign w:val="top"/>
          </w:tcPr>
          <w:p w14:paraId="23AA8620">
            <w:pPr>
              <w:numPr>
                <w:ilvl w:val="0"/>
                <w:numId w:val="0"/>
              </w:numPr>
              <w:ind w:left="0" w:leftChars="0" w:firstLine="0" w:firstLineChars="0"/>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Free health check-up</w:t>
            </w:r>
          </w:p>
        </w:tc>
        <w:tc>
          <w:tcPr>
            <w:tcW w:w="1941" w:type="dxa"/>
            <w:tcBorders>
              <w:top w:val="nil"/>
              <w:left w:val="nil"/>
              <w:bottom w:val="nil"/>
              <w:right w:val="nil"/>
            </w:tcBorders>
            <w:shd w:val="clear" w:color="auto" w:fill="FFFFFF"/>
            <w:vAlign w:val="center"/>
          </w:tcPr>
          <w:p w14:paraId="5B67AC4C">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-0.272(0.223)</w:t>
            </w:r>
          </w:p>
        </w:tc>
        <w:tc>
          <w:tcPr>
            <w:tcW w:w="1941" w:type="dxa"/>
            <w:tcBorders>
              <w:top w:val="nil"/>
              <w:left w:val="nil"/>
              <w:bottom w:val="nil"/>
              <w:right w:val="nil"/>
            </w:tcBorders>
            <w:shd w:val="clear" w:color="auto" w:fill="FFFFFF"/>
            <w:vAlign w:val="center"/>
          </w:tcPr>
          <w:p w14:paraId="29126DEE">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0.059(0.277)</w:t>
            </w:r>
          </w:p>
        </w:tc>
        <w:tc>
          <w:tcPr>
            <w:tcW w:w="1941" w:type="dxa"/>
            <w:tcBorders>
              <w:top w:val="nil"/>
              <w:left w:val="nil"/>
              <w:bottom w:val="nil"/>
              <w:right w:val="nil"/>
            </w:tcBorders>
            <w:shd w:val="clear" w:color="auto" w:fill="FFFFFF"/>
            <w:vAlign w:val="center"/>
          </w:tcPr>
          <w:p w14:paraId="1F7BA749">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0.025(0.276)</w:t>
            </w:r>
          </w:p>
        </w:tc>
      </w:tr>
      <w:tr w14:paraId="199C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Borders>
              <w:top w:val="nil"/>
              <w:left w:val="nil"/>
              <w:bottom w:val="single" w:color="000000" w:sz="12" w:space="0"/>
              <w:right w:val="nil"/>
            </w:tcBorders>
            <w:shd w:val="clear" w:color="auto" w:fill="FFFFFF"/>
            <w:vAlign w:val="top"/>
          </w:tcPr>
          <w:p w14:paraId="5947AB1C">
            <w:pPr>
              <w:numPr>
                <w:ilvl w:val="0"/>
                <w:numId w:val="0"/>
              </w:numPr>
              <w:ind w:left="0" w:leftChars="0" w:firstLine="0" w:firstLineChars="0"/>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Self-paid health check-up</w:t>
            </w:r>
          </w:p>
        </w:tc>
        <w:tc>
          <w:tcPr>
            <w:tcW w:w="1941" w:type="dxa"/>
            <w:tcBorders>
              <w:top w:val="nil"/>
              <w:left w:val="nil"/>
              <w:bottom w:val="single" w:color="000000" w:sz="12" w:space="0"/>
              <w:right w:val="nil"/>
            </w:tcBorders>
            <w:shd w:val="clear" w:color="auto" w:fill="FFFFFF"/>
            <w:vAlign w:val="center"/>
          </w:tcPr>
          <w:p w14:paraId="450C4D96">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0.427**(0.216)</w:t>
            </w:r>
          </w:p>
        </w:tc>
        <w:tc>
          <w:tcPr>
            <w:tcW w:w="1941" w:type="dxa"/>
            <w:tcBorders>
              <w:top w:val="nil"/>
              <w:left w:val="nil"/>
              <w:bottom w:val="single" w:color="000000" w:sz="12" w:space="0"/>
              <w:right w:val="nil"/>
            </w:tcBorders>
            <w:shd w:val="clear" w:color="auto" w:fill="FFFFFF"/>
            <w:vAlign w:val="center"/>
          </w:tcPr>
          <w:p w14:paraId="4CBBD480">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0.667**(0.285)</w:t>
            </w:r>
          </w:p>
        </w:tc>
        <w:tc>
          <w:tcPr>
            <w:tcW w:w="1941" w:type="dxa"/>
            <w:tcBorders>
              <w:top w:val="nil"/>
              <w:left w:val="nil"/>
              <w:bottom w:val="single" w:color="000000" w:sz="12" w:space="0"/>
              <w:right w:val="nil"/>
            </w:tcBorders>
            <w:shd w:val="clear" w:color="auto" w:fill="FFFFFF"/>
            <w:vAlign w:val="center"/>
          </w:tcPr>
          <w:p w14:paraId="223BF21A">
            <w:pPr>
              <w:numPr>
                <w:ilvl w:val="0"/>
                <w:numId w:val="0"/>
              </w:numP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pPr>
            <w:r>
              <w:rPr>
                <w:rFonts w:hint="default" w:ascii="Times New Roman" w:hAnsi="Times New Roman" w:eastAsia="宋体" w:cs="Times New Roman"/>
                <w:b w:val="0"/>
                <w:bCs w:val="0"/>
                <w:color w:val="000000"/>
                <w:sz w:val="21"/>
                <w:szCs w:val="21"/>
                <w:highlight w:val="none"/>
                <w:shd w:val="clear" w:color="auto" w:fill="auto"/>
                <w:vertAlign w:val="baseline"/>
                <w:lang w:val="en-US" w:eastAsia="zh-CN"/>
              </w:rPr>
              <w:t>1.040***(0.334)</w:t>
            </w:r>
          </w:p>
        </w:tc>
      </w:tr>
    </w:tbl>
    <w:p w14:paraId="0FCB2009">
      <w:pPr>
        <w:spacing w:line="240" w:lineRule="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Notes:</w:t>
      </w:r>
    </w:p>
    <w:p w14:paraId="496A1ABE">
      <w:pPr>
        <w:numPr>
          <w:ilvl w:val="0"/>
          <w:numId w:val="0"/>
        </w:numPr>
        <w:rPr>
          <w:rFonts w:hint="default" w:ascii="Times New Roman" w:hAnsi="Times New Roman" w:eastAsia="宋体" w:cs="Times New Roman"/>
          <w:sz w:val="20"/>
          <w:szCs w:val="20"/>
        </w:rPr>
      </w:pPr>
      <w:r>
        <w:rPr>
          <w:rFonts w:hint="eastAsia" w:ascii="Times New Roman" w:hAnsi="Times New Roman" w:eastAsia="宋体" w:cs="Times New Roman"/>
          <w:sz w:val="20"/>
          <w:szCs w:val="20"/>
          <w:lang w:eastAsia="zh-CN"/>
        </w:rPr>
        <w:t xml:space="preserve">The sample was stratified into low, middle, and high consumption groups based on tertiles of per capita household consumption. No health check-up was the reference group. For binary outcomes, odds ratios from conditional fixed-effects logistic regressions are reported. For expenditure outcomes, coefficients from two-way fixed-effects linear regressions are reported. Models adjusted for predisposing factors, enabling resources excluding household consumption, need factors, and year fixed effects. Robust standard errors clustered at the individual level are shown in parentheses. </w:t>
      </w:r>
      <w:r>
        <w:rPr>
          <w:rFonts w:hint="default" w:ascii="Times New Roman" w:hAnsi="Times New Roman" w:eastAsia="宋体" w:cs="Times New Roman"/>
          <w:sz w:val="20"/>
          <w:szCs w:val="20"/>
        </w:rPr>
        <w:t>*p&lt;0.1, **p&lt;0.05, ***p&lt;0.01.</w:t>
      </w:r>
    </w:p>
    <w:p w14:paraId="0C8662C4">
      <w:pPr>
        <w:numPr>
          <w:ilvl w:val="0"/>
          <w:numId w:val="0"/>
        </w:numPr>
        <w:rPr>
          <w:rFonts w:hint="eastAsia" w:ascii="Times New Roman" w:hAnsi="Times New Roman" w:eastAsia="宋体" w:cs="Times New Roman"/>
          <w:sz w:val="20"/>
          <w:szCs w:val="20"/>
          <w:lang w:eastAsia="zh-CN"/>
        </w:rPr>
      </w:pPr>
    </w:p>
    <w:p w14:paraId="4F6D4FE0">
      <w:pPr>
        <w:spacing w:line="480" w:lineRule="auto"/>
        <w:ind w:firstLine="420" w:firstLineChars="0"/>
        <w:rPr>
          <w:rFonts w:hint="default" w:ascii="Times New Roman" w:hAnsi="Times New Roman" w:cs="Times New Roman"/>
          <w:sz w:val="21"/>
          <w:szCs w:val="24"/>
          <w:lang w:val="en-US" w:eastAsia="zh-CN"/>
        </w:rPr>
      </w:pPr>
    </w:p>
    <w:p w14:paraId="3FA16836">
      <w:pPr>
        <w:keepNext w:val="0"/>
        <w:keepLines w:val="0"/>
        <w:widowControl/>
        <w:suppressLineNumbers w:val="0"/>
        <w:spacing w:line="48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Additional file 4: Robustness checks</w:t>
      </w:r>
    </w:p>
    <w:p w14:paraId="3D771A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ascii="Times New Roman" w:hAnsi="Times New Roman" w:eastAsia="宋体" w:cs="Times New Roman"/>
          <w:b/>
          <w:bCs/>
          <w:color w:val="000000"/>
          <w:sz w:val="20"/>
          <w:szCs w:val="20"/>
        </w:rPr>
      </w:pPr>
      <w:r>
        <w:rPr>
          <w:rFonts w:ascii="Times New Roman" w:hAnsi="Times New Roman" w:eastAsia="宋体" w:cs="Times New Roman"/>
          <w:b/>
          <w:bCs/>
          <w:color w:val="000000"/>
          <w:sz w:val="20"/>
          <w:szCs w:val="20"/>
        </w:rPr>
        <w:t xml:space="preserve">Table </w:t>
      </w:r>
      <w:r>
        <w:rPr>
          <w:rFonts w:hint="eastAsia" w:ascii="Times New Roman" w:hAnsi="Times New Roman" w:eastAsia="宋体" w:cs="Times New Roman"/>
          <w:b/>
          <w:bCs/>
          <w:color w:val="000000"/>
          <w:sz w:val="20"/>
          <w:szCs w:val="20"/>
          <w:lang w:val="en-US" w:eastAsia="zh-CN"/>
        </w:rPr>
        <w:t>S3.</w:t>
      </w:r>
      <w:r>
        <w:rPr>
          <w:rFonts w:ascii="Times New Roman" w:hAnsi="Times New Roman" w:eastAsia="宋体" w:cs="Times New Roman"/>
          <w:b/>
          <w:bCs/>
          <w:color w:val="000000"/>
          <w:sz w:val="20"/>
          <w:szCs w:val="20"/>
        </w:rPr>
        <w:t xml:space="preserve"> </w:t>
      </w:r>
    </w:p>
    <w:p w14:paraId="64FB6B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ascii="Times New Roman" w:hAnsi="Times New Roman" w:eastAsia="宋体" w:cs="Times New Roman"/>
          <w:b/>
          <w:bCs/>
          <w:color w:val="000000"/>
          <w:sz w:val="20"/>
          <w:szCs w:val="20"/>
        </w:rPr>
      </w:pPr>
      <w:r>
        <w:rPr>
          <w:rFonts w:hint="eastAsia" w:ascii="Times New Roman" w:hAnsi="Times New Roman" w:eastAsia="宋体" w:cs="Times New Roman"/>
          <w:b w:val="0"/>
          <w:bCs w:val="0"/>
          <w:color w:val="000000"/>
          <w:sz w:val="21"/>
          <w:szCs w:val="21"/>
          <w:vertAlign w:val="baseline"/>
          <w:lang w:val="en-US" w:eastAsia="zh-CN"/>
        </w:rPr>
        <w:t>Robustness checks based on sequential model specifications following Andersen</w:t>
      </w:r>
      <w:r>
        <w:rPr>
          <w:rFonts w:hint="default" w:ascii="Times New Roman" w:hAnsi="Times New Roman" w:eastAsia="宋体" w:cs="Times New Roman"/>
          <w:b w:val="0"/>
          <w:bCs w:val="0"/>
          <w:color w:val="000000"/>
          <w:sz w:val="21"/>
          <w:szCs w:val="21"/>
          <w:vertAlign w:val="baseline"/>
          <w:lang w:val="en-US" w:eastAsia="zh-CN"/>
        </w:rPr>
        <w:t>’</w:t>
      </w:r>
      <w:r>
        <w:rPr>
          <w:rFonts w:hint="eastAsia" w:ascii="Times New Roman" w:hAnsi="Times New Roman" w:eastAsia="宋体" w:cs="Times New Roman"/>
          <w:b w:val="0"/>
          <w:bCs w:val="0"/>
          <w:color w:val="000000"/>
          <w:sz w:val="21"/>
          <w:szCs w:val="21"/>
          <w:vertAlign w:val="baseline"/>
          <w:lang w:val="en-US" w:eastAsia="zh-CN"/>
        </w:rPr>
        <w:t>s Behavioral Model</w:t>
      </w:r>
    </w:p>
    <w:tbl>
      <w:tblPr>
        <w:tblStyle w:val="3"/>
        <w:tblpPr w:leftFromText="180" w:rightFromText="180" w:vertAnchor="text" w:horzAnchor="page" w:tblpX="981" w:tblpY="300"/>
        <w:tblOverlap w:val="never"/>
        <w:tblW w:w="10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8"/>
        <w:gridCol w:w="1731"/>
        <w:gridCol w:w="1731"/>
        <w:gridCol w:w="1731"/>
        <w:gridCol w:w="1734"/>
      </w:tblGrid>
      <w:tr w14:paraId="28BA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818" w:type="dxa"/>
            <w:tcBorders>
              <w:top w:val="single" w:color="000000" w:sz="12" w:space="0"/>
              <w:left w:val="nil"/>
              <w:bottom w:val="single" w:color="000000" w:sz="4" w:space="0"/>
              <w:right w:val="nil"/>
              <w:tl2br w:val="nil"/>
            </w:tcBorders>
            <w:shd w:val="clear" w:color="auto" w:fill="FFFFFF"/>
            <w:vAlign w:val="center"/>
          </w:tcPr>
          <w:p w14:paraId="57A4FE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val="0"/>
                <w:color w:val="000000"/>
                <w:kern w:val="2"/>
                <w:sz w:val="20"/>
                <w:szCs w:val="20"/>
                <w:highlight w:val="none"/>
                <w:vertAlign w:val="baseline"/>
                <w:lang w:val="en-US" w:eastAsia="zh-CN" w:bidi="ar-SA"/>
              </w:rPr>
            </w:pPr>
          </w:p>
        </w:tc>
        <w:tc>
          <w:tcPr>
            <w:tcW w:w="1731" w:type="dxa"/>
            <w:tcBorders>
              <w:top w:val="single" w:color="000000" w:sz="12" w:space="0"/>
              <w:left w:val="nil"/>
              <w:bottom w:val="single" w:color="000000" w:sz="4" w:space="0"/>
              <w:right w:val="nil"/>
            </w:tcBorders>
            <w:shd w:val="clear" w:color="auto" w:fill="FFFFFF"/>
            <w:vAlign w:val="top"/>
          </w:tcPr>
          <w:p w14:paraId="7A639C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val="0"/>
                <w:color w:val="000000"/>
                <w:kern w:val="2"/>
                <w:sz w:val="20"/>
                <w:szCs w:val="20"/>
                <w:highlight w:val="none"/>
                <w:vertAlign w:val="baseline"/>
                <w:lang w:val="en-US" w:eastAsia="zh-CN" w:bidi="ar-SA"/>
              </w:rPr>
            </w:pPr>
            <w:r>
              <w:rPr>
                <w:rFonts w:hint="default" w:ascii="Times New Roman" w:hAnsi="Times New Roman" w:eastAsia="宋体" w:cs="Times New Roman"/>
                <w:b/>
                <w:bCs w:val="0"/>
                <w:color w:val="000000"/>
                <w:sz w:val="20"/>
                <w:szCs w:val="20"/>
              </w:rPr>
              <w:t>(1)FE</w:t>
            </w:r>
            <w:r>
              <w:rPr>
                <w:rFonts w:hint="eastAsia" w:ascii="Times New Roman" w:hAnsi="Times New Roman" w:eastAsia="宋体" w:cs="Times New Roman"/>
                <w:b/>
                <w:bCs w:val="0"/>
                <w:color w:val="000000"/>
                <w:sz w:val="20"/>
                <w:szCs w:val="20"/>
                <w:lang w:val="en-US" w:eastAsia="zh-CN"/>
              </w:rPr>
              <w:t xml:space="preserve"> </w:t>
            </w:r>
            <w:r>
              <w:rPr>
                <w:rFonts w:hint="default" w:ascii="Times New Roman" w:hAnsi="Times New Roman" w:eastAsia="宋体" w:cs="Times New Roman"/>
                <w:b/>
                <w:bCs w:val="0"/>
                <w:color w:val="000000"/>
                <w:sz w:val="20"/>
                <w:szCs w:val="20"/>
              </w:rPr>
              <w:t>Only</w:t>
            </w:r>
          </w:p>
        </w:tc>
        <w:tc>
          <w:tcPr>
            <w:tcW w:w="1731" w:type="dxa"/>
            <w:tcBorders>
              <w:top w:val="single" w:color="000000" w:sz="12" w:space="0"/>
              <w:left w:val="nil"/>
              <w:bottom w:val="single" w:color="000000" w:sz="4" w:space="0"/>
              <w:right w:val="nil"/>
            </w:tcBorders>
            <w:shd w:val="clear" w:color="auto" w:fill="FFFFFF"/>
            <w:vAlign w:val="top"/>
          </w:tcPr>
          <w:p w14:paraId="66CC46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val="0"/>
                <w:color w:val="000000"/>
                <w:kern w:val="2"/>
                <w:sz w:val="20"/>
                <w:szCs w:val="20"/>
                <w:highlight w:val="none"/>
                <w:vertAlign w:val="baseline"/>
                <w:lang w:val="en-US" w:eastAsia="zh-CN" w:bidi="ar-SA"/>
              </w:rPr>
            </w:pPr>
            <w:r>
              <w:rPr>
                <w:rFonts w:hint="default" w:ascii="Times New Roman" w:hAnsi="Times New Roman" w:eastAsia="宋体" w:cs="Times New Roman"/>
                <w:b/>
                <w:bCs w:val="0"/>
                <w:color w:val="000000"/>
                <w:sz w:val="20"/>
                <w:szCs w:val="20"/>
              </w:rPr>
              <w:t>(2)</w:t>
            </w:r>
            <w:r>
              <w:rPr>
                <w:rFonts w:hint="default" w:ascii="Times New Roman" w:hAnsi="Times New Roman" w:eastAsia="宋体" w:cs="Times New Roman"/>
                <w:b/>
                <w:bCs w:val="0"/>
                <w:color w:val="000000"/>
                <w:sz w:val="20"/>
                <w:szCs w:val="20"/>
                <w:lang w:val="en-US" w:eastAsia="zh-CN"/>
              </w:rPr>
              <w:t>+</w:t>
            </w:r>
            <w:r>
              <w:rPr>
                <w:rFonts w:hint="default" w:ascii="Times New Roman" w:hAnsi="Times New Roman" w:eastAsia="宋体" w:cs="Times New Roman"/>
                <w:b/>
                <w:bCs w:val="0"/>
                <w:color w:val="000000"/>
                <w:sz w:val="20"/>
                <w:szCs w:val="20"/>
              </w:rPr>
              <w:t>predisposing characteristics</w:t>
            </w:r>
          </w:p>
        </w:tc>
        <w:tc>
          <w:tcPr>
            <w:tcW w:w="1731" w:type="dxa"/>
            <w:tcBorders>
              <w:top w:val="single" w:color="000000" w:sz="12" w:space="0"/>
              <w:left w:val="nil"/>
              <w:bottom w:val="single" w:color="000000" w:sz="4" w:space="0"/>
              <w:right w:val="nil"/>
            </w:tcBorders>
            <w:shd w:val="clear" w:color="auto" w:fill="FFFFFF"/>
            <w:vAlign w:val="top"/>
          </w:tcPr>
          <w:p w14:paraId="27CA64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val="0"/>
                <w:color w:val="000000"/>
                <w:kern w:val="2"/>
                <w:sz w:val="20"/>
                <w:szCs w:val="20"/>
                <w:highlight w:val="none"/>
                <w:vertAlign w:val="baseline"/>
                <w:lang w:val="en-US" w:eastAsia="zh-CN" w:bidi="ar-SA"/>
              </w:rPr>
            </w:pPr>
            <w:r>
              <w:rPr>
                <w:rFonts w:hint="default" w:ascii="Times New Roman" w:hAnsi="Times New Roman" w:eastAsia="宋体" w:cs="Times New Roman"/>
                <w:b/>
                <w:bCs w:val="0"/>
                <w:color w:val="000000"/>
                <w:sz w:val="20"/>
                <w:szCs w:val="20"/>
              </w:rPr>
              <w:t>(3)+enabling</w:t>
            </w:r>
            <w:r>
              <w:rPr>
                <w:rFonts w:hint="eastAsia" w:ascii="Times New Roman" w:hAnsi="Times New Roman" w:eastAsia="宋体" w:cs="Times New Roman"/>
                <w:b/>
                <w:bCs w:val="0"/>
                <w:color w:val="000000"/>
                <w:sz w:val="20"/>
                <w:szCs w:val="20"/>
                <w:lang w:val="en-US" w:eastAsia="zh-CN"/>
              </w:rPr>
              <w:t xml:space="preserve"> </w:t>
            </w:r>
            <w:r>
              <w:rPr>
                <w:rFonts w:hint="default" w:ascii="Times New Roman" w:hAnsi="Times New Roman" w:eastAsia="宋体" w:cs="Times New Roman"/>
                <w:b/>
                <w:bCs w:val="0"/>
                <w:color w:val="000000"/>
                <w:sz w:val="20"/>
                <w:szCs w:val="20"/>
              </w:rPr>
              <w:t>resources</w:t>
            </w:r>
          </w:p>
        </w:tc>
        <w:tc>
          <w:tcPr>
            <w:tcW w:w="1734" w:type="dxa"/>
            <w:tcBorders>
              <w:top w:val="single" w:color="000000" w:sz="12" w:space="0"/>
              <w:left w:val="nil"/>
              <w:bottom w:val="single" w:color="000000" w:sz="4" w:space="0"/>
              <w:right w:val="nil"/>
            </w:tcBorders>
            <w:shd w:val="clear" w:color="auto" w:fill="FFFFFF"/>
            <w:vAlign w:val="top"/>
          </w:tcPr>
          <w:p w14:paraId="4CE0FE0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val="0"/>
                <w:color w:val="000000"/>
                <w:kern w:val="2"/>
                <w:sz w:val="20"/>
                <w:szCs w:val="20"/>
                <w:highlight w:val="none"/>
                <w:vertAlign w:val="baseline"/>
                <w:lang w:val="en-US" w:eastAsia="zh-CN" w:bidi="ar-SA"/>
              </w:rPr>
            </w:pPr>
            <w:r>
              <w:rPr>
                <w:rFonts w:hint="default" w:ascii="Times New Roman" w:hAnsi="Times New Roman" w:eastAsia="宋体" w:cs="Times New Roman"/>
                <w:b/>
                <w:bCs w:val="0"/>
                <w:color w:val="000000"/>
                <w:sz w:val="20"/>
                <w:szCs w:val="20"/>
              </w:rPr>
              <w:t>(4)+Need (Full)</w:t>
            </w:r>
          </w:p>
        </w:tc>
      </w:tr>
      <w:tr w14:paraId="6357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818" w:type="dxa"/>
            <w:tcBorders>
              <w:top w:val="single" w:color="000000" w:sz="4" w:space="0"/>
              <w:left w:val="nil"/>
              <w:bottom w:val="nil"/>
              <w:right w:val="nil"/>
            </w:tcBorders>
            <w:shd w:val="clear" w:color="auto" w:fill="FFFFFF"/>
            <w:vAlign w:val="center"/>
          </w:tcPr>
          <w:p w14:paraId="2B3828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kern w:val="2"/>
                <w:sz w:val="20"/>
                <w:szCs w:val="20"/>
                <w:highlight w:val="none"/>
                <w:vertAlign w:val="baseline"/>
                <w:lang w:val="en-US" w:eastAsia="zh-CN" w:bidi="ar-SA"/>
              </w:rPr>
            </w:pPr>
            <w:r>
              <w:rPr>
                <w:rFonts w:hint="default" w:ascii="Times New Roman" w:hAnsi="Times New Roman" w:eastAsia="宋体" w:cs="Times New Roman"/>
                <w:b/>
                <w:bCs/>
                <w:color w:val="000000"/>
                <w:sz w:val="20"/>
                <w:szCs w:val="20"/>
              </w:rPr>
              <w:t>Monthly outpatient visit（OR）</w:t>
            </w:r>
          </w:p>
        </w:tc>
        <w:tc>
          <w:tcPr>
            <w:tcW w:w="1731" w:type="dxa"/>
            <w:tcBorders>
              <w:top w:val="single" w:color="000000" w:sz="4" w:space="0"/>
              <w:left w:val="nil"/>
              <w:bottom w:val="nil"/>
              <w:right w:val="nil"/>
            </w:tcBorders>
            <w:shd w:val="clear" w:color="auto" w:fill="FFFFFF"/>
            <w:vAlign w:val="top"/>
          </w:tcPr>
          <w:p w14:paraId="7BDDDC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color w:val="000000"/>
                <w:sz w:val="20"/>
                <w:szCs w:val="20"/>
                <w:lang w:val="en-US" w:eastAsia="zh-CN"/>
              </w:rPr>
            </w:pPr>
          </w:p>
        </w:tc>
        <w:tc>
          <w:tcPr>
            <w:tcW w:w="1731" w:type="dxa"/>
            <w:tcBorders>
              <w:top w:val="single" w:color="000000" w:sz="4" w:space="0"/>
              <w:left w:val="nil"/>
              <w:bottom w:val="nil"/>
              <w:right w:val="nil"/>
            </w:tcBorders>
            <w:shd w:val="clear" w:color="auto" w:fill="FFFFFF"/>
            <w:vAlign w:val="top"/>
          </w:tcPr>
          <w:p w14:paraId="371729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color w:val="000000"/>
                <w:sz w:val="20"/>
                <w:szCs w:val="20"/>
                <w:lang w:val="en-US" w:eastAsia="zh-CN"/>
              </w:rPr>
            </w:pPr>
          </w:p>
        </w:tc>
        <w:tc>
          <w:tcPr>
            <w:tcW w:w="1731" w:type="dxa"/>
            <w:tcBorders>
              <w:top w:val="single" w:color="000000" w:sz="4" w:space="0"/>
              <w:left w:val="nil"/>
              <w:bottom w:val="nil"/>
              <w:right w:val="nil"/>
            </w:tcBorders>
            <w:shd w:val="clear" w:color="auto" w:fill="FFFFFF"/>
            <w:vAlign w:val="top"/>
          </w:tcPr>
          <w:p w14:paraId="4B5F564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color w:val="000000"/>
                <w:sz w:val="20"/>
                <w:szCs w:val="20"/>
                <w:lang w:val="en-US" w:eastAsia="zh-CN"/>
              </w:rPr>
            </w:pPr>
          </w:p>
        </w:tc>
        <w:tc>
          <w:tcPr>
            <w:tcW w:w="1734" w:type="dxa"/>
            <w:tcBorders>
              <w:top w:val="single" w:color="000000" w:sz="4" w:space="0"/>
              <w:left w:val="nil"/>
              <w:bottom w:val="nil"/>
              <w:right w:val="nil"/>
            </w:tcBorders>
            <w:shd w:val="clear" w:color="auto" w:fill="FFFFFF"/>
            <w:vAlign w:val="top"/>
          </w:tcPr>
          <w:p w14:paraId="1E35541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color w:val="000000"/>
                <w:sz w:val="20"/>
                <w:szCs w:val="20"/>
                <w:lang w:val="en-US" w:eastAsia="zh-CN"/>
              </w:rPr>
            </w:pPr>
          </w:p>
        </w:tc>
      </w:tr>
      <w:tr w14:paraId="7CA3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6BD57D1D">
            <w:pPr>
              <w:numPr>
                <w:ilvl w:val="0"/>
                <w:numId w:val="0"/>
              </w:numPr>
              <w:spacing w:line="240" w:lineRule="auto"/>
              <w:ind w:left="0" w:leftChars="0" w:firstLine="0" w:firstLineChars="0"/>
              <w:jc w:val="both"/>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Free health check-up</w:t>
            </w:r>
          </w:p>
        </w:tc>
        <w:tc>
          <w:tcPr>
            <w:tcW w:w="1731" w:type="dxa"/>
            <w:tcBorders>
              <w:top w:val="nil"/>
              <w:left w:val="nil"/>
              <w:bottom w:val="nil"/>
              <w:right w:val="nil"/>
            </w:tcBorders>
            <w:shd w:val="clear" w:color="auto" w:fill="FFFFFF"/>
            <w:vAlign w:val="top"/>
          </w:tcPr>
          <w:p w14:paraId="5DA7CE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0.992(0.087)</w:t>
            </w:r>
          </w:p>
        </w:tc>
        <w:tc>
          <w:tcPr>
            <w:tcW w:w="1731" w:type="dxa"/>
            <w:tcBorders>
              <w:top w:val="nil"/>
              <w:left w:val="nil"/>
              <w:bottom w:val="nil"/>
              <w:right w:val="nil"/>
            </w:tcBorders>
            <w:shd w:val="clear" w:color="auto" w:fill="FFFFFF"/>
            <w:vAlign w:val="top"/>
          </w:tcPr>
          <w:p w14:paraId="3350FD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0.992(0.087)</w:t>
            </w:r>
          </w:p>
        </w:tc>
        <w:tc>
          <w:tcPr>
            <w:tcW w:w="1731" w:type="dxa"/>
            <w:tcBorders>
              <w:top w:val="nil"/>
              <w:left w:val="nil"/>
              <w:bottom w:val="nil"/>
              <w:right w:val="nil"/>
            </w:tcBorders>
            <w:shd w:val="clear" w:color="auto" w:fill="FFFFFF"/>
            <w:vAlign w:val="top"/>
          </w:tcPr>
          <w:p w14:paraId="2D01F9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0.990(0.087)</w:t>
            </w:r>
          </w:p>
        </w:tc>
        <w:tc>
          <w:tcPr>
            <w:tcW w:w="1734" w:type="dxa"/>
            <w:tcBorders>
              <w:top w:val="nil"/>
              <w:left w:val="nil"/>
              <w:bottom w:val="nil"/>
              <w:right w:val="nil"/>
            </w:tcBorders>
            <w:shd w:val="clear" w:color="auto" w:fill="FFFFFF"/>
            <w:vAlign w:val="top"/>
          </w:tcPr>
          <w:p w14:paraId="74560D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0.968(0.086)</w:t>
            </w:r>
          </w:p>
        </w:tc>
      </w:tr>
      <w:tr w14:paraId="6D82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1097E274">
            <w:pPr>
              <w:numPr>
                <w:ilvl w:val="0"/>
                <w:numId w:val="0"/>
              </w:numPr>
              <w:spacing w:line="240" w:lineRule="auto"/>
              <w:ind w:left="0" w:leftChars="0" w:firstLine="0" w:firstLineChars="0"/>
              <w:jc w:val="both"/>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Self-paid health check-up</w:t>
            </w:r>
          </w:p>
        </w:tc>
        <w:tc>
          <w:tcPr>
            <w:tcW w:w="1731" w:type="dxa"/>
            <w:tcBorders>
              <w:top w:val="nil"/>
              <w:left w:val="nil"/>
              <w:bottom w:val="nil"/>
              <w:right w:val="nil"/>
            </w:tcBorders>
            <w:shd w:val="clear" w:color="auto" w:fill="FFFFFF"/>
            <w:vAlign w:val="top"/>
          </w:tcPr>
          <w:p w14:paraId="3BFB6B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1.196**(0.104)</w:t>
            </w:r>
          </w:p>
        </w:tc>
        <w:tc>
          <w:tcPr>
            <w:tcW w:w="1731" w:type="dxa"/>
            <w:tcBorders>
              <w:top w:val="nil"/>
              <w:left w:val="nil"/>
              <w:bottom w:val="nil"/>
              <w:right w:val="nil"/>
            </w:tcBorders>
            <w:shd w:val="clear" w:color="auto" w:fill="FFFFFF"/>
            <w:vAlign w:val="top"/>
          </w:tcPr>
          <w:p w14:paraId="566E09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1.197**(0.105)</w:t>
            </w:r>
          </w:p>
        </w:tc>
        <w:tc>
          <w:tcPr>
            <w:tcW w:w="1731" w:type="dxa"/>
            <w:tcBorders>
              <w:top w:val="nil"/>
              <w:left w:val="nil"/>
              <w:bottom w:val="nil"/>
              <w:right w:val="nil"/>
            </w:tcBorders>
            <w:shd w:val="clear" w:color="auto" w:fill="FFFFFF"/>
            <w:vAlign w:val="top"/>
          </w:tcPr>
          <w:p w14:paraId="039C4E5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1.193**(0.104)</w:t>
            </w:r>
          </w:p>
        </w:tc>
        <w:tc>
          <w:tcPr>
            <w:tcW w:w="1734" w:type="dxa"/>
            <w:tcBorders>
              <w:top w:val="nil"/>
              <w:left w:val="nil"/>
              <w:bottom w:val="nil"/>
              <w:right w:val="nil"/>
            </w:tcBorders>
            <w:shd w:val="clear" w:color="auto" w:fill="FFFFFF"/>
            <w:vAlign w:val="top"/>
          </w:tcPr>
          <w:p w14:paraId="3F204D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1.188*(0.105)</w:t>
            </w:r>
          </w:p>
        </w:tc>
      </w:tr>
      <w:tr w14:paraId="353C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101DF9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Observations</w:t>
            </w:r>
          </w:p>
        </w:tc>
        <w:tc>
          <w:tcPr>
            <w:tcW w:w="1731" w:type="dxa"/>
            <w:tcBorders>
              <w:top w:val="nil"/>
              <w:left w:val="nil"/>
              <w:bottom w:val="nil"/>
              <w:right w:val="nil"/>
            </w:tcBorders>
            <w:shd w:val="clear" w:color="auto" w:fill="FFFFFF"/>
            <w:vAlign w:val="top"/>
          </w:tcPr>
          <w:p w14:paraId="4945099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4,485</w:t>
            </w:r>
          </w:p>
        </w:tc>
        <w:tc>
          <w:tcPr>
            <w:tcW w:w="1731" w:type="dxa"/>
            <w:tcBorders>
              <w:top w:val="nil"/>
              <w:left w:val="nil"/>
              <w:bottom w:val="nil"/>
              <w:right w:val="nil"/>
            </w:tcBorders>
            <w:shd w:val="clear" w:color="auto" w:fill="FFFFFF"/>
            <w:vAlign w:val="top"/>
          </w:tcPr>
          <w:p w14:paraId="6FFA201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4,485</w:t>
            </w:r>
          </w:p>
        </w:tc>
        <w:tc>
          <w:tcPr>
            <w:tcW w:w="1731" w:type="dxa"/>
            <w:tcBorders>
              <w:top w:val="nil"/>
              <w:left w:val="nil"/>
              <w:bottom w:val="nil"/>
              <w:right w:val="nil"/>
            </w:tcBorders>
            <w:shd w:val="clear" w:color="auto" w:fill="FFFFFF"/>
            <w:vAlign w:val="top"/>
          </w:tcPr>
          <w:p w14:paraId="1BD20E5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4,485</w:t>
            </w:r>
          </w:p>
        </w:tc>
        <w:tc>
          <w:tcPr>
            <w:tcW w:w="1734" w:type="dxa"/>
            <w:tcBorders>
              <w:top w:val="nil"/>
              <w:left w:val="nil"/>
              <w:bottom w:val="nil"/>
              <w:right w:val="nil"/>
            </w:tcBorders>
            <w:shd w:val="clear" w:color="auto" w:fill="FFFFFF"/>
            <w:vAlign w:val="top"/>
          </w:tcPr>
          <w:p w14:paraId="499C5E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4,485</w:t>
            </w:r>
          </w:p>
        </w:tc>
      </w:tr>
      <w:tr w14:paraId="6876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34C98D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bCs/>
                <w:color w:val="000000"/>
                <w:sz w:val="20"/>
                <w:szCs w:val="20"/>
              </w:rPr>
              <w:t>Annual hospital admission(OR)</w:t>
            </w:r>
          </w:p>
        </w:tc>
        <w:tc>
          <w:tcPr>
            <w:tcW w:w="1731" w:type="dxa"/>
            <w:tcBorders>
              <w:top w:val="nil"/>
              <w:left w:val="nil"/>
              <w:bottom w:val="nil"/>
              <w:right w:val="nil"/>
            </w:tcBorders>
            <w:shd w:val="clear" w:color="auto" w:fill="FFFFFF"/>
            <w:vAlign w:val="top"/>
          </w:tcPr>
          <w:p w14:paraId="2398F4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70FDAD6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478A974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4" w:type="dxa"/>
            <w:tcBorders>
              <w:top w:val="nil"/>
              <w:left w:val="nil"/>
              <w:bottom w:val="nil"/>
              <w:right w:val="nil"/>
            </w:tcBorders>
            <w:shd w:val="clear" w:color="auto" w:fill="FFFFFF"/>
            <w:vAlign w:val="top"/>
          </w:tcPr>
          <w:p w14:paraId="4842FC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r>
      <w:tr w14:paraId="22E0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7A560C4B">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Free health check-up</w:t>
            </w:r>
          </w:p>
        </w:tc>
        <w:tc>
          <w:tcPr>
            <w:tcW w:w="1731" w:type="dxa"/>
            <w:tcBorders>
              <w:top w:val="nil"/>
              <w:left w:val="nil"/>
              <w:bottom w:val="nil"/>
              <w:right w:val="nil"/>
            </w:tcBorders>
            <w:shd w:val="clear" w:color="auto" w:fill="FFFFFF"/>
            <w:vAlign w:val="top"/>
          </w:tcPr>
          <w:p w14:paraId="3B0C12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1.059(0.099)</w:t>
            </w:r>
          </w:p>
        </w:tc>
        <w:tc>
          <w:tcPr>
            <w:tcW w:w="1731" w:type="dxa"/>
            <w:tcBorders>
              <w:top w:val="nil"/>
              <w:left w:val="nil"/>
              <w:bottom w:val="nil"/>
              <w:right w:val="nil"/>
            </w:tcBorders>
            <w:shd w:val="clear" w:color="auto" w:fill="FFFFFF"/>
            <w:vAlign w:val="top"/>
          </w:tcPr>
          <w:p w14:paraId="5DA795F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1.061(0.100)</w:t>
            </w:r>
          </w:p>
        </w:tc>
        <w:tc>
          <w:tcPr>
            <w:tcW w:w="1731" w:type="dxa"/>
            <w:tcBorders>
              <w:top w:val="nil"/>
              <w:left w:val="nil"/>
              <w:bottom w:val="nil"/>
              <w:right w:val="nil"/>
            </w:tcBorders>
            <w:shd w:val="clear" w:color="auto" w:fill="FFFFFF"/>
            <w:vAlign w:val="top"/>
          </w:tcPr>
          <w:p w14:paraId="7CD8C1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1.058(0.100)</w:t>
            </w:r>
          </w:p>
        </w:tc>
        <w:tc>
          <w:tcPr>
            <w:tcW w:w="1734" w:type="dxa"/>
            <w:tcBorders>
              <w:top w:val="nil"/>
              <w:left w:val="nil"/>
              <w:bottom w:val="nil"/>
              <w:right w:val="nil"/>
            </w:tcBorders>
            <w:shd w:val="clear" w:color="auto" w:fill="FFFFFF"/>
            <w:vAlign w:val="top"/>
          </w:tcPr>
          <w:p w14:paraId="02DCD9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1.041(0.100)</w:t>
            </w:r>
          </w:p>
        </w:tc>
      </w:tr>
      <w:tr w14:paraId="1D4A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132CE39F">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Self-paid health check-up</w:t>
            </w:r>
          </w:p>
        </w:tc>
        <w:tc>
          <w:tcPr>
            <w:tcW w:w="1731" w:type="dxa"/>
            <w:tcBorders>
              <w:top w:val="nil"/>
              <w:left w:val="nil"/>
              <w:bottom w:val="nil"/>
              <w:right w:val="nil"/>
            </w:tcBorders>
            <w:shd w:val="clear" w:color="auto" w:fill="FFFFFF"/>
            <w:vAlign w:val="top"/>
          </w:tcPr>
          <w:p w14:paraId="060C58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1.554***(0.149)</w:t>
            </w:r>
          </w:p>
        </w:tc>
        <w:tc>
          <w:tcPr>
            <w:tcW w:w="1731" w:type="dxa"/>
            <w:tcBorders>
              <w:top w:val="nil"/>
              <w:left w:val="nil"/>
              <w:bottom w:val="nil"/>
              <w:right w:val="nil"/>
            </w:tcBorders>
            <w:shd w:val="clear" w:color="auto" w:fill="FFFFFF"/>
            <w:vAlign w:val="top"/>
          </w:tcPr>
          <w:p w14:paraId="455029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1.560***(0.149)</w:t>
            </w:r>
          </w:p>
        </w:tc>
        <w:tc>
          <w:tcPr>
            <w:tcW w:w="1731" w:type="dxa"/>
            <w:tcBorders>
              <w:top w:val="nil"/>
              <w:left w:val="nil"/>
              <w:bottom w:val="nil"/>
              <w:right w:val="nil"/>
            </w:tcBorders>
            <w:shd w:val="clear" w:color="auto" w:fill="FFFFFF"/>
            <w:vAlign w:val="top"/>
          </w:tcPr>
          <w:p w14:paraId="793667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1.554***(0.150)</w:t>
            </w:r>
          </w:p>
        </w:tc>
        <w:tc>
          <w:tcPr>
            <w:tcW w:w="1734" w:type="dxa"/>
            <w:tcBorders>
              <w:top w:val="nil"/>
              <w:left w:val="nil"/>
              <w:bottom w:val="nil"/>
              <w:right w:val="nil"/>
            </w:tcBorders>
            <w:shd w:val="clear" w:color="auto" w:fill="FFFFFF"/>
            <w:vAlign w:val="top"/>
          </w:tcPr>
          <w:p w14:paraId="5568ECC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1.519***(0.148)</w:t>
            </w:r>
          </w:p>
        </w:tc>
      </w:tr>
      <w:tr w14:paraId="0903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446B80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Observations</w:t>
            </w:r>
          </w:p>
        </w:tc>
        <w:tc>
          <w:tcPr>
            <w:tcW w:w="1731" w:type="dxa"/>
            <w:tcBorders>
              <w:top w:val="nil"/>
              <w:left w:val="nil"/>
              <w:bottom w:val="nil"/>
              <w:right w:val="nil"/>
            </w:tcBorders>
            <w:shd w:val="clear" w:color="auto" w:fill="FFFFFF"/>
            <w:vAlign w:val="top"/>
          </w:tcPr>
          <w:p w14:paraId="46F3CD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4,168</w:t>
            </w:r>
          </w:p>
        </w:tc>
        <w:tc>
          <w:tcPr>
            <w:tcW w:w="1731" w:type="dxa"/>
            <w:tcBorders>
              <w:top w:val="nil"/>
              <w:left w:val="nil"/>
              <w:bottom w:val="nil"/>
              <w:right w:val="nil"/>
            </w:tcBorders>
            <w:shd w:val="clear" w:color="auto" w:fill="FFFFFF"/>
            <w:vAlign w:val="top"/>
          </w:tcPr>
          <w:p w14:paraId="0427B8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4,168</w:t>
            </w:r>
          </w:p>
        </w:tc>
        <w:tc>
          <w:tcPr>
            <w:tcW w:w="1731" w:type="dxa"/>
            <w:tcBorders>
              <w:top w:val="nil"/>
              <w:left w:val="nil"/>
              <w:bottom w:val="nil"/>
              <w:right w:val="nil"/>
            </w:tcBorders>
            <w:shd w:val="clear" w:color="auto" w:fill="FFFFFF"/>
            <w:vAlign w:val="top"/>
          </w:tcPr>
          <w:p w14:paraId="78C8A4C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4,168</w:t>
            </w:r>
          </w:p>
        </w:tc>
        <w:tc>
          <w:tcPr>
            <w:tcW w:w="1734" w:type="dxa"/>
            <w:tcBorders>
              <w:top w:val="nil"/>
              <w:left w:val="nil"/>
              <w:bottom w:val="nil"/>
              <w:right w:val="nil"/>
            </w:tcBorders>
            <w:shd w:val="clear" w:color="auto" w:fill="FFFFFF"/>
            <w:vAlign w:val="top"/>
          </w:tcPr>
          <w:p w14:paraId="3F2C8E5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4,168</w:t>
            </w:r>
          </w:p>
        </w:tc>
      </w:tr>
      <w:tr w14:paraId="36A1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818" w:type="dxa"/>
            <w:tcBorders>
              <w:top w:val="nil"/>
              <w:left w:val="nil"/>
              <w:bottom w:val="nil"/>
              <w:right w:val="nil"/>
            </w:tcBorders>
            <w:shd w:val="clear" w:color="auto" w:fill="FFFFFF"/>
            <w:vAlign w:val="center"/>
          </w:tcPr>
          <w:p w14:paraId="6BBD449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bCs/>
                <w:color w:val="000000"/>
                <w:sz w:val="20"/>
                <w:szCs w:val="20"/>
              </w:rPr>
              <w:t>Log of monthly outpatient expenditure(β)</w:t>
            </w:r>
          </w:p>
        </w:tc>
        <w:tc>
          <w:tcPr>
            <w:tcW w:w="1731" w:type="dxa"/>
            <w:tcBorders>
              <w:top w:val="nil"/>
              <w:left w:val="nil"/>
              <w:bottom w:val="nil"/>
              <w:right w:val="nil"/>
            </w:tcBorders>
            <w:shd w:val="clear" w:color="auto" w:fill="FFFFFF"/>
            <w:vAlign w:val="top"/>
          </w:tcPr>
          <w:p w14:paraId="7133B7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41D706C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3028851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4" w:type="dxa"/>
            <w:tcBorders>
              <w:top w:val="nil"/>
              <w:left w:val="nil"/>
              <w:bottom w:val="nil"/>
              <w:right w:val="nil"/>
            </w:tcBorders>
            <w:shd w:val="clear" w:color="auto" w:fill="FFFFFF"/>
            <w:vAlign w:val="top"/>
          </w:tcPr>
          <w:p w14:paraId="517935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r>
      <w:tr w14:paraId="41A8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038F7566">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Free health check-up</w:t>
            </w:r>
          </w:p>
        </w:tc>
        <w:tc>
          <w:tcPr>
            <w:tcW w:w="1731" w:type="dxa"/>
            <w:tcBorders>
              <w:top w:val="nil"/>
              <w:left w:val="nil"/>
              <w:bottom w:val="nil"/>
              <w:right w:val="nil"/>
            </w:tcBorders>
            <w:shd w:val="clear" w:color="auto" w:fill="FFFFFF"/>
            <w:vAlign w:val="top"/>
          </w:tcPr>
          <w:p w14:paraId="3D1E43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-0.037(0.067)</w:t>
            </w:r>
          </w:p>
        </w:tc>
        <w:tc>
          <w:tcPr>
            <w:tcW w:w="1731" w:type="dxa"/>
            <w:tcBorders>
              <w:top w:val="nil"/>
              <w:left w:val="nil"/>
              <w:bottom w:val="nil"/>
              <w:right w:val="nil"/>
            </w:tcBorders>
            <w:shd w:val="clear" w:color="auto" w:fill="FFFFFF"/>
            <w:vAlign w:val="top"/>
          </w:tcPr>
          <w:p w14:paraId="2D6035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-0.038(0.067)</w:t>
            </w:r>
          </w:p>
        </w:tc>
        <w:tc>
          <w:tcPr>
            <w:tcW w:w="1731" w:type="dxa"/>
            <w:tcBorders>
              <w:top w:val="nil"/>
              <w:left w:val="nil"/>
              <w:bottom w:val="nil"/>
              <w:right w:val="nil"/>
            </w:tcBorders>
            <w:shd w:val="clear" w:color="auto" w:fill="FFFFFF"/>
            <w:vAlign w:val="top"/>
          </w:tcPr>
          <w:p w14:paraId="2242596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-0.038(0.067)</w:t>
            </w:r>
          </w:p>
        </w:tc>
        <w:tc>
          <w:tcPr>
            <w:tcW w:w="1734" w:type="dxa"/>
            <w:tcBorders>
              <w:top w:val="nil"/>
              <w:left w:val="nil"/>
              <w:bottom w:val="nil"/>
              <w:right w:val="nil"/>
            </w:tcBorders>
            <w:shd w:val="clear" w:color="auto" w:fill="FFFFFF"/>
            <w:vAlign w:val="top"/>
          </w:tcPr>
          <w:p w14:paraId="5F90D8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-0.054(0.067)</w:t>
            </w:r>
          </w:p>
        </w:tc>
      </w:tr>
      <w:tr w14:paraId="6AAB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2C64B172">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Self-paid health check-up</w:t>
            </w:r>
          </w:p>
        </w:tc>
        <w:tc>
          <w:tcPr>
            <w:tcW w:w="1731" w:type="dxa"/>
            <w:tcBorders>
              <w:top w:val="nil"/>
              <w:left w:val="nil"/>
              <w:bottom w:val="nil"/>
              <w:right w:val="nil"/>
            </w:tcBorders>
            <w:shd w:val="clear" w:color="auto" w:fill="FFFFFF"/>
            <w:vAlign w:val="top"/>
          </w:tcPr>
          <w:p w14:paraId="079CC2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0.294***(0.073)</w:t>
            </w:r>
          </w:p>
        </w:tc>
        <w:tc>
          <w:tcPr>
            <w:tcW w:w="1731" w:type="dxa"/>
            <w:tcBorders>
              <w:top w:val="nil"/>
              <w:left w:val="nil"/>
              <w:bottom w:val="nil"/>
              <w:right w:val="nil"/>
            </w:tcBorders>
            <w:shd w:val="clear" w:color="auto" w:fill="FFFFFF"/>
            <w:vAlign w:val="top"/>
          </w:tcPr>
          <w:p w14:paraId="02A401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0.293***(0.074)</w:t>
            </w:r>
          </w:p>
        </w:tc>
        <w:tc>
          <w:tcPr>
            <w:tcW w:w="1731" w:type="dxa"/>
            <w:tcBorders>
              <w:top w:val="nil"/>
              <w:left w:val="nil"/>
              <w:bottom w:val="nil"/>
              <w:right w:val="nil"/>
            </w:tcBorders>
            <w:shd w:val="clear" w:color="auto" w:fill="FFFFFF"/>
            <w:vAlign w:val="top"/>
          </w:tcPr>
          <w:p w14:paraId="4FA93B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0.290***(0.073)</w:t>
            </w:r>
          </w:p>
        </w:tc>
        <w:tc>
          <w:tcPr>
            <w:tcW w:w="1734" w:type="dxa"/>
            <w:tcBorders>
              <w:top w:val="nil"/>
              <w:left w:val="nil"/>
              <w:bottom w:val="nil"/>
              <w:right w:val="nil"/>
            </w:tcBorders>
            <w:shd w:val="clear" w:color="auto" w:fill="FFFFFF"/>
            <w:vAlign w:val="top"/>
          </w:tcPr>
          <w:p w14:paraId="51FD0B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0.280***(0.073)</w:t>
            </w:r>
          </w:p>
        </w:tc>
      </w:tr>
      <w:tr w14:paraId="7C31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3401479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Observations</w:t>
            </w:r>
          </w:p>
        </w:tc>
        <w:tc>
          <w:tcPr>
            <w:tcW w:w="1731" w:type="dxa"/>
            <w:tcBorders>
              <w:top w:val="nil"/>
              <w:left w:val="nil"/>
              <w:bottom w:val="nil"/>
              <w:right w:val="nil"/>
            </w:tcBorders>
            <w:shd w:val="clear" w:color="auto" w:fill="FFFFFF"/>
            <w:vAlign w:val="top"/>
          </w:tcPr>
          <w:p w14:paraId="4CA2C6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nil"/>
              <w:right w:val="nil"/>
            </w:tcBorders>
            <w:shd w:val="clear" w:color="auto" w:fill="FFFFFF"/>
            <w:vAlign w:val="top"/>
          </w:tcPr>
          <w:p w14:paraId="2FBB45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nil"/>
              <w:right w:val="nil"/>
            </w:tcBorders>
            <w:shd w:val="clear" w:color="auto" w:fill="FFFFFF"/>
            <w:vAlign w:val="top"/>
          </w:tcPr>
          <w:p w14:paraId="144A302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4" w:type="dxa"/>
            <w:tcBorders>
              <w:top w:val="nil"/>
              <w:left w:val="nil"/>
              <w:bottom w:val="nil"/>
              <w:right w:val="nil"/>
            </w:tcBorders>
            <w:shd w:val="clear" w:color="auto" w:fill="FFFFFF"/>
            <w:vAlign w:val="top"/>
          </w:tcPr>
          <w:p w14:paraId="7FAF0F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r>
      <w:tr w14:paraId="54CB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46FDE6D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bCs/>
                <w:color w:val="000000"/>
                <w:sz w:val="20"/>
                <w:szCs w:val="20"/>
              </w:rPr>
              <w:t>Log of annual inpatient expenditure(β)</w:t>
            </w:r>
          </w:p>
        </w:tc>
        <w:tc>
          <w:tcPr>
            <w:tcW w:w="1731" w:type="dxa"/>
            <w:tcBorders>
              <w:top w:val="nil"/>
              <w:left w:val="nil"/>
              <w:bottom w:val="nil"/>
              <w:right w:val="nil"/>
            </w:tcBorders>
            <w:shd w:val="clear" w:color="auto" w:fill="FFFFFF"/>
            <w:vAlign w:val="top"/>
          </w:tcPr>
          <w:p w14:paraId="20C926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456DD2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50581B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4" w:type="dxa"/>
            <w:tcBorders>
              <w:top w:val="nil"/>
              <w:left w:val="nil"/>
              <w:bottom w:val="nil"/>
              <w:right w:val="nil"/>
            </w:tcBorders>
            <w:shd w:val="clear" w:color="auto" w:fill="FFFFFF"/>
            <w:vAlign w:val="top"/>
          </w:tcPr>
          <w:p w14:paraId="0D1D56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r>
      <w:tr w14:paraId="1973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3ACA1A4B">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Free health check-up</w:t>
            </w:r>
          </w:p>
        </w:tc>
        <w:tc>
          <w:tcPr>
            <w:tcW w:w="1731" w:type="dxa"/>
            <w:tcBorders>
              <w:top w:val="nil"/>
              <w:left w:val="nil"/>
              <w:bottom w:val="nil"/>
              <w:right w:val="nil"/>
            </w:tcBorders>
            <w:shd w:val="clear" w:color="auto" w:fill="FFFFFF"/>
            <w:vAlign w:val="top"/>
          </w:tcPr>
          <w:p w14:paraId="39C691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-0.075(0.096)</w:t>
            </w:r>
          </w:p>
        </w:tc>
        <w:tc>
          <w:tcPr>
            <w:tcW w:w="1731" w:type="dxa"/>
            <w:tcBorders>
              <w:top w:val="nil"/>
              <w:left w:val="nil"/>
              <w:bottom w:val="nil"/>
              <w:right w:val="nil"/>
            </w:tcBorders>
            <w:shd w:val="clear" w:color="auto" w:fill="FFFFFF"/>
            <w:vAlign w:val="top"/>
          </w:tcPr>
          <w:p w14:paraId="6D203B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-0.073(0.096)</w:t>
            </w:r>
          </w:p>
        </w:tc>
        <w:tc>
          <w:tcPr>
            <w:tcW w:w="1731" w:type="dxa"/>
            <w:tcBorders>
              <w:top w:val="nil"/>
              <w:left w:val="nil"/>
              <w:bottom w:val="nil"/>
              <w:right w:val="nil"/>
            </w:tcBorders>
            <w:shd w:val="clear" w:color="auto" w:fill="FFFFFF"/>
            <w:vAlign w:val="top"/>
          </w:tcPr>
          <w:p w14:paraId="5535DA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-0.074(0.096)</w:t>
            </w:r>
          </w:p>
        </w:tc>
        <w:tc>
          <w:tcPr>
            <w:tcW w:w="1734" w:type="dxa"/>
            <w:tcBorders>
              <w:top w:val="nil"/>
              <w:left w:val="nil"/>
              <w:bottom w:val="nil"/>
              <w:right w:val="nil"/>
            </w:tcBorders>
            <w:shd w:val="clear" w:color="auto" w:fill="FFFFFF"/>
            <w:vAlign w:val="top"/>
          </w:tcPr>
          <w:p w14:paraId="62D4A1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-0.098(0.095)</w:t>
            </w:r>
          </w:p>
        </w:tc>
      </w:tr>
      <w:tr w14:paraId="3E10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701C9A72">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Self-paid health check-up</w:t>
            </w:r>
          </w:p>
        </w:tc>
        <w:tc>
          <w:tcPr>
            <w:tcW w:w="1731" w:type="dxa"/>
            <w:tcBorders>
              <w:top w:val="nil"/>
              <w:left w:val="nil"/>
              <w:bottom w:val="nil"/>
              <w:right w:val="nil"/>
            </w:tcBorders>
            <w:shd w:val="clear" w:color="auto" w:fill="FFFFFF"/>
            <w:vAlign w:val="top"/>
          </w:tcPr>
          <w:p w14:paraId="5ACFA3D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0.434***(0.101)</w:t>
            </w:r>
          </w:p>
        </w:tc>
        <w:tc>
          <w:tcPr>
            <w:tcW w:w="1731" w:type="dxa"/>
            <w:tcBorders>
              <w:top w:val="nil"/>
              <w:left w:val="nil"/>
              <w:bottom w:val="nil"/>
              <w:right w:val="nil"/>
            </w:tcBorders>
            <w:shd w:val="clear" w:color="auto" w:fill="FFFFFF"/>
            <w:vAlign w:val="top"/>
          </w:tcPr>
          <w:p w14:paraId="39E3F4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0.439***(0.101)</w:t>
            </w:r>
          </w:p>
        </w:tc>
        <w:tc>
          <w:tcPr>
            <w:tcW w:w="1731" w:type="dxa"/>
            <w:tcBorders>
              <w:top w:val="nil"/>
              <w:left w:val="nil"/>
              <w:bottom w:val="nil"/>
              <w:right w:val="nil"/>
            </w:tcBorders>
            <w:shd w:val="clear" w:color="auto" w:fill="FFFFFF"/>
            <w:vAlign w:val="top"/>
          </w:tcPr>
          <w:p w14:paraId="0D7CC1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0.428***(0.100)</w:t>
            </w:r>
          </w:p>
        </w:tc>
        <w:tc>
          <w:tcPr>
            <w:tcW w:w="1734" w:type="dxa"/>
            <w:tcBorders>
              <w:top w:val="nil"/>
              <w:left w:val="nil"/>
              <w:bottom w:val="nil"/>
              <w:right w:val="nil"/>
            </w:tcBorders>
            <w:shd w:val="clear" w:color="auto" w:fill="FFFFFF"/>
            <w:vAlign w:val="top"/>
          </w:tcPr>
          <w:p w14:paraId="3367CD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0.412***(0.099)</w:t>
            </w:r>
          </w:p>
        </w:tc>
      </w:tr>
      <w:tr w14:paraId="79E3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2F184C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Observations</w:t>
            </w:r>
          </w:p>
        </w:tc>
        <w:tc>
          <w:tcPr>
            <w:tcW w:w="1731" w:type="dxa"/>
            <w:tcBorders>
              <w:top w:val="nil"/>
              <w:left w:val="nil"/>
              <w:bottom w:val="nil"/>
              <w:right w:val="nil"/>
            </w:tcBorders>
            <w:shd w:val="clear" w:color="auto" w:fill="FFFFFF"/>
            <w:vAlign w:val="top"/>
          </w:tcPr>
          <w:p w14:paraId="34A538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nil"/>
              <w:right w:val="nil"/>
            </w:tcBorders>
            <w:shd w:val="clear" w:color="auto" w:fill="FFFFFF"/>
            <w:vAlign w:val="top"/>
          </w:tcPr>
          <w:p w14:paraId="61E108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nil"/>
              <w:right w:val="nil"/>
            </w:tcBorders>
            <w:shd w:val="clear" w:color="auto" w:fill="FFFFFF"/>
            <w:vAlign w:val="top"/>
          </w:tcPr>
          <w:p w14:paraId="02C103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4" w:type="dxa"/>
            <w:tcBorders>
              <w:top w:val="nil"/>
              <w:left w:val="nil"/>
              <w:bottom w:val="nil"/>
              <w:right w:val="nil"/>
            </w:tcBorders>
            <w:shd w:val="clear" w:color="auto" w:fill="FFFFFF"/>
            <w:vAlign w:val="top"/>
          </w:tcPr>
          <w:p w14:paraId="6C0B1B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r>
      <w:tr w14:paraId="2EC5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5845D2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rPr>
              <w:t xml:space="preserve">Log of total annual </w:t>
            </w:r>
          </w:p>
          <w:p w14:paraId="287FF1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bCs/>
                <w:color w:val="000000"/>
                <w:sz w:val="20"/>
                <w:szCs w:val="20"/>
              </w:rPr>
              <w:t>medical expenditure(β)</w:t>
            </w:r>
          </w:p>
        </w:tc>
        <w:tc>
          <w:tcPr>
            <w:tcW w:w="1731" w:type="dxa"/>
            <w:tcBorders>
              <w:top w:val="nil"/>
              <w:left w:val="nil"/>
              <w:bottom w:val="nil"/>
              <w:right w:val="nil"/>
            </w:tcBorders>
            <w:shd w:val="clear" w:color="auto" w:fill="FFFFFF"/>
            <w:vAlign w:val="top"/>
          </w:tcPr>
          <w:p w14:paraId="33C55E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126CBCB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1" w:type="dxa"/>
            <w:tcBorders>
              <w:top w:val="nil"/>
              <w:left w:val="nil"/>
              <w:bottom w:val="nil"/>
              <w:right w:val="nil"/>
            </w:tcBorders>
            <w:shd w:val="clear" w:color="auto" w:fill="FFFFFF"/>
            <w:vAlign w:val="top"/>
          </w:tcPr>
          <w:p w14:paraId="222D1ED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c>
          <w:tcPr>
            <w:tcW w:w="1734" w:type="dxa"/>
            <w:tcBorders>
              <w:top w:val="nil"/>
              <w:left w:val="nil"/>
              <w:bottom w:val="nil"/>
              <w:right w:val="nil"/>
            </w:tcBorders>
            <w:shd w:val="clear" w:color="auto" w:fill="FFFFFF"/>
            <w:vAlign w:val="top"/>
          </w:tcPr>
          <w:p w14:paraId="1E87C06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p>
        </w:tc>
      </w:tr>
      <w:tr w14:paraId="2AF1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78EECE7D">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Free health check-up</w:t>
            </w:r>
          </w:p>
        </w:tc>
        <w:tc>
          <w:tcPr>
            <w:tcW w:w="1731" w:type="dxa"/>
            <w:tcBorders>
              <w:top w:val="nil"/>
              <w:left w:val="nil"/>
              <w:bottom w:val="nil"/>
              <w:right w:val="nil"/>
            </w:tcBorders>
            <w:shd w:val="clear" w:color="auto" w:fill="FFFFFF"/>
            <w:vAlign w:val="top"/>
          </w:tcPr>
          <w:p w14:paraId="514DC2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-0.039(0.115)</w:t>
            </w:r>
          </w:p>
        </w:tc>
        <w:tc>
          <w:tcPr>
            <w:tcW w:w="1731" w:type="dxa"/>
            <w:tcBorders>
              <w:top w:val="nil"/>
              <w:left w:val="nil"/>
              <w:bottom w:val="nil"/>
              <w:right w:val="nil"/>
            </w:tcBorders>
            <w:shd w:val="clear" w:color="auto" w:fill="FFFFFF"/>
            <w:vAlign w:val="top"/>
          </w:tcPr>
          <w:p w14:paraId="386776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-0.039(0.115)</w:t>
            </w:r>
          </w:p>
        </w:tc>
        <w:tc>
          <w:tcPr>
            <w:tcW w:w="1731" w:type="dxa"/>
            <w:tcBorders>
              <w:top w:val="nil"/>
              <w:left w:val="nil"/>
              <w:bottom w:val="nil"/>
              <w:right w:val="nil"/>
            </w:tcBorders>
            <w:shd w:val="clear" w:color="auto" w:fill="FFFFFF"/>
            <w:vAlign w:val="top"/>
          </w:tcPr>
          <w:p w14:paraId="442F2E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-0.040(0.114)</w:t>
            </w:r>
          </w:p>
        </w:tc>
        <w:tc>
          <w:tcPr>
            <w:tcW w:w="1734" w:type="dxa"/>
            <w:tcBorders>
              <w:top w:val="nil"/>
              <w:left w:val="nil"/>
              <w:bottom w:val="nil"/>
              <w:right w:val="nil"/>
            </w:tcBorders>
            <w:shd w:val="clear" w:color="auto" w:fill="FFFFFF"/>
            <w:vAlign w:val="top"/>
          </w:tcPr>
          <w:p w14:paraId="70CAC6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-0.074(0.113)</w:t>
            </w:r>
          </w:p>
        </w:tc>
      </w:tr>
      <w:tr w14:paraId="6B82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nil"/>
              <w:right w:val="nil"/>
            </w:tcBorders>
            <w:shd w:val="clear" w:color="auto" w:fill="FFFFFF"/>
            <w:vAlign w:val="center"/>
          </w:tcPr>
          <w:p w14:paraId="6C2E30D6">
            <w:pPr>
              <w:numPr>
                <w:ilvl w:val="0"/>
                <w:numId w:val="0"/>
              </w:numPr>
              <w:spacing w:line="240" w:lineRule="auto"/>
              <w:ind w:left="0" w:leftChars="0" w:firstLine="0" w:firstLineChars="0"/>
              <w:jc w:val="both"/>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Self-paid health check-up</w:t>
            </w:r>
          </w:p>
        </w:tc>
        <w:tc>
          <w:tcPr>
            <w:tcW w:w="1731" w:type="dxa"/>
            <w:tcBorders>
              <w:top w:val="nil"/>
              <w:left w:val="nil"/>
              <w:bottom w:val="nil"/>
              <w:right w:val="nil"/>
            </w:tcBorders>
            <w:shd w:val="clear" w:color="auto" w:fill="FFFFFF"/>
            <w:vAlign w:val="top"/>
          </w:tcPr>
          <w:p w14:paraId="652B3AB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0.624***(0.120)</w:t>
            </w:r>
          </w:p>
        </w:tc>
        <w:tc>
          <w:tcPr>
            <w:tcW w:w="1731" w:type="dxa"/>
            <w:tcBorders>
              <w:top w:val="nil"/>
              <w:left w:val="nil"/>
              <w:bottom w:val="nil"/>
              <w:right w:val="nil"/>
            </w:tcBorders>
            <w:shd w:val="clear" w:color="auto" w:fill="FFFFFF"/>
            <w:vAlign w:val="top"/>
          </w:tcPr>
          <w:p w14:paraId="071714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0.626***(0.120)</w:t>
            </w:r>
          </w:p>
        </w:tc>
        <w:tc>
          <w:tcPr>
            <w:tcW w:w="1731" w:type="dxa"/>
            <w:tcBorders>
              <w:top w:val="nil"/>
              <w:left w:val="nil"/>
              <w:bottom w:val="nil"/>
              <w:right w:val="nil"/>
            </w:tcBorders>
            <w:shd w:val="clear" w:color="auto" w:fill="FFFFFF"/>
            <w:vAlign w:val="top"/>
          </w:tcPr>
          <w:p w14:paraId="5C238B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0.615***(0.120)</w:t>
            </w:r>
          </w:p>
        </w:tc>
        <w:tc>
          <w:tcPr>
            <w:tcW w:w="1734" w:type="dxa"/>
            <w:tcBorders>
              <w:top w:val="nil"/>
              <w:left w:val="nil"/>
              <w:bottom w:val="nil"/>
              <w:right w:val="nil"/>
            </w:tcBorders>
            <w:shd w:val="clear" w:color="auto" w:fill="FFFFFF"/>
            <w:vAlign w:val="top"/>
          </w:tcPr>
          <w:p w14:paraId="325749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0.591***(0.118)</w:t>
            </w:r>
          </w:p>
        </w:tc>
      </w:tr>
      <w:tr w14:paraId="2F65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18" w:type="dxa"/>
            <w:tcBorders>
              <w:top w:val="nil"/>
              <w:left w:val="nil"/>
              <w:bottom w:val="single" w:color="000000" w:sz="12" w:space="0"/>
              <w:right w:val="nil"/>
            </w:tcBorders>
            <w:shd w:val="clear" w:color="auto" w:fill="FFFFFF"/>
            <w:vAlign w:val="center"/>
          </w:tcPr>
          <w:p w14:paraId="34E5EC6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kern w:val="2"/>
                <w:sz w:val="20"/>
                <w:szCs w:val="20"/>
                <w:lang w:val="en-US" w:eastAsia="zh-CN" w:bidi="ar-SA"/>
              </w:rPr>
            </w:pPr>
            <w:r>
              <w:rPr>
                <w:rFonts w:hint="default" w:ascii="Times New Roman" w:hAnsi="Times New Roman" w:eastAsia="宋体" w:cs="Times New Roman"/>
                <w:b w:val="0"/>
                <w:bCs w:val="0"/>
                <w:color w:val="000000"/>
                <w:sz w:val="20"/>
                <w:szCs w:val="20"/>
                <w:highlight w:val="none"/>
                <w:shd w:val="clear" w:color="auto" w:fill="auto"/>
                <w:vertAlign w:val="baseline"/>
                <w:lang w:val="en-US" w:eastAsia="zh-CN"/>
              </w:rPr>
              <w:t>Observations</w:t>
            </w:r>
          </w:p>
        </w:tc>
        <w:tc>
          <w:tcPr>
            <w:tcW w:w="1731" w:type="dxa"/>
            <w:tcBorders>
              <w:top w:val="nil"/>
              <w:left w:val="nil"/>
              <w:bottom w:val="single" w:color="000000" w:sz="12" w:space="0"/>
              <w:right w:val="nil"/>
            </w:tcBorders>
            <w:shd w:val="clear" w:color="auto" w:fill="FFFFFF"/>
            <w:vAlign w:val="top"/>
          </w:tcPr>
          <w:p w14:paraId="20D01F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single" w:color="000000" w:sz="12" w:space="0"/>
              <w:right w:val="nil"/>
            </w:tcBorders>
            <w:shd w:val="clear" w:color="auto" w:fill="FFFFFF"/>
            <w:vAlign w:val="top"/>
          </w:tcPr>
          <w:p w14:paraId="137171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1" w:type="dxa"/>
            <w:tcBorders>
              <w:top w:val="nil"/>
              <w:left w:val="nil"/>
              <w:bottom w:val="single" w:color="000000" w:sz="12" w:space="0"/>
              <w:right w:val="nil"/>
            </w:tcBorders>
            <w:shd w:val="clear" w:color="auto" w:fill="FFFFFF"/>
            <w:vAlign w:val="top"/>
          </w:tcPr>
          <w:p w14:paraId="18BF6F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c>
          <w:tcPr>
            <w:tcW w:w="1734" w:type="dxa"/>
            <w:tcBorders>
              <w:top w:val="nil"/>
              <w:left w:val="nil"/>
              <w:bottom w:val="single" w:color="000000" w:sz="12" w:space="0"/>
              <w:right w:val="nil"/>
            </w:tcBorders>
            <w:shd w:val="clear" w:color="auto" w:fill="FFFFFF"/>
            <w:vAlign w:val="top"/>
          </w:tcPr>
          <w:p w14:paraId="145EBA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13,429</w:t>
            </w:r>
          </w:p>
        </w:tc>
      </w:tr>
    </w:tbl>
    <w:p w14:paraId="0FBE8543">
      <w:pPr>
        <w:spacing w:line="240" w:lineRule="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Notes:</w:t>
      </w:r>
    </w:p>
    <w:p w14:paraId="75F7827A">
      <w:pPr>
        <w:numPr>
          <w:ilvl w:val="0"/>
          <w:numId w:val="0"/>
        </w:numP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eastAsia="zh-CN"/>
        </w:rPr>
        <w:t>The reference group was no health check-up. Columns (1)–(4) present sequential model specifications: (1) includes individual and year fixed effects only; (2) adds predisposing characteristics; (3) adds enabling resources; and (4) further adds need factors. For binary outcomes, odds ratios from conditional fixed-effects logistic regressions are reported. For expenditure outcomes, coefficients from two-way fixed-effects linear regressions are reported. Robust standard errors clustered at the individual level are shown in parentheses.</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rPr>
        <w:t>*p&lt;0.1, **p&lt;0.05, ***p&lt;0.01.</w:t>
      </w:r>
    </w:p>
    <w:p w14:paraId="7CA780E8">
      <w:pPr>
        <w:numPr>
          <w:ilvl w:val="0"/>
          <w:numId w:val="0"/>
        </w:numPr>
        <w:rPr>
          <w:rFonts w:hint="eastAsia" w:ascii="Times New Roman" w:hAnsi="Times New Roman" w:eastAsia="宋体" w:cs="Times New Roman"/>
          <w:sz w:val="20"/>
          <w:szCs w:val="20"/>
          <w:lang w:val="en-US" w:eastAsia="zh-CN"/>
        </w:rPr>
      </w:pPr>
    </w:p>
    <w:p w14:paraId="5E3701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1" w:lineRule="atLeast"/>
        <w:ind w:left="0" w:right="0"/>
        <w:rPr>
          <w:rFonts w:hint="eastAsia" w:ascii="Times New Roman" w:hAnsi="Times New Roman" w:cs="Times New Roman"/>
          <w:b/>
          <w:bCs/>
          <w:color w:val="000000"/>
          <w:sz w:val="20"/>
          <w:szCs w:val="20"/>
          <w:highlight w:val="none"/>
          <w:lang w:val="en-US" w:eastAsia="zh-CN"/>
        </w:rPr>
      </w:pPr>
      <w:r>
        <w:rPr>
          <w:rFonts w:hint="default" w:ascii="Times New Roman" w:hAnsi="Times New Roman" w:cs="Times New Roman"/>
          <w:b/>
          <w:bCs/>
          <w:color w:val="000000"/>
          <w:sz w:val="20"/>
          <w:szCs w:val="20"/>
          <w:highlight w:val="none"/>
          <w:lang w:val="en-US" w:eastAsia="zh-CN"/>
        </w:rPr>
        <w:t xml:space="preserve">Table </w:t>
      </w:r>
      <w:r>
        <w:rPr>
          <w:rFonts w:hint="eastAsia" w:ascii="Times New Roman" w:hAnsi="Times New Roman" w:cs="Times New Roman"/>
          <w:b/>
          <w:bCs/>
          <w:color w:val="000000"/>
          <w:sz w:val="20"/>
          <w:szCs w:val="20"/>
          <w:highlight w:val="none"/>
          <w:lang w:val="en-US" w:eastAsia="zh-CN"/>
        </w:rPr>
        <w:t>S4.</w:t>
      </w:r>
    </w:p>
    <w:p w14:paraId="3CEC92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1" w:lineRule="atLeast"/>
        <w:ind w:left="0" w:right="0"/>
        <w:rPr>
          <w:rFonts w:hint="default" w:ascii="Times New Roman" w:hAnsi="Times New Roman" w:cs="Times New Roman"/>
          <w:color w:val="000000"/>
          <w:sz w:val="20"/>
          <w:szCs w:val="20"/>
          <w:highlight w:val="none"/>
          <w:lang w:val="en-US" w:eastAsia="zh-CN"/>
        </w:rPr>
      </w:pPr>
      <w:r>
        <w:rPr>
          <w:rFonts w:hint="default" w:ascii="Times New Roman" w:hAnsi="Times New Roman" w:cs="Times New Roman"/>
          <w:color w:val="000000"/>
          <w:sz w:val="20"/>
          <w:szCs w:val="20"/>
          <w:highlight w:val="none"/>
          <w:lang w:val="en-US" w:eastAsia="zh-CN"/>
        </w:rPr>
        <w:t>Robustness checks using alternative estimators for healthcare utilization outcomes</w:t>
      </w:r>
      <w:r>
        <w:rPr>
          <w:rFonts w:hint="eastAsia" w:ascii="Times New Roman" w:hAnsi="Times New Roman" w:cs="Times New Roman"/>
          <w:color w:val="000000"/>
          <w:sz w:val="20"/>
          <w:szCs w:val="20"/>
          <w:highlight w:val="none"/>
          <w:lang w:val="en-US" w:eastAsia="zh-CN"/>
        </w:rPr>
        <w:t xml:space="preserve"> </w:t>
      </w:r>
      <w:r>
        <w:rPr>
          <w:rFonts w:hint="default" w:ascii="Times New Roman" w:hAnsi="Times New Roman" w:cs="Times New Roman"/>
          <w:color w:val="000000"/>
          <w:sz w:val="20"/>
          <w:szCs w:val="20"/>
          <w:highlight w:val="none"/>
          <w:lang w:val="en-US" w:eastAsia="zh-CN"/>
        </w:rPr>
        <w:t>(FE-LPM for binary outcomes and FE-OLS for continuous outcomes)</w:t>
      </w:r>
    </w:p>
    <w:tbl>
      <w:tblPr>
        <w:tblStyle w:val="3"/>
        <w:tblpPr w:leftFromText="180" w:rightFromText="180" w:vertAnchor="text" w:horzAnchor="page" w:tblpX="482" w:tblpY="253"/>
        <w:tblOverlap w:val="never"/>
        <w:tblW w:w="10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9"/>
        <w:gridCol w:w="1645"/>
        <w:gridCol w:w="1645"/>
        <w:gridCol w:w="1645"/>
        <w:gridCol w:w="1645"/>
        <w:gridCol w:w="1647"/>
      </w:tblGrid>
      <w:tr w14:paraId="0B8E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single" w:color="000000" w:sz="12" w:space="0"/>
              <w:left w:val="nil"/>
              <w:bottom w:val="single" w:color="000000" w:sz="4" w:space="0"/>
              <w:right w:val="nil"/>
              <w:tl2br w:val="nil"/>
            </w:tcBorders>
            <w:shd w:val="clear" w:color="auto" w:fill="FFFFFF"/>
          </w:tcPr>
          <w:p w14:paraId="611F7AB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kern w:val="2"/>
                <w:sz w:val="20"/>
                <w:szCs w:val="20"/>
                <w:highlight w:val="none"/>
                <w:vertAlign w:val="baseline"/>
                <w:lang w:val="en-US" w:eastAsia="zh-CN" w:bidi="ar-SA"/>
              </w:rPr>
            </w:pPr>
          </w:p>
        </w:tc>
        <w:tc>
          <w:tcPr>
            <w:tcW w:w="1645" w:type="dxa"/>
            <w:tcBorders>
              <w:top w:val="single" w:color="000000" w:sz="12" w:space="0"/>
              <w:left w:val="nil"/>
              <w:bottom w:val="single" w:color="000000" w:sz="4" w:space="0"/>
              <w:right w:val="nil"/>
            </w:tcBorders>
            <w:shd w:val="clear" w:color="auto" w:fill="FFFFFF"/>
            <w:vAlign w:val="center"/>
          </w:tcPr>
          <w:p w14:paraId="57CACF67">
            <w:pPr>
              <w:spacing w:line="240" w:lineRule="auto"/>
              <w:jc w:val="center"/>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rPr>
              <w:t>Monthly outpatient visit(FE-LPM)</w:t>
            </w:r>
          </w:p>
        </w:tc>
        <w:tc>
          <w:tcPr>
            <w:tcW w:w="1645" w:type="dxa"/>
            <w:tcBorders>
              <w:top w:val="single" w:color="000000" w:sz="12" w:space="0"/>
              <w:left w:val="nil"/>
              <w:bottom w:val="single" w:color="000000" w:sz="4" w:space="0"/>
              <w:right w:val="nil"/>
            </w:tcBorders>
            <w:shd w:val="clear" w:color="auto" w:fill="FFFFFF"/>
            <w:vAlign w:val="center"/>
          </w:tcPr>
          <w:p w14:paraId="4398ACAC">
            <w:pPr>
              <w:spacing w:line="240" w:lineRule="auto"/>
              <w:jc w:val="center"/>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rPr>
              <w:t>Annual hospital admission(FE-LPM)</w:t>
            </w:r>
          </w:p>
        </w:tc>
        <w:tc>
          <w:tcPr>
            <w:tcW w:w="1645" w:type="dxa"/>
            <w:tcBorders>
              <w:top w:val="single" w:color="000000" w:sz="12" w:space="0"/>
              <w:left w:val="nil"/>
              <w:bottom w:val="single" w:color="000000" w:sz="4" w:space="0"/>
              <w:right w:val="nil"/>
            </w:tcBorders>
            <w:shd w:val="clear" w:color="auto" w:fill="FFFFFF"/>
            <w:vAlign w:val="center"/>
          </w:tcPr>
          <w:p w14:paraId="779D2D5F">
            <w:pPr>
              <w:spacing w:line="240" w:lineRule="auto"/>
              <w:jc w:val="center"/>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rPr>
              <w:t>Log of monthly outpatient expenditure(FE-OLS)</w:t>
            </w:r>
          </w:p>
        </w:tc>
        <w:tc>
          <w:tcPr>
            <w:tcW w:w="1645" w:type="dxa"/>
            <w:tcBorders>
              <w:top w:val="single" w:color="000000" w:sz="12" w:space="0"/>
              <w:left w:val="nil"/>
              <w:bottom w:val="single" w:color="000000" w:sz="4" w:space="0"/>
              <w:right w:val="nil"/>
            </w:tcBorders>
            <w:shd w:val="clear" w:color="auto" w:fill="FFFFFF"/>
            <w:vAlign w:val="center"/>
          </w:tcPr>
          <w:p w14:paraId="13D5BA73">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rPr>
              <w:t>Log of annual inpatient expenditure(FE-OLS)</w:t>
            </w:r>
          </w:p>
        </w:tc>
        <w:tc>
          <w:tcPr>
            <w:tcW w:w="1647" w:type="dxa"/>
            <w:tcBorders>
              <w:top w:val="single" w:color="000000" w:sz="12" w:space="0"/>
              <w:left w:val="nil"/>
              <w:bottom w:val="single" w:color="000000" w:sz="4" w:space="0"/>
              <w:right w:val="nil"/>
            </w:tcBorders>
            <w:shd w:val="clear" w:color="auto" w:fill="FFFFFF"/>
            <w:vAlign w:val="center"/>
          </w:tcPr>
          <w:p w14:paraId="3E417412">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rPr>
              <w:t>Log of total annual medical expenditure(FE-OLS)</w:t>
            </w:r>
          </w:p>
        </w:tc>
      </w:tr>
      <w:tr w14:paraId="046C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single" w:color="000000" w:sz="4" w:space="0"/>
              <w:left w:val="nil"/>
              <w:bottom w:val="nil"/>
              <w:right w:val="nil"/>
            </w:tcBorders>
            <w:shd w:val="clear" w:color="auto" w:fill="FFFFFF"/>
            <w:vAlign w:val="center"/>
          </w:tcPr>
          <w:p w14:paraId="486ADF44">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Free health check-up</w:t>
            </w:r>
          </w:p>
        </w:tc>
        <w:tc>
          <w:tcPr>
            <w:tcW w:w="1645" w:type="dxa"/>
            <w:tcBorders>
              <w:top w:val="single" w:color="000000" w:sz="4" w:space="0"/>
              <w:left w:val="nil"/>
              <w:bottom w:val="nil"/>
              <w:right w:val="nil"/>
            </w:tcBorders>
            <w:shd w:val="clear" w:color="auto" w:fill="FFFFFF"/>
            <w:vAlign w:val="center"/>
          </w:tcPr>
          <w:p w14:paraId="42F871F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-0.003 (0.011)</w:t>
            </w:r>
          </w:p>
        </w:tc>
        <w:tc>
          <w:tcPr>
            <w:tcW w:w="1645" w:type="dxa"/>
            <w:tcBorders>
              <w:top w:val="single" w:color="000000" w:sz="4" w:space="0"/>
              <w:left w:val="nil"/>
              <w:bottom w:val="nil"/>
              <w:right w:val="nil"/>
            </w:tcBorders>
            <w:shd w:val="clear" w:color="auto" w:fill="FFFFFF"/>
            <w:vAlign w:val="center"/>
          </w:tcPr>
          <w:p w14:paraId="24D4D720">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-0.002 (0.011)</w:t>
            </w:r>
          </w:p>
        </w:tc>
        <w:tc>
          <w:tcPr>
            <w:tcW w:w="1645" w:type="dxa"/>
            <w:tcBorders>
              <w:top w:val="single" w:color="000000" w:sz="4" w:space="0"/>
              <w:left w:val="nil"/>
              <w:bottom w:val="nil"/>
              <w:right w:val="nil"/>
            </w:tcBorders>
            <w:shd w:val="clear" w:color="auto" w:fill="FFFFFF"/>
            <w:vAlign w:val="center"/>
          </w:tcPr>
          <w:p w14:paraId="6C85C18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-0.054 (0.067)</w:t>
            </w:r>
          </w:p>
        </w:tc>
        <w:tc>
          <w:tcPr>
            <w:tcW w:w="1645" w:type="dxa"/>
            <w:tcBorders>
              <w:top w:val="single" w:color="000000" w:sz="4" w:space="0"/>
              <w:left w:val="nil"/>
              <w:bottom w:val="nil"/>
              <w:right w:val="nil"/>
            </w:tcBorders>
            <w:shd w:val="clear" w:color="auto" w:fill="FFFFFF"/>
            <w:vAlign w:val="center"/>
          </w:tcPr>
          <w:p w14:paraId="30251758">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-0.098 (0.095)</w:t>
            </w:r>
          </w:p>
        </w:tc>
        <w:tc>
          <w:tcPr>
            <w:tcW w:w="1647" w:type="dxa"/>
            <w:tcBorders>
              <w:top w:val="single" w:color="000000" w:sz="4" w:space="0"/>
              <w:left w:val="nil"/>
              <w:bottom w:val="nil"/>
              <w:right w:val="nil"/>
            </w:tcBorders>
            <w:shd w:val="clear" w:color="auto" w:fill="FFFFFF"/>
            <w:vAlign w:val="center"/>
          </w:tcPr>
          <w:p w14:paraId="6B758C0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-0.074 (0.113)</w:t>
            </w:r>
          </w:p>
        </w:tc>
      </w:tr>
      <w:tr w14:paraId="69D8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3FC91AF3">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Self-paid health check-up</w:t>
            </w:r>
          </w:p>
        </w:tc>
        <w:tc>
          <w:tcPr>
            <w:tcW w:w="1645" w:type="dxa"/>
            <w:tcBorders>
              <w:top w:val="nil"/>
              <w:left w:val="nil"/>
              <w:bottom w:val="nil"/>
              <w:right w:val="nil"/>
            </w:tcBorders>
            <w:shd w:val="clear" w:color="auto" w:fill="FFFFFF"/>
            <w:vAlign w:val="center"/>
          </w:tcPr>
          <w:p w14:paraId="634E591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0.026** (0.012)</w:t>
            </w:r>
          </w:p>
        </w:tc>
        <w:tc>
          <w:tcPr>
            <w:tcW w:w="1645" w:type="dxa"/>
            <w:tcBorders>
              <w:top w:val="nil"/>
              <w:left w:val="nil"/>
              <w:bottom w:val="nil"/>
              <w:right w:val="nil"/>
            </w:tcBorders>
            <w:shd w:val="clear" w:color="auto" w:fill="FFFFFF"/>
            <w:vAlign w:val="center"/>
          </w:tcPr>
          <w:p w14:paraId="73F2C4D9">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0.048*** (0.011)</w:t>
            </w:r>
          </w:p>
        </w:tc>
        <w:tc>
          <w:tcPr>
            <w:tcW w:w="1645" w:type="dxa"/>
            <w:tcBorders>
              <w:top w:val="nil"/>
              <w:left w:val="nil"/>
              <w:bottom w:val="nil"/>
              <w:right w:val="nil"/>
            </w:tcBorders>
            <w:shd w:val="clear" w:color="auto" w:fill="FFFFFF"/>
            <w:vAlign w:val="center"/>
          </w:tcPr>
          <w:p w14:paraId="2723CA8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0.280*** (0.073)</w:t>
            </w:r>
          </w:p>
        </w:tc>
        <w:tc>
          <w:tcPr>
            <w:tcW w:w="1645" w:type="dxa"/>
            <w:tcBorders>
              <w:top w:val="nil"/>
              <w:left w:val="nil"/>
              <w:bottom w:val="nil"/>
              <w:right w:val="nil"/>
            </w:tcBorders>
            <w:shd w:val="clear" w:color="auto" w:fill="FFFFFF"/>
            <w:vAlign w:val="center"/>
          </w:tcPr>
          <w:p w14:paraId="425A657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0.412*** (0.099)</w:t>
            </w:r>
          </w:p>
        </w:tc>
        <w:tc>
          <w:tcPr>
            <w:tcW w:w="1647" w:type="dxa"/>
            <w:tcBorders>
              <w:top w:val="nil"/>
              <w:left w:val="nil"/>
              <w:bottom w:val="nil"/>
              <w:right w:val="nil"/>
            </w:tcBorders>
            <w:shd w:val="clear" w:color="auto" w:fill="FFFFFF"/>
            <w:vAlign w:val="center"/>
          </w:tcPr>
          <w:p w14:paraId="3BF5F49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0.591*** (0.118)</w:t>
            </w:r>
          </w:p>
        </w:tc>
      </w:tr>
      <w:tr w14:paraId="2D56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7EB4A0AC">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Age 71–75 years</w:t>
            </w:r>
          </w:p>
        </w:tc>
        <w:tc>
          <w:tcPr>
            <w:tcW w:w="1645" w:type="dxa"/>
            <w:tcBorders>
              <w:top w:val="nil"/>
              <w:left w:val="nil"/>
              <w:bottom w:val="nil"/>
              <w:right w:val="nil"/>
            </w:tcBorders>
            <w:shd w:val="clear" w:color="auto" w:fill="FFFFFF"/>
            <w:vAlign w:val="center"/>
          </w:tcPr>
          <w:p w14:paraId="01DA0D2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-0.004 (0.015)</w:t>
            </w:r>
          </w:p>
        </w:tc>
        <w:tc>
          <w:tcPr>
            <w:tcW w:w="1645" w:type="dxa"/>
            <w:tcBorders>
              <w:top w:val="nil"/>
              <w:left w:val="nil"/>
              <w:bottom w:val="nil"/>
              <w:right w:val="nil"/>
            </w:tcBorders>
            <w:shd w:val="clear" w:color="auto" w:fill="FFFFFF"/>
            <w:vAlign w:val="center"/>
          </w:tcPr>
          <w:p w14:paraId="1E401D6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-0.017 (0.014)</w:t>
            </w:r>
          </w:p>
        </w:tc>
        <w:tc>
          <w:tcPr>
            <w:tcW w:w="1645" w:type="dxa"/>
            <w:tcBorders>
              <w:top w:val="nil"/>
              <w:left w:val="nil"/>
              <w:bottom w:val="nil"/>
              <w:right w:val="nil"/>
            </w:tcBorders>
            <w:shd w:val="clear" w:color="auto" w:fill="FFFFFF"/>
            <w:vAlign w:val="center"/>
          </w:tcPr>
          <w:p w14:paraId="164E306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-0.067 (0.088)</w:t>
            </w:r>
          </w:p>
        </w:tc>
        <w:tc>
          <w:tcPr>
            <w:tcW w:w="1645" w:type="dxa"/>
            <w:tcBorders>
              <w:top w:val="nil"/>
              <w:left w:val="nil"/>
              <w:bottom w:val="nil"/>
              <w:right w:val="nil"/>
            </w:tcBorders>
            <w:shd w:val="clear" w:color="auto" w:fill="FFFFFF"/>
            <w:vAlign w:val="center"/>
          </w:tcPr>
          <w:p w14:paraId="48CA93A0">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-0.082 (0.118)</w:t>
            </w:r>
          </w:p>
        </w:tc>
        <w:tc>
          <w:tcPr>
            <w:tcW w:w="1647" w:type="dxa"/>
            <w:tcBorders>
              <w:top w:val="nil"/>
              <w:left w:val="nil"/>
              <w:bottom w:val="nil"/>
              <w:right w:val="nil"/>
            </w:tcBorders>
            <w:shd w:val="clear" w:color="auto" w:fill="FFFFFF"/>
            <w:vAlign w:val="center"/>
          </w:tcPr>
          <w:p w14:paraId="641EBA9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-0.116 (0.142)</w:t>
            </w:r>
          </w:p>
        </w:tc>
      </w:tr>
      <w:tr w14:paraId="6BA3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030121DE">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Age ≥76 years</w:t>
            </w:r>
          </w:p>
        </w:tc>
        <w:tc>
          <w:tcPr>
            <w:tcW w:w="1645" w:type="dxa"/>
            <w:tcBorders>
              <w:top w:val="nil"/>
              <w:left w:val="nil"/>
              <w:bottom w:val="nil"/>
              <w:right w:val="nil"/>
            </w:tcBorders>
            <w:shd w:val="clear" w:color="auto" w:fill="FFFFFF"/>
            <w:vAlign w:val="center"/>
          </w:tcPr>
          <w:p w14:paraId="50DD66D0">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-0.016 (0.026)</w:t>
            </w:r>
          </w:p>
        </w:tc>
        <w:tc>
          <w:tcPr>
            <w:tcW w:w="1645" w:type="dxa"/>
            <w:tcBorders>
              <w:top w:val="nil"/>
              <w:left w:val="nil"/>
              <w:bottom w:val="nil"/>
              <w:right w:val="nil"/>
            </w:tcBorders>
            <w:shd w:val="clear" w:color="auto" w:fill="FFFFFF"/>
            <w:vAlign w:val="center"/>
          </w:tcPr>
          <w:p w14:paraId="276314D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-0.017 (0.024)</w:t>
            </w:r>
          </w:p>
        </w:tc>
        <w:tc>
          <w:tcPr>
            <w:tcW w:w="1645" w:type="dxa"/>
            <w:tcBorders>
              <w:top w:val="nil"/>
              <w:left w:val="nil"/>
              <w:bottom w:val="nil"/>
              <w:right w:val="nil"/>
            </w:tcBorders>
            <w:shd w:val="clear" w:color="auto" w:fill="FFFFFF"/>
            <w:vAlign w:val="center"/>
          </w:tcPr>
          <w:p w14:paraId="6CB6C16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-0.159 (0.158)</w:t>
            </w:r>
          </w:p>
        </w:tc>
        <w:tc>
          <w:tcPr>
            <w:tcW w:w="1645" w:type="dxa"/>
            <w:tcBorders>
              <w:top w:val="nil"/>
              <w:left w:val="nil"/>
              <w:bottom w:val="nil"/>
              <w:right w:val="nil"/>
            </w:tcBorders>
            <w:shd w:val="clear" w:color="auto" w:fill="FFFFFF"/>
            <w:vAlign w:val="center"/>
          </w:tcPr>
          <w:p w14:paraId="2776E471">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-0.025 (0.211)</w:t>
            </w:r>
          </w:p>
        </w:tc>
        <w:tc>
          <w:tcPr>
            <w:tcW w:w="1647" w:type="dxa"/>
            <w:tcBorders>
              <w:top w:val="nil"/>
              <w:left w:val="nil"/>
              <w:bottom w:val="nil"/>
              <w:right w:val="nil"/>
            </w:tcBorders>
            <w:shd w:val="clear" w:color="auto" w:fill="FFFFFF"/>
            <w:vAlign w:val="center"/>
          </w:tcPr>
          <w:p w14:paraId="229CB46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-0.203 (0.256)</w:t>
            </w:r>
          </w:p>
        </w:tc>
      </w:tr>
      <w:tr w14:paraId="63B1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4BEEE156">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Married</w:t>
            </w:r>
          </w:p>
        </w:tc>
        <w:tc>
          <w:tcPr>
            <w:tcW w:w="1645" w:type="dxa"/>
            <w:tcBorders>
              <w:top w:val="nil"/>
              <w:left w:val="nil"/>
              <w:bottom w:val="nil"/>
              <w:right w:val="nil"/>
            </w:tcBorders>
            <w:shd w:val="clear" w:color="auto" w:fill="FFFFFF"/>
            <w:vAlign w:val="center"/>
          </w:tcPr>
          <w:p w14:paraId="4266EB7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0.006 (0.022)</w:t>
            </w:r>
          </w:p>
        </w:tc>
        <w:tc>
          <w:tcPr>
            <w:tcW w:w="1645" w:type="dxa"/>
            <w:tcBorders>
              <w:top w:val="nil"/>
              <w:left w:val="nil"/>
              <w:bottom w:val="nil"/>
              <w:right w:val="nil"/>
            </w:tcBorders>
            <w:shd w:val="clear" w:color="auto" w:fill="FFFFFF"/>
            <w:vAlign w:val="center"/>
          </w:tcPr>
          <w:p w14:paraId="2B0EF8B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0.046** (0.021)</w:t>
            </w:r>
          </w:p>
        </w:tc>
        <w:tc>
          <w:tcPr>
            <w:tcW w:w="1645" w:type="dxa"/>
            <w:tcBorders>
              <w:top w:val="nil"/>
              <w:left w:val="nil"/>
              <w:bottom w:val="nil"/>
              <w:right w:val="nil"/>
            </w:tcBorders>
            <w:shd w:val="clear" w:color="auto" w:fill="FFFFFF"/>
            <w:vAlign w:val="center"/>
          </w:tcPr>
          <w:p w14:paraId="6120BD1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0.004 (0.140)</w:t>
            </w:r>
          </w:p>
        </w:tc>
        <w:tc>
          <w:tcPr>
            <w:tcW w:w="1645" w:type="dxa"/>
            <w:tcBorders>
              <w:top w:val="nil"/>
              <w:left w:val="nil"/>
              <w:bottom w:val="nil"/>
              <w:right w:val="nil"/>
            </w:tcBorders>
            <w:shd w:val="clear" w:color="auto" w:fill="FFFFFF"/>
            <w:vAlign w:val="center"/>
          </w:tcPr>
          <w:p w14:paraId="608432D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0.233 (0.183)</w:t>
            </w:r>
          </w:p>
        </w:tc>
        <w:tc>
          <w:tcPr>
            <w:tcW w:w="1647" w:type="dxa"/>
            <w:tcBorders>
              <w:top w:val="nil"/>
              <w:left w:val="nil"/>
              <w:bottom w:val="nil"/>
              <w:right w:val="nil"/>
            </w:tcBorders>
            <w:shd w:val="clear" w:color="auto" w:fill="FFFFFF"/>
            <w:vAlign w:val="center"/>
          </w:tcPr>
          <w:p w14:paraId="62F97DE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0.190 (0.228)</w:t>
            </w:r>
          </w:p>
        </w:tc>
      </w:tr>
      <w:tr w14:paraId="0BF4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5DB089EA">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Health insurance coverage</w:t>
            </w:r>
          </w:p>
        </w:tc>
        <w:tc>
          <w:tcPr>
            <w:tcW w:w="1645" w:type="dxa"/>
            <w:tcBorders>
              <w:top w:val="nil"/>
              <w:left w:val="nil"/>
              <w:bottom w:val="nil"/>
              <w:right w:val="nil"/>
            </w:tcBorders>
            <w:shd w:val="clear" w:color="auto" w:fill="FFFFFF"/>
            <w:vAlign w:val="center"/>
          </w:tcPr>
          <w:p w14:paraId="5BD29170">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0.004 (0.018)</w:t>
            </w:r>
          </w:p>
        </w:tc>
        <w:tc>
          <w:tcPr>
            <w:tcW w:w="1645" w:type="dxa"/>
            <w:tcBorders>
              <w:top w:val="nil"/>
              <w:left w:val="nil"/>
              <w:bottom w:val="nil"/>
              <w:right w:val="nil"/>
            </w:tcBorders>
            <w:shd w:val="clear" w:color="auto" w:fill="FFFFFF"/>
            <w:vAlign w:val="center"/>
          </w:tcPr>
          <w:p w14:paraId="723DBF0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0.055*** (0.015)</w:t>
            </w:r>
          </w:p>
        </w:tc>
        <w:tc>
          <w:tcPr>
            <w:tcW w:w="1645" w:type="dxa"/>
            <w:tcBorders>
              <w:top w:val="nil"/>
              <w:left w:val="nil"/>
              <w:bottom w:val="nil"/>
              <w:right w:val="nil"/>
            </w:tcBorders>
            <w:shd w:val="clear" w:color="auto" w:fill="FFFFFF"/>
            <w:vAlign w:val="center"/>
          </w:tcPr>
          <w:p w14:paraId="502E3E6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0.072 (0.108)</w:t>
            </w:r>
          </w:p>
        </w:tc>
        <w:tc>
          <w:tcPr>
            <w:tcW w:w="1645" w:type="dxa"/>
            <w:tcBorders>
              <w:top w:val="nil"/>
              <w:left w:val="nil"/>
              <w:bottom w:val="nil"/>
              <w:right w:val="nil"/>
            </w:tcBorders>
            <w:shd w:val="clear" w:color="auto" w:fill="FFFFFF"/>
            <w:vAlign w:val="center"/>
          </w:tcPr>
          <w:p w14:paraId="58DD2BA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0.370*** (0.135)</w:t>
            </w:r>
          </w:p>
        </w:tc>
        <w:tc>
          <w:tcPr>
            <w:tcW w:w="1647" w:type="dxa"/>
            <w:tcBorders>
              <w:top w:val="nil"/>
              <w:left w:val="nil"/>
              <w:bottom w:val="nil"/>
              <w:right w:val="nil"/>
            </w:tcBorders>
            <w:shd w:val="clear" w:color="auto" w:fill="FFFFFF"/>
            <w:vAlign w:val="center"/>
          </w:tcPr>
          <w:p w14:paraId="6D25DEE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0.329* (0.172)</w:t>
            </w:r>
          </w:p>
        </w:tc>
      </w:tr>
      <w:tr w14:paraId="4AEA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7BDB0982">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Log of per capita household consumption</w:t>
            </w:r>
          </w:p>
        </w:tc>
        <w:tc>
          <w:tcPr>
            <w:tcW w:w="1645" w:type="dxa"/>
            <w:tcBorders>
              <w:top w:val="nil"/>
              <w:left w:val="nil"/>
              <w:bottom w:val="nil"/>
              <w:right w:val="nil"/>
            </w:tcBorders>
            <w:shd w:val="clear" w:color="auto" w:fill="FFFFFF"/>
            <w:vAlign w:val="center"/>
          </w:tcPr>
          <w:p w14:paraId="1282C4A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0.012** (0.005)</w:t>
            </w:r>
          </w:p>
        </w:tc>
        <w:tc>
          <w:tcPr>
            <w:tcW w:w="1645" w:type="dxa"/>
            <w:tcBorders>
              <w:top w:val="nil"/>
              <w:left w:val="nil"/>
              <w:bottom w:val="nil"/>
              <w:right w:val="nil"/>
            </w:tcBorders>
            <w:shd w:val="clear" w:color="auto" w:fill="FFFFFF"/>
            <w:vAlign w:val="center"/>
          </w:tcPr>
          <w:p w14:paraId="173E2D3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0.027***(0.005)</w:t>
            </w:r>
          </w:p>
        </w:tc>
        <w:tc>
          <w:tcPr>
            <w:tcW w:w="1645" w:type="dxa"/>
            <w:tcBorders>
              <w:top w:val="nil"/>
              <w:left w:val="nil"/>
              <w:bottom w:val="nil"/>
              <w:right w:val="nil"/>
            </w:tcBorders>
            <w:shd w:val="clear" w:color="auto" w:fill="FFFFFF"/>
            <w:vAlign w:val="center"/>
          </w:tcPr>
          <w:p w14:paraId="47C4FF6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0.085*** (0.028)</w:t>
            </w:r>
          </w:p>
        </w:tc>
        <w:tc>
          <w:tcPr>
            <w:tcW w:w="1645" w:type="dxa"/>
            <w:tcBorders>
              <w:top w:val="nil"/>
              <w:left w:val="nil"/>
              <w:bottom w:val="nil"/>
              <w:right w:val="nil"/>
            </w:tcBorders>
            <w:shd w:val="clear" w:color="auto" w:fill="FFFFFF"/>
            <w:vAlign w:val="center"/>
          </w:tcPr>
          <w:p w14:paraId="255F5A1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0.307*** (0.045)</w:t>
            </w:r>
          </w:p>
        </w:tc>
        <w:tc>
          <w:tcPr>
            <w:tcW w:w="1647" w:type="dxa"/>
            <w:tcBorders>
              <w:top w:val="nil"/>
              <w:left w:val="nil"/>
              <w:bottom w:val="nil"/>
              <w:right w:val="nil"/>
            </w:tcBorders>
            <w:shd w:val="clear" w:color="auto" w:fill="FFFFFF"/>
            <w:vAlign w:val="center"/>
          </w:tcPr>
          <w:p w14:paraId="42B8428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0.323*** (0.051)</w:t>
            </w:r>
          </w:p>
        </w:tc>
      </w:tr>
      <w:tr w14:paraId="45AD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4D704E40">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Self-rated health: fair</w:t>
            </w:r>
          </w:p>
        </w:tc>
        <w:tc>
          <w:tcPr>
            <w:tcW w:w="1645" w:type="dxa"/>
            <w:tcBorders>
              <w:top w:val="nil"/>
              <w:left w:val="nil"/>
              <w:bottom w:val="nil"/>
              <w:right w:val="nil"/>
            </w:tcBorders>
            <w:shd w:val="clear" w:color="auto" w:fill="FFFFFF"/>
            <w:vAlign w:val="center"/>
          </w:tcPr>
          <w:p w14:paraId="1D8ADC71">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-0.052***(0.013)</w:t>
            </w:r>
          </w:p>
        </w:tc>
        <w:tc>
          <w:tcPr>
            <w:tcW w:w="1645" w:type="dxa"/>
            <w:tcBorders>
              <w:top w:val="nil"/>
              <w:left w:val="nil"/>
              <w:bottom w:val="nil"/>
              <w:right w:val="nil"/>
            </w:tcBorders>
            <w:shd w:val="clear" w:color="auto" w:fill="FFFFFF"/>
            <w:vAlign w:val="center"/>
          </w:tcPr>
          <w:p w14:paraId="3AAFD03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-0.069***(0.012)</w:t>
            </w:r>
          </w:p>
        </w:tc>
        <w:tc>
          <w:tcPr>
            <w:tcW w:w="1645" w:type="dxa"/>
            <w:tcBorders>
              <w:top w:val="nil"/>
              <w:left w:val="nil"/>
              <w:bottom w:val="nil"/>
              <w:right w:val="nil"/>
            </w:tcBorders>
            <w:shd w:val="clear" w:color="auto" w:fill="FFFFFF"/>
            <w:vAlign w:val="center"/>
          </w:tcPr>
          <w:p w14:paraId="522F3F6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-0.415***(0.081)</w:t>
            </w:r>
          </w:p>
        </w:tc>
        <w:tc>
          <w:tcPr>
            <w:tcW w:w="1645" w:type="dxa"/>
            <w:tcBorders>
              <w:top w:val="nil"/>
              <w:left w:val="nil"/>
              <w:bottom w:val="nil"/>
              <w:right w:val="nil"/>
            </w:tcBorders>
            <w:shd w:val="clear" w:color="auto" w:fill="FFFFFF"/>
            <w:vAlign w:val="center"/>
          </w:tcPr>
          <w:p w14:paraId="031CE03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-0.667***(0.108)</w:t>
            </w:r>
          </w:p>
        </w:tc>
        <w:tc>
          <w:tcPr>
            <w:tcW w:w="1647" w:type="dxa"/>
            <w:tcBorders>
              <w:top w:val="nil"/>
              <w:left w:val="nil"/>
              <w:bottom w:val="nil"/>
              <w:right w:val="nil"/>
            </w:tcBorders>
            <w:shd w:val="clear" w:color="auto" w:fill="FFFFFF"/>
            <w:vAlign w:val="center"/>
          </w:tcPr>
          <w:p w14:paraId="13F205B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-0.869***(0.130)</w:t>
            </w:r>
          </w:p>
        </w:tc>
      </w:tr>
      <w:tr w14:paraId="75F9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131FBE9A">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Self-rated health: good</w:t>
            </w:r>
          </w:p>
        </w:tc>
        <w:tc>
          <w:tcPr>
            <w:tcW w:w="1645" w:type="dxa"/>
            <w:tcBorders>
              <w:top w:val="nil"/>
              <w:left w:val="nil"/>
              <w:bottom w:val="nil"/>
              <w:right w:val="nil"/>
            </w:tcBorders>
            <w:shd w:val="clear" w:color="auto" w:fill="FFFFFF"/>
            <w:vAlign w:val="center"/>
          </w:tcPr>
          <w:p w14:paraId="645DC83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-0.083***(0.016)</w:t>
            </w:r>
          </w:p>
        </w:tc>
        <w:tc>
          <w:tcPr>
            <w:tcW w:w="1645" w:type="dxa"/>
            <w:tcBorders>
              <w:top w:val="nil"/>
              <w:left w:val="nil"/>
              <w:bottom w:val="nil"/>
              <w:right w:val="nil"/>
            </w:tcBorders>
            <w:shd w:val="clear" w:color="auto" w:fill="FFFFFF"/>
            <w:vAlign w:val="center"/>
          </w:tcPr>
          <w:p w14:paraId="0E331CC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-0.107***(0.016)</w:t>
            </w:r>
          </w:p>
        </w:tc>
        <w:tc>
          <w:tcPr>
            <w:tcW w:w="1645" w:type="dxa"/>
            <w:tcBorders>
              <w:top w:val="nil"/>
              <w:left w:val="nil"/>
              <w:bottom w:val="nil"/>
              <w:right w:val="nil"/>
            </w:tcBorders>
            <w:shd w:val="clear" w:color="auto" w:fill="FFFFFF"/>
            <w:vAlign w:val="center"/>
          </w:tcPr>
          <w:p w14:paraId="537A513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-0.581***(0.094)</w:t>
            </w:r>
          </w:p>
        </w:tc>
        <w:tc>
          <w:tcPr>
            <w:tcW w:w="1645" w:type="dxa"/>
            <w:tcBorders>
              <w:top w:val="nil"/>
              <w:left w:val="nil"/>
              <w:bottom w:val="nil"/>
              <w:right w:val="nil"/>
            </w:tcBorders>
            <w:shd w:val="clear" w:color="auto" w:fill="FFFFFF"/>
            <w:vAlign w:val="center"/>
          </w:tcPr>
          <w:p w14:paraId="3E726AE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-0.983***(0.135)</w:t>
            </w:r>
          </w:p>
        </w:tc>
        <w:tc>
          <w:tcPr>
            <w:tcW w:w="1647" w:type="dxa"/>
            <w:tcBorders>
              <w:top w:val="nil"/>
              <w:left w:val="nil"/>
              <w:bottom w:val="nil"/>
              <w:right w:val="nil"/>
            </w:tcBorders>
            <w:shd w:val="clear" w:color="auto" w:fill="FFFFFF"/>
            <w:vAlign w:val="center"/>
          </w:tcPr>
          <w:p w14:paraId="4889B35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-1.359***(0.163)</w:t>
            </w:r>
          </w:p>
        </w:tc>
      </w:tr>
      <w:tr w14:paraId="64CE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721597FE">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One chronic disease</w:t>
            </w:r>
          </w:p>
        </w:tc>
        <w:tc>
          <w:tcPr>
            <w:tcW w:w="1645" w:type="dxa"/>
            <w:tcBorders>
              <w:top w:val="nil"/>
              <w:left w:val="nil"/>
              <w:bottom w:val="nil"/>
              <w:right w:val="nil"/>
            </w:tcBorders>
            <w:shd w:val="clear" w:color="auto" w:fill="FFFFFF"/>
            <w:vAlign w:val="center"/>
          </w:tcPr>
          <w:p w14:paraId="2B7B9DF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0.012 (0.017)</w:t>
            </w:r>
          </w:p>
        </w:tc>
        <w:tc>
          <w:tcPr>
            <w:tcW w:w="1645" w:type="dxa"/>
            <w:tcBorders>
              <w:top w:val="nil"/>
              <w:left w:val="nil"/>
              <w:bottom w:val="nil"/>
              <w:right w:val="nil"/>
            </w:tcBorders>
            <w:shd w:val="clear" w:color="auto" w:fill="FFFFFF"/>
            <w:vAlign w:val="center"/>
          </w:tcPr>
          <w:p w14:paraId="217C65C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-0.023 (0.016)</w:t>
            </w:r>
          </w:p>
        </w:tc>
        <w:tc>
          <w:tcPr>
            <w:tcW w:w="1645" w:type="dxa"/>
            <w:tcBorders>
              <w:top w:val="nil"/>
              <w:left w:val="nil"/>
              <w:bottom w:val="nil"/>
              <w:right w:val="nil"/>
            </w:tcBorders>
            <w:shd w:val="clear" w:color="auto" w:fill="FFFFFF"/>
            <w:vAlign w:val="center"/>
          </w:tcPr>
          <w:p w14:paraId="520FD6B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0.096 (0.100)</w:t>
            </w:r>
          </w:p>
        </w:tc>
        <w:tc>
          <w:tcPr>
            <w:tcW w:w="1645" w:type="dxa"/>
            <w:tcBorders>
              <w:top w:val="nil"/>
              <w:left w:val="nil"/>
              <w:bottom w:val="nil"/>
              <w:right w:val="nil"/>
            </w:tcBorders>
            <w:shd w:val="clear" w:color="auto" w:fill="FFFFFF"/>
            <w:vAlign w:val="center"/>
          </w:tcPr>
          <w:p w14:paraId="2D0048A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-0.195 (0.140)</w:t>
            </w:r>
          </w:p>
        </w:tc>
        <w:tc>
          <w:tcPr>
            <w:tcW w:w="1647" w:type="dxa"/>
            <w:tcBorders>
              <w:top w:val="nil"/>
              <w:left w:val="nil"/>
              <w:bottom w:val="nil"/>
              <w:right w:val="nil"/>
            </w:tcBorders>
            <w:shd w:val="clear" w:color="auto" w:fill="FFFFFF"/>
            <w:vAlign w:val="center"/>
          </w:tcPr>
          <w:p w14:paraId="63BDCD7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-0.050 (0.170)</w:t>
            </w:r>
          </w:p>
        </w:tc>
      </w:tr>
      <w:tr w14:paraId="0BF8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544494F4">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Multiple chronic diseases</w:t>
            </w:r>
          </w:p>
        </w:tc>
        <w:tc>
          <w:tcPr>
            <w:tcW w:w="1645" w:type="dxa"/>
            <w:tcBorders>
              <w:top w:val="nil"/>
              <w:left w:val="nil"/>
              <w:bottom w:val="nil"/>
              <w:right w:val="nil"/>
            </w:tcBorders>
            <w:shd w:val="clear" w:color="auto" w:fill="FFFFFF"/>
            <w:vAlign w:val="center"/>
          </w:tcPr>
          <w:p w14:paraId="3C4B9E0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0.038* (0.020)</w:t>
            </w:r>
          </w:p>
        </w:tc>
        <w:tc>
          <w:tcPr>
            <w:tcW w:w="1645" w:type="dxa"/>
            <w:tcBorders>
              <w:top w:val="nil"/>
              <w:left w:val="nil"/>
              <w:bottom w:val="nil"/>
              <w:right w:val="nil"/>
            </w:tcBorders>
            <w:shd w:val="clear" w:color="auto" w:fill="FFFFFF"/>
            <w:vAlign w:val="center"/>
          </w:tcPr>
          <w:p w14:paraId="52BEEAF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0.051*** (0.019)</w:t>
            </w:r>
          </w:p>
        </w:tc>
        <w:tc>
          <w:tcPr>
            <w:tcW w:w="1645" w:type="dxa"/>
            <w:tcBorders>
              <w:top w:val="nil"/>
              <w:left w:val="nil"/>
              <w:bottom w:val="nil"/>
              <w:right w:val="nil"/>
            </w:tcBorders>
            <w:shd w:val="clear" w:color="auto" w:fill="FFFFFF"/>
            <w:vAlign w:val="center"/>
          </w:tcPr>
          <w:p w14:paraId="26C6B20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0.252** (0.115)</w:t>
            </w:r>
          </w:p>
        </w:tc>
        <w:tc>
          <w:tcPr>
            <w:tcW w:w="1645" w:type="dxa"/>
            <w:tcBorders>
              <w:top w:val="nil"/>
              <w:left w:val="nil"/>
              <w:bottom w:val="nil"/>
              <w:right w:val="nil"/>
            </w:tcBorders>
            <w:shd w:val="clear" w:color="auto" w:fill="FFFFFF"/>
            <w:vAlign w:val="center"/>
          </w:tcPr>
          <w:p w14:paraId="4C76619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0.425** (0.166)</w:t>
            </w:r>
          </w:p>
        </w:tc>
        <w:tc>
          <w:tcPr>
            <w:tcW w:w="1647" w:type="dxa"/>
            <w:tcBorders>
              <w:top w:val="nil"/>
              <w:left w:val="nil"/>
              <w:bottom w:val="nil"/>
              <w:right w:val="nil"/>
            </w:tcBorders>
            <w:shd w:val="clear" w:color="auto" w:fill="FFFFFF"/>
            <w:vAlign w:val="center"/>
          </w:tcPr>
          <w:p w14:paraId="49A3038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0.624*** (0.196)</w:t>
            </w:r>
          </w:p>
        </w:tc>
      </w:tr>
      <w:tr w14:paraId="451F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282F81E5">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Drinking habit</w:t>
            </w:r>
          </w:p>
        </w:tc>
        <w:tc>
          <w:tcPr>
            <w:tcW w:w="1645" w:type="dxa"/>
            <w:tcBorders>
              <w:top w:val="nil"/>
              <w:left w:val="nil"/>
              <w:bottom w:val="nil"/>
              <w:right w:val="nil"/>
            </w:tcBorders>
            <w:shd w:val="clear" w:color="auto" w:fill="FFFFFF"/>
            <w:vAlign w:val="center"/>
          </w:tcPr>
          <w:p w14:paraId="4FA00579">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-0.013 (0.015)</w:t>
            </w:r>
          </w:p>
        </w:tc>
        <w:tc>
          <w:tcPr>
            <w:tcW w:w="1645" w:type="dxa"/>
            <w:tcBorders>
              <w:top w:val="nil"/>
              <w:left w:val="nil"/>
              <w:bottom w:val="nil"/>
              <w:right w:val="nil"/>
            </w:tcBorders>
            <w:shd w:val="clear" w:color="auto" w:fill="FFFFFF"/>
            <w:vAlign w:val="center"/>
          </w:tcPr>
          <w:p w14:paraId="3D47158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-0.045***(0.014)</w:t>
            </w:r>
          </w:p>
        </w:tc>
        <w:tc>
          <w:tcPr>
            <w:tcW w:w="1645" w:type="dxa"/>
            <w:tcBorders>
              <w:top w:val="nil"/>
              <w:left w:val="nil"/>
              <w:bottom w:val="nil"/>
              <w:right w:val="nil"/>
            </w:tcBorders>
            <w:shd w:val="clear" w:color="auto" w:fill="FFFFFF"/>
            <w:vAlign w:val="center"/>
          </w:tcPr>
          <w:p w14:paraId="556B748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-0.117 (0.089)</w:t>
            </w:r>
          </w:p>
        </w:tc>
        <w:tc>
          <w:tcPr>
            <w:tcW w:w="1645" w:type="dxa"/>
            <w:tcBorders>
              <w:top w:val="nil"/>
              <w:left w:val="nil"/>
              <w:bottom w:val="nil"/>
              <w:right w:val="nil"/>
            </w:tcBorders>
            <w:shd w:val="clear" w:color="auto" w:fill="FFFFFF"/>
            <w:vAlign w:val="center"/>
          </w:tcPr>
          <w:p w14:paraId="3D7C5AF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-0.418***(0.121)</w:t>
            </w:r>
          </w:p>
        </w:tc>
        <w:tc>
          <w:tcPr>
            <w:tcW w:w="1647" w:type="dxa"/>
            <w:tcBorders>
              <w:top w:val="nil"/>
              <w:left w:val="nil"/>
              <w:bottom w:val="nil"/>
              <w:right w:val="nil"/>
            </w:tcBorders>
            <w:shd w:val="clear" w:color="auto" w:fill="FFFFFF"/>
            <w:vAlign w:val="center"/>
          </w:tcPr>
          <w:p w14:paraId="1BD1E46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-0.389***(0.147)</w:t>
            </w:r>
          </w:p>
        </w:tc>
      </w:tr>
      <w:tr w14:paraId="5A76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7D5556DF">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Smoking habit</w:t>
            </w:r>
          </w:p>
        </w:tc>
        <w:tc>
          <w:tcPr>
            <w:tcW w:w="1645" w:type="dxa"/>
            <w:tcBorders>
              <w:top w:val="nil"/>
              <w:left w:val="nil"/>
              <w:bottom w:val="nil"/>
              <w:right w:val="nil"/>
            </w:tcBorders>
            <w:shd w:val="clear" w:color="auto" w:fill="FFFFFF"/>
            <w:vAlign w:val="center"/>
          </w:tcPr>
          <w:p w14:paraId="25AAAD48">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-0.040* (0.022)</w:t>
            </w:r>
          </w:p>
        </w:tc>
        <w:tc>
          <w:tcPr>
            <w:tcW w:w="1645" w:type="dxa"/>
            <w:tcBorders>
              <w:top w:val="nil"/>
              <w:left w:val="nil"/>
              <w:bottom w:val="nil"/>
              <w:right w:val="nil"/>
            </w:tcBorders>
            <w:shd w:val="clear" w:color="auto" w:fill="FFFFFF"/>
            <w:vAlign w:val="center"/>
          </w:tcPr>
          <w:p w14:paraId="6C5CA08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-0.081***(0.021)</w:t>
            </w:r>
          </w:p>
        </w:tc>
        <w:tc>
          <w:tcPr>
            <w:tcW w:w="1645" w:type="dxa"/>
            <w:tcBorders>
              <w:top w:val="nil"/>
              <w:left w:val="nil"/>
              <w:bottom w:val="nil"/>
              <w:right w:val="nil"/>
            </w:tcBorders>
            <w:shd w:val="clear" w:color="auto" w:fill="FFFFFF"/>
            <w:vAlign w:val="center"/>
          </w:tcPr>
          <w:p w14:paraId="10CE55B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-0.434***(0.141)</w:t>
            </w:r>
          </w:p>
        </w:tc>
        <w:tc>
          <w:tcPr>
            <w:tcW w:w="1645" w:type="dxa"/>
            <w:tcBorders>
              <w:top w:val="nil"/>
              <w:left w:val="nil"/>
              <w:bottom w:val="nil"/>
              <w:right w:val="nil"/>
            </w:tcBorders>
            <w:shd w:val="clear" w:color="auto" w:fill="FFFFFF"/>
            <w:vAlign w:val="center"/>
          </w:tcPr>
          <w:p w14:paraId="02EE877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-0.872***(0.195)</w:t>
            </w:r>
          </w:p>
        </w:tc>
        <w:tc>
          <w:tcPr>
            <w:tcW w:w="1647" w:type="dxa"/>
            <w:tcBorders>
              <w:top w:val="nil"/>
              <w:left w:val="nil"/>
              <w:bottom w:val="nil"/>
              <w:right w:val="nil"/>
            </w:tcBorders>
            <w:shd w:val="clear" w:color="auto" w:fill="FFFFFF"/>
            <w:vAlign w:val="center"/>
          </w:tcPr>
          <w:p w14:paraId="55F9845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-1.115***(0.223)</w:t>
            </w:r>
          </w:p>
        </w:tc>
      </w:tr>
      <w:tr w14:paraId="1ED4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5BCA01FE">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Physical activity</w:t>
            </w:r>
          </w:p>
        </w:tc>
        <w:tc>
          <w:tcPr>
            <w:tcW w:w="1645" w:type="dxa"/>
            <w:tcBorders>
              <w:top w:val="nil"/>
              <w:left w:val="nil"/>
              <w:bottom w:val="nil"/>
              <w:right w:val="nil"/>
            </w:tcBorders>
            <w:shd w:val="clear" w:color="auto" w:fill="FFFFFF"/>
            <w:vAlign w:val="center"/>
          </w:tcPr>
          <w:p w14:paraId="1A5D8379">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0.003 (0.010)</w:t>
            </w:r>
          </w:p>
        </w:tc>
        <w:tc>
          <w:tcPr>
            <w:tcW w:w="1645" w:type="dxa"/>
            <w:tcBorders>
              <w:top w:val="nil"/>
              <w:left w:val="nil"/>
              <w:bottom w:val="nil"/>
              <w:right w:val="nil"/>
            </w:tcBorders>
            <w:shd w:val="clear" w:color="auto" w:fill="FFFFFF"/>
            <w:vAlign w:val="center"/>
          </w:tcPr>
          <w:p w14:paraId="543991A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-0.008 (0.010)</w:t>
            </w:r>
          </w:p>
        </w:tc>
        <w:tc>
          <w:tcPr>
            <w:tcW w:w="1645" w:type="dxa"/>
            <w:tcBorders>
              <w:top w:val="nil"/>
              <w:left w:val="nil"/>
              <w:bottom w:val="nil"/>
              <w:right w:val="nil"/>
            </w:tcBorders>
            <w:shd w:val="clear" w:color="auto" w:fill="FFFFFF"/>
            <w:vAlign w:val="center"/>
          </w:tcPr>
          <w:p w14:paraId="238D317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0.002 (0.063)</w:t>
            </w:r>
          </w:p>
        </w:tc>
        <w:tc>
          <w:tcPr>
            <w:tcW w:w="1645" w:type="dxa"/>
            <w:tcBorders>
              <w:top w:val="nil"/>
              <w:left w:val="nil"/>
              <w:bottom w:val="nil"/>
              <w:right w:val="nil"/>
            </w:tcBorders>
            <w:shd w:val="clear" w:color="auto" w:fill="FFFFFF"/>
            <w:vAlign w:val="center"/>
          </w:tcPr>
          <w:p w14:paraId="11E1F9F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-0.057 (0.088)</w:t>
            </w:r>
          </w:p>
        </w:tc>
        <w:tc>
          <w:tcPr>
            <w:tcW w:w="1647" w:type="dxa"/>
            <w:tcBorders>
              <w:top w:val="nil"/>
              <w:left w:val="nil"/>
              <w:bottom w:val="nil"/>
              <w:right w:val="nil"/>
            </w:tcBorders>
            <w:shd w:val="clear" w:color="auto" w:fill="FFFFFF"/>
            <w:vAlign w:val="center"/>
          </w:tcPr>
          <w:p w14:paraId="17EE8DD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-0.029 (0.104)</w:t>
            </w:r>
          </w:p>
        </w:tc>
      </w:tr>
      <w:tr w14:paraId="19AC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6681AFA0">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Depression risk</w:t>
            </w:r>
          </w:p>
        </w:tc>
        <w:tc>
          <w:tcPr>
            <w:tcW w:w="1645" w:type="dxa"/>
            <w:tcBorders>
              <w:top w:val="nil"/>
              <w:left w:val="nil"/>
              <w:bottom w:val="nil"/>
              <w:right w:val="nil"/>
            </w:tcBorders>
            <w:shd w:val="clear" w:color="auto" w:fill="FFFFFF"/>
            <w:vAlign w:val="center"/>
          </w:tcPr>
          <w:p w14:paraId="258257B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0.012 (0.011)</w:t>
            </w:r>
          </w:p>
        </w:tc>
        <w:tc>
          <w:tcPr>
            <w:tcW w:w="1645" w:type="dxa"/>
            <w:tcBorders>
              <w:top w:val="nil"/>
              <w:left w:val="nil"/>
              <w:bottom w:val="nil"/>
              <w:right w:val="nil"/>
            </w:tcBorders>
            <w:shd w:val="clear" w:color="auto" w:fill="FFFFFF"/>
            <w:vAlign w:val="center"/>
          </w:tcPr>
          <w:p w14:paraId="419F234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0.024** (0.011)</w:t>
            </w:r>
          </w:p>
        </w:tc>
        <w:tc>
          <w:tcPr>
            <w:tcW w:w="1645" w:type="dxa"/>
            <w:tcBorders>
              <w:top w:val="nil"/>
              <w:left w:val="nil"/>
              <w:bottom w:val="nil"/>
              <w:right w:val="nil"/>
            </w:tcBorders>
            <w:shd w:val="clear" w:color="auto" w:fill="FFFFFF"/>
            <w:vAlign w:val="center"/>
          </w:tcPr>
          <w:p w14:paraId="1CAF7FB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0.110* (0.066)</w:t>
            </w:r>
          </w:p>
        </w:tc>
        <w:tc>
          <w:tcPr>
            <w:tcW w:w="1645" w:type="dxa"/>
            <w:tcBorders>
              <w:top w:val="nil"/>
              <w:left w:val="nil"/>
              <w:bottom w:val="nil"/>
              <w:right w:val="nil"/>
            </w:tcBorders>
            <w:shd w:val="clear" w:color="auto" w:fill="FFFFFF"/>
            <w:vAlign w:val="center"/>
          </w:tcPr>
          <w:p w14:paraId="734D2C41">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0.221** (0.094)</w:t>
            </w:r>
          </w:p>
        </w:tc>
        <w:tc>
          <w:tcPr>
            <w:tcW w:w="1647" w:type="dxa"/>
            <w:tcBorders>
              <w:top w:val="nil"/>
              <w:left w:val="nil"/>
              <w:bottom w:val="nil"/>
              <w:right w:val="nil"/>
            </w:tcBorders>
            <w:shd w:val="clear" w:color="auto" w:fill="FFFFFF"/>
            <w:vAlign w:val="center"/>
          </w:tcPr>
          <w:p w14:paraId="5F8CDC1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0.341*** (0.112)</w:t>
            </w:r>
          </w:p>
        </w:tc>
      </w:tr>
      <w:tr w14:paraId="3390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6486684C">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2013.year</w:t>
            </w:r>
          </w:p>
        </w:tc>
        <w:tc>
          <w:tcPr>
            <w:tcW w:w="1645" w:type="dxa"/>
            <w:tcBorders>
              <w:top w:val="nil"/>
              <w:left w:val="nil"/>
              <w:bottom w:val="nil"/>
              <w:right w:val="nil"/>
            </w:tcBorders>
            <w:shd w:val="clear" w:color="auto" w:fill="FFFFFF"/>
            <w:vAlign w:val="center"/>
          </w:tcPr>
          <w:p w14:paraId="0E4B7DD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0.027** (0.012)</w:t>
            </w:r>
          </w:p>
        </w:tc>
        <w:tc>
          <w:tcPr>
            <w:tcW w:w="1645" w:type="dxa"/>
            <w:tcBorders>
              <w:top w:val="nil"/>
              <w:left w:val="nil"/>
              <w:bottom w:val="nil"/>
              <w:right w:val="nil"/>
            </w:tcBorders>
            <w:shd w:val="clear" w:color="auto" w:fill="FFFFFF"/>
            <w:vAlign w:val="center"/>
          </w:tcPr>
          <w:p w14:paraId="28AAB99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0.063*** (0.011)</w:t>
            </w:r>
          </w:p>
        </w:tc>
        <w:tc>
          <w:tcPr>
            <w:tcW w:w="1645" w:type="dxa"/>
            <w:tcBorders>
              <w:top w:val="nil"/>
              <w:left w:val="nil"/>
              <w:bottom w:val="nil"/>
              <w:right w:val="nil"/>
            </w:tcBorders>
            <w:shd w:val="clear" w:color="auto" w:fill="FFFFFF"/>
            <w:vAlign w:val="center"/>
          </w:tcPr>
          <w:p w14:paraId="7A9DF027">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0.312*** (0.071)</w:t>
            </w:r>
          </w:p>
        </w:tc>
        <w:tc>
          <w:tcPr>
            <w:tcW w:w="1645" w:type="dxa"/>
            <w:tcBorders>
              <w:top w:val="nil"/>
              <w:left w:val="nil"/>
              <w:bottom w:val="nil"/>
              <w:right w:val="nil"/>
            </w:tcBorders>
            <w:shd w:val="clear" w:color="auto" w:fill="FFFFFF"/>
            <w:vAlign w:val="center"/>
          </w:tcPr>
          <w:p w14:paraId="6F3E10B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0.489*** (0.093)</w:t>
            </w:r>
          </w:p>
        </w:tc>
        <w:tc>
          <w:tcPr>
            <w:tcW w:w="1647" w:type="dxa"/>
            <w:tcBorders>
              <w:top w:val="nil"/>
              <w:left w:val="nil"/>
              <w:bottom w:val="nil"/>
              <w:right w:val="nil"/>
            </w:tcBorders>
            <w:shd w:val="clear" w:color="auto" w:fill="FFFFFF"/>
            <w:vAlign w:val="center"/>
          </w:tcPr>
          <w:p w14:paraId="17A46D0A">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0.702*** (0.116)</w:t>
            </w:r>
          </w:p>
        </w:tc>
      </w:tr>
      <w:tr w14:paraId="5C94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49C356F7">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2015.year</w:t>
            </w:r>
          </w:p>
        </w:tc>
        <w:tc>
          <w:tcPr>
            <w:tcW w:w="1645" w:type="dxa"/>
            <w:tcBorders>
              <w:top w:val="nil"/>
              <w:left w:val="nil"/>
              <w:bottom w:val="nil"/>
              <w:right w:val="nil"/>
            </w:tcBorders>
            <w:shd w:val="clear" w:color="auto" w:fill="FFFFFF"/>
            <w:vAlign w:val="center"/>
          </w:tcPr>
          <w:p w14:paraId="52AF44E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0.002 (0.014)</w:t>
            </w:r>
          </w:p>
        </w:tc>
        <w:tc>
          <w:tcPr>
            <w:tcW w:w="1645" w:type="dxa"/>
            <w:tcBorders>
              <w:top w:val="nil"/>
              <w:left w:val="nil"/>
              <w:bottom w:val="nil"/>
              <w:right w:val="nil"/>
            </w:tcBorders>
            <w:shd w:val="clear" w:color="auto" w:fill="FFFFFF"/>
            <w:vAlign w:val="center"/>
          </w:tcPr>
          <w:p w14:paraId="3F20B11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0.091*** (0.013)</w:t>
            </w:r>
          </w:p>
        </w:tc>
        <w:tc>
          <w:tcPr>
            <w:tcW w:w="1645" w:type="dxa"/>
            <w:tcBorders>
              <w:top w:val="nil"/>
              <w:left w:val="nil"/>
              <w:bottom w:val="nil"/>
              <w:right w:val="nil"/>
            </w:tcBorders>
            <w:shd w:val="clear" w:color="auto" w:fill="FFFFFF"/>
            <w:vAlign w:val="center"/>
          </w:tcPr>
          <w:p w14:paraId="1765E45D">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0.217** (0.087)</w:t>
            </w:r>
          </w:p>
        </w:tc>
        <w:tc>
          <w:tcPr>
            <w:tcW w:w="1645" w:type="dxa"/>
            <w:tcBorders>
              <w:top w:val="nil"/>
              <w:left w:val="nil"/>
              <w:bottom w:val="nil"/>
              <w:right w:val="nil"/>
            </w:tcBorders>
            <w:shd w:val="clear" w:color="auto" w:fill="FFFFFF"/>
            <w:vAlign w:val="center"/>
          </w:tcPr>
          <w:p w14:paraId="050ABDF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0.736*** (0.113)</w:t>
            </w:r>
          </w:p>
        </w:tc>
        <w:tc>
          <w:tcPr>
            <w:tcW w:w="1647" w:type="dxa"/>
            <w:tcBorders>
              <w:top w:val="nil"/>
              <w:left w:val="nil"/>
              <w:bottom w:val="nil"/>
              <w:right w:val="nil"/>
            </w:tcBorders>
            <w:shd w:val="clear" w:color="auto" w:fill="FFFFFF"/>
            <w:vAlign w:val="center"/>
          </w:tcPr>
          <w:p w14:paraId="56538E5B">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0.736*** (0.138)</w:t>
            </w:r>
          </w:p>
        </w:tc>
      </w:tr>
      <w:tr w14:paraId="1141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nil"/>
              <w:right w:val="nil"/>
            </w:tcBorders>
            <w:shd w:val="clear" w:color="auto" w:fill="FFFFFF"/>
            <w:vAlign w:val="center"/>
          </w:tcPr>
          <w:p w14:paraId="0B8B8856">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2018.year</w:t>
            </w:r>
          </w:p>
        </w:tc>
        <w:tc>
          <w:tcPr>
            <w:tcW w:w="1645" w:type="dxa"/>
            <w:tcBorders>
              <w:top w:val="nil"/>
              <w:left w:val="nil"/>
              <w:bottom w:val="nil"/>
              <w:right w:val="nil"/>
            </w:tcBorders>
            <w:shd w:val="clear" w:color="auto" w:fill="FFFFFF"/>
            <w:vAlign w:val="center"/>
          </w:tcPr>
          <w:p w14:paraId="4F9F5B01">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-0.038* (0.020)</w:t>
            </w:r>
          </w:p>
        </w:tc>
        <w:tc>
          <w:tcPr>
            <w:tcW w:w="1645" w:type="dxa"/>
            <w:tcBorders>
              <w:top w:val="nil"/>
              <w:left w:val="nil"/>
              <w:bottom w:val="nil"/>
              <w:right w:val="nil"/>
            </w:tcBorders>
            <w:shd w:val="clear" w:color="auto" w:fill="FFFFFF"/>
            <w:vAlign w:val="center"/>
          </w:tcPr>
          <w:p w14:paraId="4B4BDDEE">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0.143*** (0.019)</w:t>
            </w:r>
          </w:p>
        </w:tc>
        <w:tc>
          <w:tcPr>
            <w:tcW w:w="1645" w:type="dxa"/>
            <w:tcBorders>
              <w:top w:val="nil"/>
              <w:left w:val="nil"/>
              <w:bottom w:val="nil"/>
              <w:right w:val="nil"/>
            </w:tcBorders>
            <w:shd w:val="clear" w:color="auto" w:fill="FFFFFF"/>
            <w:vAlign w:val="center"/>
          </w:tcPr>
          <w:p w14:paraId="04EE69E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0.020 (0.117)</w:t>
            </w:r>
          </w:p>
        </w:tc>
        <w:tc>
          <w:tcPr>
            <w:tcW w:w="1645" w:type="dxa"/>
            <w:tcBorders>
              <w:top w:val="nil"/>
              <w:left w:val="nil"/>
              <w:bottom w:val="nil"/>
              <w:right w:val="nil"/>
            </w:tcBorders>
            <w:shd w:val="clear" w:color="auto" w:fill="FFFFFF"/>
            <w:vAlign w:val="center"/>
          </w:tcPr>
          <w:p w14:paraId="448E9324">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1.177*** (0.161)</w:t>
            </w:r>
          </w:p>
        </w:tc>
        <w:tc>
          <w:tcPr>
            <w:tcW w:w="1647" w:type="dxa"/>
            <w:tcBorders>
              <w:top w:val="nil"/>
              <w:left w:val="nil"/>
              <w:bottom w:val="nil"/>
              <w:right w:val="nil"/>
            </w:tcBorders>
            <w:shd w:val="clear" w:color="auto" w:fill="FFFFFF"/>
            <w:vAlign w:val="center"/>
          </w:tcPr>
          <w:p w14:paraId="6D457863">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0.888*** (0.195)</w:t>
            </w:r>
          </w:p>
        </w:tc>
      </w:tr>
      <w:tr w14:paraId="6F77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tcBorders>
              <w:top w:val="nil"/>
              <w:left w:val="nil"/>
              <w:bottom w:val="single" w:color="000000" w:sz="12" w:space="0"/>
              <w:right w:val="nil"/>
            </w:tcBorders>
            <w:shd w:val="clear" w:color="auto" w:fill="FFFFFF"/>
            <w:vAlign w:val="center"/>
          </w:tcPr>
          <w:p w14:paraId="55688344">
            <w:pPr>
              <w:spacing w:line="240" w:lineRule="auto"/>
              <w:jc w:val="both"/>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Observations</w:t>
            </w:r>
          </w:p>
        </w:tc>
        <w:tc>
          <w:tcPr>
            <w:tcW w:w="1645" w:type="dxa"/>
            <w:tcBorders>
              <w:top w:val="nil"/>
              <w:left w:val="nil"/>
              <w:bottom w:val="single" w:color="000000" w:sz="12" w:space="0"/>
              <w:right w:val="nil"/>
            </w:tcBorders>
            <w:shd w:val="clear" w:color="auto" w:fill="FFFFFF"/>
            <w:vAlign w:val="center"/>
          </w:tcPr>
          <w:p w14:paraId="5F83B9CC">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w:t>
            </w:r>
            <w:r>
              <w:rPr>
                <w:rFonts w:hint="eastAsia" w:ascii="Times New Roman" w:hAnsi="Times New Roman" w:eastAsia="宋体" w:cs="Times New Roman"/>
                <w:b w:val="0"/>
                <w:bCs w:val="0"/>
                <w:color w:val="000000"/>
                <w:sz w:val="20"/>
                <w:szCs w:val="20"/>
                <w:lang w:val="en-US" w:eastAsia="zh-CN"/>
              </w:rPr>
              <w:t>,</w:t>
            </w:r>
            <w:r>
              <w:rPr>
                <w:rFonts w:hint="default" w:ascii="Times New Roman" w:hAnsi="Times New Roman" w:eastAsia="宋体" w:cs="Times New Roman"/>
                <w:b w:val="0"/>
                <w:bCs w:val="0"/>
                <w:color w:val="000000"/>
                <w:sz w:val="20"/>
                <w:szCs w:val="20"/>
              </w:rPr>
              <w:t>429</w:t>
            </w:r>
          </w:p>
        </w:tc>
        <w:tc>
          <w:tcPr>
            <w:tcW w:w="1645" w:type="dxa"/>
            <w:tcBorders>
              <w:top w:val="nil"/>
              <w:left w:val="nil"/>
              <w:bottom w:val="single" w:color="000000" w:sz="12" w:space="0"/>
              <w:right w:val="nil"/>
            </w:tcBorders>
            <w:shd w:val="clear" w:color="auto" w:fill="FFFFFF"/>
            <w:vAlign w:val="center"/>
          </w:tcPr>
          <w:p w14:paraId="3EB48B15">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w:t>
            </w:r>
            <w:r>
              <w:rPr>
                <w:rFonts w:hint="eastAsia" w:ascii="Times New Roman" w:hAnsi="Times New Roman" w:eastAsia="宋体" w:cs="Times New Roman"/>
                <w:b w:val="0"/>
                <w:bCs w:val="0"/>
                <w:color w:val="000000"/>
                <w:sz w:val="20"/>
                <w:szCs w:val="20"/>
                <w:lang w:val="en-US" w:eastAsia="zh-CN"/>
              </w:rPr>
              <w:t>,</w:t>
            </w:r>
            <w:r>
              <w:rPr>
                <w:rFonts w:hint="default" w:ascii="Times New Roman" w:hAnsi="Times New Roman" w:eastAsia="宋体" w:cs="Times New Roman"/>
                <w:b w:val="0"/>
                <w:bCs w:val="0"/>
                <w:color w:val="000000"/>
                <w:sz w:val="20"/>
                <w:szCs w:val="20"/>
              </w:rPr>
              <w:t>429</w:t>
            </w:r>
          </w:p>
        </w:tc>
        <w:tc>
          <w:tcPr>
            <w:tcW w:w="1645" w:type="dxa"/>
            <w:tcBorders>
              <w:top w:val="nil"/>
              <w:left w:val="nil"/>
              <w:bottom w:val="single" w:color="000000" w:sz="12" w:space="0"/>
              <w:right w:val="nil"/>
            </w:tcBorders>
            <w:shd w:val="clear" w:color="auto" w:fill="FFFFFF"/>
            <w:vAlign w:val="center"/>
          </w:tcPr>
          <w:p w14:paraId="3048746F">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w:t>
            </w:r>
            <w:r>
              <w:rPr>
                <w:rFonts w:hint="eastAsia" w:ascii="Times New Roman" w:hAnsi="Times New Roman" w:eastAsia="宋体" w:cs="Times New Roman"/>
                <w:b w:val="0"/>
                <w:bCs w:val="0"/>
                <w:color w:val="000000"/>
                <w:sz w:val="20"/>
                <w:szCs w:val="20"/>
                <w:lang w:val="en-US" w:eastAsia="zh-CN"/>
              </w:rPr>
              <w:t>,</w:t>
            </w:r>
            <w:r>
              <w:rPr>
                <w:rFonts w:hint="default" w:ascii="Times New Roman" w:hAnsi="Times New Roman" w:eastAsia="宋体" w:cs="Times New Roman"/>
                <w:b w:val="0"/>
                <w:bCs w:val="0"/>
                <w:color w:val="000000"/>
                <w:sz w:val="20"/>
                <w:szCs w:val="20"/>
              </w:rPr>
              <w:t>429</w:t>
            </w:r>
          </w:p>
        </w:tc>
        <w:tc>
          <w:tcPr>
            <w:tcW w:w="1645" w:type="dxa"/>
            <w:tcBorders>
              <w:top w:val="nil"/>
              <w:left w:val="nil"/>
              <w:bottom w:val="single" w:color="000000" w:sz="12" w:space="0"/>
              <w:right w:val="nil"/>
            </w:tcBorders>
            <w:shd w:val="clear" w:color="auto" w:fill="FFFFFF"/>
            <w:vAlign w:val="center"/>
          </w:tcPr>
          <w:p w14:paraId="75046042">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w:t>
            </w:r>
            <w:r>
              <w:rPr>
                <w:rFonts w:hint="eastAsia" w:ascii="Times New Roman" w:hAnsi="Times New Roman" w:eastAsia="宋体" w:cs="Times New Roman"/>
                <w:b w:val="0"/>
                <w:bCs w:val="0"/>
                <w:color w:val="000000"/>
                <w:sz w:val="20"/>
                <w:szCs w:val="20"/>
                <w:lang w:val="en-US" w:eastAsia="zh-CN"/>
              </w:rPr>
              <w:t>,</w:t>
            </w:r>
            <w:r>
              <w:rPr>
                <w:rFonts w:hint="default" w:ascii="Times New Roman" w:hAnsi="Times New Roman" w:eastAsia="宋体" w:cs="Times New Roman"/>
                <w:b w:val="0"/>
                <w:bCs w:val="0"/>
                <w:color w:val="000000"/>
                <w:sz w:val="20"/>
                <w:szCs w:val="20"/>
              </w:rPr>
              <w:t>429</w:t>
            </w:r>
          </w:p>
        </w:tc>
        <w:tc>
          <w:tcPr>
            <w:tcW w:w="1647" w:type="dxa"/>
            <w:tcBorders>
              <w:top w:val="nil"/>
              <w:left w:val="nil"/>
              <w:bottom w:val="single" w:color="000000" w:sz="12" w:space="0"/>
              <w:right w:val="nil"/>
            </w:tcBorders>
            <w:shd w:val="clear" w:color="auto" w:fill="FFFFFF"/>
            <w:vAlign w:val="center"/>
          </w:tcPr>
          <w:p w14:paraId="5FFF4256">
            <w:pPr>
              <w:spacing w:line="240" w:lineRule="auto"/>
              <w:jc w:val="center"/>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rPr>
              <w:t>13</w:t>
            </w:r>
            <w:r>
              <w:rPr>
                <w:rFonts w:hint="eastAsia" w:ascii="Times New Roman" w:hAnsi="Times New Roman" w:eastAsia="宋体" w:cs="Times New Roman"/>
                <w:b w:val="0"/>
                <w:bCs w:val="0"/>
                <w:color w:val="000000"/>
                <w:sz w:val="20"/>
                <w:szCs w:val="20"/>
                <w:lang w:val="en-US" w:eastAsia="zh-CN"/>
              </w:rPr>
              <w:t>,</w:t>
            </w:r>
            <w:r>
              <w:rPr>
                <w:rFonts w:hint="default" w:ascii="Times New Roman" w:hAnsi="Times New Roman" w:eastAsia="宋体" w:cs="Times New Roman"/>
                <w:b w:val="0"/>
                <w:bCs w:val="0"/>
                <w:color w:val="000000"/>
                <w:sz w:val="20"/>
                <w:szCs w:val="20"/>
              </w:rPr>
              <w:t>429</w:t>
            </w:r>
          </w:p>
        </w:tc>
      </w:tr>
    </w:tbl>
    <w:p w14:paraId="449AED0E">
      <w:pPr>
        <w:spacing w:line="240" w:lineRule="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Notes:</w:t>
      </w:r>
    </w:p>
    <w:p w14:paraId="33FF419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01" w:lineRule="atLeast"/>
        <w:ind w:right="0" w:right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Columns (1)–(2) report results for binary healthcare utilization outcomes (monthly outpatient visits and annual hospital admissions), estimated using individual fixed-effects linear probability models (FE-LPM) as a robustness check against the baseline fixed-effects logit models.</w:t>
      </w:r>
    </w:p>
    <w:p w14:paraId="6DA182B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firstLine="0" w:firstLine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Columns (3)–(5) report results for continuous healthcare expenditure outcomes (log of monthly outpatient expenditure, log of annual inpatient expenditure, and log of total annual medical expenditure), estimated using two-way fixed-effects linear models (FE-OLS), consistent with the baseline specification.</w:t>
      </w:r>
    </w:p>
    <w:p w14:paraId="1D0139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3. All models control for the same set of covariates as in the main analysis, including predisposing factors, enabling resources, and need factors based on the Andersen behavioral model, as well as individual and year fixed effects.</w:t>
      </w:r>
    </w:p>
    <w:p w14:paraId="4E6F961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4"/>
          <w:lang w:val="en-US" w:eastAsia="zh-CN"/>
        </w:rPr>
      </w:pPr>
      <w:r>
        <w:rPr>
          <w:rFonts w:hint="default" w:ascii="Times New Roman" w:hAnsi="Times New Roman" w:cs="Times New Roman"/>
          <w:color w:val="000000"/>
          <w:sz w:val="20"/>
          <w:szCs w:val="20"/>
          <w:lang w:val="en-US" w:eastAsia="zh-CN"/>
        </w:rPr>
        <w:t>4. *</w:t>
      </w:r>
      <w:r>
        <w:rPr>
          <w:rFonts w:hint="default" w:ascii="Times New Roman" w:hAnsi="Times New Roman" w:cs="Times New Roman"/>
          <w:color w:val="000000"/>
          <w:sz w:val="20"/>
          <w:szCs w:val="20"/>
        </w:rPr>
        <w:t xml:space="preserve"> p&lt;0.1, </w:t>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 xml:space="preserve">p&lt;0.05, </w:t>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p&lt;0.01</w:t>
      </w:r>
      <w:r>
        <w:rPr>
          <w:rFonts w:hint="eastAsia" w:ascii="Times New Roman" w:hAnsi="Times New Roman" w:cs="Times New Roman"/>
          <w:color w:val="000000"/>
          <w:sz w:val="20"/>
          <w:szCs w:val="20"/>
          <w:lang w:val="en-US" w:eastAsia="zh-CN"/>
        </w:rPr>
        <w:t xml:space="preserve">; </w:t>
      </w:r>
      <w:r>
        <w:rPr>
          <w:rFonts w:hint="default" w:ascii="Times New Roman" w:hAnsi="Times New Roman" w:eastAsia="宋体" w:cs="Times New Roman"/>
          <w:color w:val="000000"/>
          <w:sz w:val="20"/>
          <w:szCs w:val="20"/>
          <w:lang w:val="en-US" w:eastAsia="zh-CN"/>
        </w:rPr>
        <w:t>R</w:t>
      </w:r>
      <w:r>
        <w:rPr>
          <w:rFonts w:hint="default" w:ascii="Times New Roman" w:hAnsi="Times New Roman" w:cs="Times New Roman"/>
          <w:color w:val="000000"/>
          <w:sz w:val="20"/>
          <w:szCs w:val="20"/>
        </w:rPr>
        <w:t>obust standard errors clustered at the individual leve</w:t>
      </w:r>
      <w:r>
        <w:rPr>
          <w:rFonts w:hint="eastAsia" w:ascii="Times New Roman" w:hAnsi="Times New Roman" w:cs="Times New Roman"/>
          <w:color w:val="000000"/>
          <w:sz w:val="20"/>
          <w:szCs w:val="20"/>
          <w:lang w:val="en-US" w:eastAsia="zh-CN"/>
        </w:rPr>
        <w:t>l.</w:t>
      </w:r>
    </w:p>
    <w:p w14:paraId="27D13FBB">
      <w:pPr>
        <w:spacing w:line="480" w:lineRule="auto"/>
        <w:ind w:firstLine="420" w:firstLineChars="0"/>
        <w:rPr>
          <w:rFonts w:hint="default" w:ascii="Times New Roman" w:hAnsi="Times New Roman" w:cs="Times New Roman"/>
          <w:sz w:val="21"/>
          <w:szCs w:val="24"/>
          <w:lang w:val="en-US" w:eastAsia="zh-CN"/>
        </w:rPr>
      </w:pPr>
    </w:p>
    <w:p w14:paraId="2851812F">
      <w:pPr>
        <w:keepNext w:val="0"/>
        <w:keepLines w:val="0"/>
        <w:widowControl/>
        <w:suppressLineNumbers w:val="0"/>
        <w:spacing w:line="48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Additional file 5: Inequality analyses</w:t>
      </w:r>
    </w:p>
    <w:p w14:paraId="74F1E79E">
      <w:pPr>
        <w:rPr>
          <w:rFonts w:ascii="Times New Roman" w:hAnsi="Times New Roman" w:eastAsia="Times New Roman"/>
          <w:b/>
          <w:sz w:val="20"/>
        </w:rPr>
      </w:pPr>
      <w:r>
        <w:rPr>
          <w:rFonts w:ascii="Times New Roman" w:hAnsi="Times New Roman" w:eastAsia="Times New Roman"/>
          <w:b/>
          <w:sz w:val="20"/>
        </w:rPr>
        <w:t xml:space="preserve">Table S5. </w:t>
      </w:r>
    </w:p>
    <w:p w14:paraId="1C3B7C50">
      <w:pPr>
        <w:rPr>
          <w:b w:val="0"/>
          <w:bCs/>
        </w:rPr>
      </w:pPr>
      <w:r>
        <w:rPr>
          <w:rFonts w:ascii="Times New Roman" w:hAnsi="Times New Roman" w:eastAsia="Times New Roman"/>
          <w:b w:val="0"/>
          <w:bCs/>
          <w:sz w:val="20"/>
        </w:rPr>
        <w:t>Comparison of concentration index (CI) and horizontal inequity index (HI) for healthcare utilization outcomes</w:t>
      </w:r>
    </w:p>
    <w:tbl>
      <w:tblPr>
        <w:tblStyle w:val="2"/>
        <w:tblpPr w:leftFromText="180" w:rightFromText="180" w:vertAnchor="text" w:tblpXSpec="center" w:tblpY="1"/>
        <w:tblOverlap w:val="never"/>
        <w:tblW w:w="0" w:type="auto"/>
        <w:tblInd w:w="-975" w:type="dxa"/>
        <w:tblLayout w:type="autofit"/>
        <w:tblCellMar>
          <w:top w:w="0" w:type="dxa"/>
          <w:left w:w="108" w:type="dxa"/>
          <w:bottom w:w="0" w:type="dxa"/>
          <w:right w:w="108" w:type="dxa"/>
        </w:tblCellMar>
      </w:tblPr>
      <w:tblGrid>
        <w:gridCol w:w="3734"/>
        <w:gridCol w:w="893"/>
        <w:gridCol w:w="974"/>
        <w:gridCol w:w="974"/>
        <w:gridCol w:w="974"/>
        <w:gridCol w:w="974"/>
        <w:gridCol w:w="974"/>
      </w:tblGrid>
      <w:tr w14:paraId="304652BB">
        <w:tc>
          <w:tcPr>
            <w:tcW w:w="3734" w:type="dxa"/>
            <w:tcBorders>
              <w:top w:val="single" w:color="000000" w:sz="12" w:space="0"/>
              <w:left w:val="nil"/>
              <w:bottom w:val="single" w:color="000000" w:sz="8" w:space="0"/>
              <w:right w:val="nil"/>
              <w:insideH w:val="nil"/>
              <w:insideV w:val="nil"/>
            </w:tcBorders>
            <w:vAlign w:val="center"/>
          </w:tcPr>
          <w:p w14:paraId="26CE7049">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Outcome</w:t>
            </w:r>
          </w:p>
        </w:tc>
        <w:tc>
          <w:tcPr>
            <w:tcW w:w="893" w:type="dxa"/>
            <w:tcBorders>
              <w:top w:val="single" w:color="000000" w:sz="12" w:space="0"/>
              <w:left w:val="nil"/>
              <w:bottom w:val="single" w:color="000000" w:sz="8" w:space="0"/>
              <w:right w:val="nil"/>
              <w:insideH w:val="nil"/>
              <w:insideV w:val="nil"/>
            </w:tcBorders>
            <w:vAlign w:val="center"/>
          </w:tcPr>
          <w:p w14:paraId="4578448A">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Index</w:t>
            </w:r>
          </w:p>
        </w:tc>
        <w:tc>
          <w:tcPr>
            <w:tcW w:w="974" w:type="dxa"/>
            <w:tcBorders>
              <w:top w:val="single" w:color="000000" w:sz="12" w:space="0"/>
              <w:left w:val="nil"/>
              <w:bottom w:val="single" w:color="000000" w:sz="8" w:space="0"/>
              <w:right w:val="nil"/>
              <w:insideH w:val="nil"/>
              <w:insideV w:val="nil"/>
            </w:tcBorders>
            <w:vAlign w:val="center"/>
          </w:tcPr>
          <w:p w14:paraId="51060F35">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2011</w:t>
            </w:r>
          </w:p>
        </w:tc>
        <w:tc>
          <w:tcPr>
            <w:tcW w:w="974" w:type="dxa"/>
            <w:tcBorders>
              <w:top w:val="single" w:color="000000" w:sz="12" w:space="0"/>
              <w:left w:val="nil"/>
              <w:bottom w:val="single" w:color="000000" w:sz="8" w:space="0"/>
              <w:right w:val="nil"/>
              <w:insideH w:val="nil"/>
              <w:insideV w:val="nil"/>
            </w:tcBorders>
            <w:vAlign w:val="center"/>
          </w:tcPr>
          <w:p w14:paraId="2E2D9D59">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2013</w:t>
            </w:r>
          </w:p>
        </w:tc>
        <w:tc>
          <w:tcPr>
            <w:tcW w:w="974" w:type="dxa"/>
            <w:tcBorders>
              <w:top w:val="single" w:color="000000" w:sz="12" w:space="0"/>
              <w:left w:val="nil"/>
              <w:bottom w:val="single" w:color="000000" w:sz="8" w:space="0"/>
              <w:right w:val="nil"/>
              <w:insideH w:val="nil"/>
              <w:insideV w:val="nil"/>
            </w:tcBorders>
            <w:vAlign w:val="center"/>
          </w:tcPr>
          <w:p w14:paraId="50317C7D">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2015</w:t>
            </w:r>
          </w:p>
        </w:tc>
        <w:tc>
          <w:tcPr>
            <w:tcW w:w="974" w:type="dxa"/>
            <w:tcBorders>
              <w:top w:val="single" w:color="000000" w:sz="12" w:space="0"/>
              <w:left w:val="nil"/>
              <w:bottom w:val="single" w:color="000000" w:sz="8" w:space="0"/>
              <w:right w:val="nil"/>
              <w:insideH w:val="nil"/>
              <w:insideV w:val="nil"/>
            </w:tcBorders>
            <w:vAlign w:val="center"/>
          </w:tcPr>
          <w:p w14:paraId="680867AA">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2018</w:t>
            </w:r>
          </w:p>
        </w:tc>
        <w:tc>
          <w:tcPr>
            <w:tcW w:w="974" w:type="dxa"/>
            <w:tcBorders>
              <w:top w:val="single" w:color="000000" w:sz="12" w:space="0"/>
              <w:left w:val="nil"/>
              <w:bottom w:val="single" w:color="000000" w:sz="8" w:space="0"/>
              <w:right w:val="nil"/>
              <w:insideH w:val="nil"/>
              <w:insideV w:val="nil"/>
            </w:tcBorders>
            <w:vAlign w:val="center"/>
          </w:tcPr>
          <w:p w14:paraId="27145D98">
            <w:pPr>
              <w:spacing w:line="240" w:lineRule="auto"/>
              <w:jc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Total</w:t>
            </w:r>
          </w:p>
        </w:tc>
      </w:tr>
      <w:tr w14:paraId="06D258B3">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5F74604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Monthly outpatient visit</w:t>
            </w:r>
          </w:p>
        </w:tc>
        <w:tc>
          <w:tcPr>
            <w:tcW w:w="893" w:type="dxa"/>
            <w:tcBorders>
              <w:top w:val="nil"/>
              <w:left w:val="nil"/>
              <w:bottom w:val="nil"/>
              <w:right w:val="nil"/>
              <w:insideH w:val="nil"/>
              <w:insideV w:val="nil"/>
            </w:tcBorders>
            <w:vAlign w:val="center"/>
          </w:tcPr>
          <w:p w14:paraId="55CDA437">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CI</w:t>
            </w:r>
          </w:p>
        </w:tc>
        <w:tc>
          <w:tcPr>
            <w:tcW w:w="974" w:type="dxa"/>
            <w:tcBorders>
              <w:top w:val="nil"/>
              <w:left w:val="nil"/>
              <w:bottom w:val="nil"/>
              <w:right w:val="nil"/>
              <w:insideH w:val="nil"/>
              <w:insideV w:val="nil"/>
            </w:tcBorders>
            <w:vAlign w:val="center"/>
          </w:tcPr>
          <w:p w14:paraId="7CE63164">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0.06**</w:t>
            </w:r>
          </w:p>
        </w:tc>
        <w:tc>
          <w:tcPr>
            <w:tcW w:w="974" w:type="dxa"/>
            <w:tcBorders>
              <w:top w:val="nil"/>
              <w:left w:val="nil"/>
              <w:bottom w:val="nil"/>
              <w:right w:val="nil"/>
              <w:insideH w:val="nil"/>
              <w:insideV w:val="nil"/>
            </w:tcBorders>
            <w:vAlign w:val="center"/>
          </w:tcPr>
          <w:p w14:paraId="59B5F2D3">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0.06**</w:t>
            </w:r>
          </w:p>
        </w:tc>
        <w:tc>
          <w:tcPr>
            <w:tcW w:w="974" w:type="dxa"/>
            <w:tcBorders>
              <w:top w:val="nil"/>
              <w:left w:val="nil"/>
              <w:bottom w:val="nil"/>
              <w:right w:val="nil"/>
              <w:insideH w:val="nil"/>
              <w:insideV w:val="nil"/>
            </w:tcBorders>
            <w:vAlign w:val="center"/>
          </w:tcPr>
          <w:p w14:paraId="6C42108E">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0.08***</w:t>
            </w:r>
          </w:p>
        </w:tc>
        <w:tc>
          <w:tcPr>
            <w:tcW w:w="974" w:type="dxa"/>
            <w:tcBorders>
              <w:top w:val="nil"/>
              <w:left w:val="nil"/>
              <w:bottom w:val="nil"/>
              <w:right w:val="nil"/>
              <w:insideH w:val="nil"/>
              <w:insideV w:val="nil"/>
            </w:tcBorders>
            <w:vAlign w:val="center"/>
          </w:tcPr>
          <w:p w14:paraId="4694B548">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0.14***</w:t>
            </w:r>
          </w:p>
        </w:tc>
        <w:tc>
          <w:tcPr>
            <w:tcW w:w="974" w:type="dxa"/>
            <w:tcBorders>
              <w:top w:val="nil"/>
              <w:left w:val="nil"/>
              <w:bottom w:val="nil"/>
              <w:right w:val="nil"/>
              <w:insideH w:val="nil"/>
              <w:insideV w:val="nil"/>
            </w:tcBorders>
            <w:vAlign w:val="center"/>
          </w:tcPr>
          <w:p w14:paraId="496321D4">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0.05***</w:t>
            </w:r>
          </w:p>
        </w:tc>
      </w:tr>
      <w:tr w14:paraId="20BC504C">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1FFF053E">
            <w:pPr>
              <w:spacing w:line="240" w:lineRule="auto"/>
              <w:jc w:val="center"/>
              <w:rPr>
                <w:rFonts w:hint="default" w:ascii="Times New Roman" w:hAnsi="Times New Roman" w:eastAsia="宋体" w:cs="Times New Roman"/>
                <w:b w:val="0"/>
                <w:bCs w:val="0"/>
                <w:color w:val="000000"/>
                <w:sz w:val="20"/>
                <w:szCs w:val="20"/>
              </w:rPr>
            </w:pPr>
          </w:p>
        </w:tc>
        <w:tc>
          <w:tcPr>
            <w:tcW w:w="893" w:type="dxa"/>
            <w:tcBorders>
              <w:top w:val="nil"/>
              <w:left w:val="nil"/>
              <w:bottom w:val="nil"/>
              <w:right w:val="nil"/>
              <w:insideH w:val="nil"/>
              <w:insideV w:val="nil"/>
            </w:tcBorders>
            <w:vAlign w:val="center"/>
          </w:tcPr>
          <w:p w14:paraId="13B7FB7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HI</w:t>
            </w:r>
          </w:p>
        </w:tc>
        <w:tc>
          <w:tcPr>
            <w:tcW w:w="974" w:type="dxa"/>
            <w:tcBorders>
              <w:top w:val="nil"/>
              <w:left w:val="nil"/>
              <w:bottom w:val="nil"/>
              <w:right w:val="nil"/>
              <w:insideH w:val="nil"/>
              <w:insideV w:val="nil"/>
            </w:tcBorders>
            <w:vAlign w:val="center"/>
          </w:tcPr>
          <w:p w14:paraId="3ECC1E6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0.05**</w:t>
            </w:r>
          </w:p>
        </w:tc>
        <w:tc>
          <w:tcPr>
            <w:tcW w:w="974" w:type="dxa"/>
            <w:tcBorders>
              <w:top w:val="nil"/>
              <w:left w:val="nil"/>
              <w:bottom w:val="nil"/>
              <w:right w:val="nil"/>
              <w:insideH w:val="nil"/>
              <w:insideV w:val="nil"/>
            </w:tcBorders>
            <w:vAlign w:val="center"/>
          </w:tcPr>
          <w:p w14:paraId="3DAE1A72">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w:t>
            </w:r>
          </w:p>
        </w:tc>
        <w:tc>
          <w:tcPr>
            <w:tcW w:w="974" w:type="dxa"/>
            <w:tcBorders>
              <w:top w:val="nil"/>
              <w:left w:val="nil"/>
              <w:bottom w:val="nil"/>
              <w:right w:val="nil"/>
              <w:insideH w:val="nil"/>
              <w:insideV w:val="nil"/>
            </w:tcBorders>
            <w:vAlign w:val="center"/>
          </w:tcPr>
          <w:p w14:paraId="4A11DCD9">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0.06***</w:t>
            </w:r>
          </w:p>
        </w:tc>
        <w:tc>
          <w:tcPr>
            <w:tcW w:w="974" w:type="dxa"/>
            <w:tcBorders>
              <w:top w:val="nil"/>
              <w:left w:val="nil"/>
              <w:bottom w:val="nil"/>
              <w:right w:val="nil"/>
              <w:insideH w:val="nil"/>
              <w:insideV w:val="nil"/>
            </w:tcBorders>
            <w:vAlign w:val="center"/>
          </w:tcPr>
          <w:p w14:paraId="08402560">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w:t>
            </w:r>
          </w:p>
        </w:tc>
        <w:tc>
          <w:tcPr>
            <w:tcW w:w="974" w:type="dxa"/>
            <w:tcBorders>
              <w:top w:val="nil"/>
              <w:left w:val="nil"/>
              <w:bottom w:val="nil"/>
              <w:right w:val="nil"/>
              <w:insideH w:val="nil"/>
              <w:insideV w:val="nil"/>
            </w:tcBorders>
            <w:vAlign w:val="center"/>
          </w:tcPr>
          <w:p w14:paraId="39728A28">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w:t>
            </w:r>
          </w:p>
        </w:tc>
      </w:tr>
      <w:tr w14:paraId="1924ABAB">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5DEAEB0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Annual hospital admission</w:t>
            </w:r>
          </w:p>
        </w:tc>
        <w:tc>
          <w:tcPr>
            <w:tcW w:w="893" w:type="dxa"/>
            <w:tcBorders>
              <w:top w:val="nil"/>
              <w:left w:val="nil"/>
              <w:bottom w:val="nil"/>
              <w:right w:val="nil"/>
              <w:insideH w:val="nil"/>
              <w:insideV w:val="nil"/>
            </w:tcBorders>
            <w:vAlign w:val="center"/>
          </w:tcPr>
          <w:p w14:paraId="209AC14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CI</w:t>
            </w:r>
          </w:p>
        </w:tc>
        <w:tc>
          <w:tcPr>
            <w:tcW w:w="974" w:type="dxa"/>
            <w:tcBorders>
              <w:top w:val="nil"/>
              <w:left w:val="nil"/>
              <w:bottom w:val="nil"/>
              <w:right w:val="nil"/>
              <w:insideH w:val="nil"/>
              <w:insideV w:val="nil"/>
            </w:tcBorders>
            <w:vAlign w:val="center"/>
          </w:tcPr>
          <w:p w14:paraId="44D14748">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0.22***</w:t>
            </w:r>
          </w:p>
        </w:tc>
        <w:tc>
          <w:tcPr>
            <w:tcW w:w="974" w:type="dxa"/>
            <w:tcBorders>
              <w:top w:val="nil"/>
              <w:left w:val="nil"/>
              <w:bottom w:val="nil"/>
              <w:right w:val="nil"/>
              <w:insideH w:val="nil"/>
              <w:insideV w:val="nil"/>
            </w:tcBorders>
            <w:vAlign w:val="center"/>
          </w:tcPr>
          <w:p w14:paraId="064CF995">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c>
          <w:tcPr>
            <w:tcW w:w="974" w:type="dxa"/>
            <w:tcBorders>
              <w:top w:val="nil"/>
              <w:left w:val="nil"/>
              <w:bottom w:val="nil"/>
              <w:right w:val="nil"/>
              <w:insideH w:val="nil"/>
              <w:insideV w:val="nil"/>
            </w:tcBorders>
            <w:vAlign w:val="center"/>
          </w:tcPr>
          <w:p w14:paraId="39937EB4">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0.18***</w:t>
            </w:r>
          </w:p>
        </w:tc>
        <w:tc>
          <w:tcPr>
            <w:tcW w:w="974" w:type="dxa"/>
            <w:tcBorders>
              <w:top w:val="nil"/>
              <w:left w:val="nil"/>
              <w:bottom w:val="nil"/>
              <w:right w:val="nil"/>
              <w:insideH w:val="nil"/>
              <w:insideV w:val="nil"/>
            </w:tcBorders>
            <w:vAlign w:val="center"/>
          </w:tcPr>
          <w:p w14:paraId="7F63C95C">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w:t>
            </w:r>
          </w:p>
        </w:tc>
        <w:tc>
          <w:tcPr>
            <w:tcW w:w="974" w:type="dxa"/>
            <w:tcBorders>
              <w:top w:val="nil"/>
              <w:left w:val="nil"/>
              <w:bottom w:val="nil"/>
              <w:right w:val="nil"/>
              <w:insideH w:val="nil"/>
              <w:insideV w:val="nil"/>
            </w:tcBorders>
            <w:vAlign w:val="center"/>
          </w:tcPr>
          <w:p w14:paraId="774E0C8C">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0.20***</w:t>
            </w:r>
          </w:p>
        </w:tc>
      </w:tr>
      <w:tr w14:paraId="515D0922">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39AA8F99">
            <w:pPr>
              <w:spacing w:line="240" w:lineRule="auto"/>
              <w:jc w:val="center"/>
              <w:rPr>
                <w:rFonts w:hint="default" w:ascii="Times New Roman" w:hAnsi="Times New Roman" w:eastAsia="宋体" w:cs="Times New Roman"/>
                <w:b w:val="0"/>
                <w:bCs w:val="0"/>
                <w:color w:val="000000"/>
                <w:sz w:val="20"/>
                <w:szCs w:val="20"/>
              </w:rPr>
            </w:pPr>
          </w:p>
        </w:tc>
        <w:tc>
          <w:tcPr>
            <w:tcW w:w="893" w:type="dxa"/>
            <w:tcBorders>
              <w:top w:val="nil"/>
              <w:left w:val="nil"/>
              <w:bottom w:val="nil"/>
              <w:right w:val="nil"/>
              <w:insideH w:val="nil"/>
              <w:insideV w:val="nil"/>
            </w:tcBorders>
            <w:vAlign w:val="center"/>
          </w:tcPr>
          <w:p w14:paraId="6EF3497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HI</w:t>
            </w:r>
          </w:p>
        </w:tc>
        <w:tc>
          <w:tcPr>
            <w:tcW w:w="974" w:type="dxa"/>
            <w:tcBorders>
              <w:top w:val="nil"/>
              <w:left w:val="nil"/>
              <w:bottom w:val="nil"/>
              <w:right w:val="nil"/>
              <w:insideH w:val="nil"/>
              <w:insideV w:val="nil"/>
            </w:tcBorders>
            <w:vAlign w:val="center"/>
          </w:tcPr>
          <w:p w14:paraId="4AF3D605">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0.17***</w:t>
            </w:r>
          </w:p>
        </w:tc>
        <w:tc>
          <w:tcPr>
            <w:tcW w:w="974" w:type="dxa"/>
            <w:tcBorders>
              <w:top w:val="nil"/>
              <w:left w:val="nil"/>
              <w:bottom w:val="nil"/>
              <w:right w:val="nil"/>
              <w:insideH w:val="nil"/>
              <w:insideV w:val="nil"/>
            </w:tcBorders>
            <w:vAlign w:val="center"/>
          </w:tcPr>
          <w:p w14:paraId="442B03F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w:t>
            </w:r>
          </w:p>
        </w:tc>
        <w:tc>
          <w:tcPr>
            <w:tcW w:w="974" w:type="dxa"/>
            <w:tcBorders>
              <w:top w:val="nil"/>
              <w:left w:val="nil"/>
              <w:bottom w:val="nil"/>
              <w:right w:val="nil"/>
              <w:insideH w:val="nil"/>
              <w:insideV w:val="nil"/>
            </w:tcBorders>
            <w:vAlign w:val="center"/>
          </w:tcPr>
          <w:p w14:paraId="34FED77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0.15***</w:t>
            </w:r>
          </w:p>
        </w:tc>
        <w:tc>
          <w:tcPr>
            <w:tcW w:w="974" w:type="dxa"/>
            <w:tcBorders>
              <w:top w:val="nil"/>
              <w:left w:val="nil"/>
              <w:bottom w:val="nil"/>
              <w:right w:val="nil"/>
              <w:insideH w:val="nil"/>
              <w:insideV w:val="nil"/>
            </w:tcBorders>
            <w:vAlign w:val="center"/>
          </w:tcPr>
          <w:p w14:paraId="7B0EE8DA">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0.09***</w:t>
            </w:r>
          </w:p>
        </w:tc>
        <w:tc>
          <w:tcPr>
            <w:tcW w:w="974" w:type="dxa"/>
            <w:tcBorders>
              <w:top w:val="nil"/>
              <w:left w:val="nil"/>
              <w:bottom w:val="nil"/>
              <w:right w:val="nil"/>
              <w:insideH w:val="nil"/>
              <w:insideV w:val="nil"/>
            </w:tcBorders>
            <w:vAlign w:val="center"/>
          </w:tcPr>
          <w:p w14:paraId="66E32E9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0.15***</w:t>
            </w:r>
          </w:p>
        </w:tc>
      </w:tr>
      <w:tr w14:paraId="3562CC0B">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670C4E07">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monthly outpatient expenditure</w:t>
            </w:r>
          </w:p>
        </w:tc>
        <w:tc>
          <w:tcPr>
            <w:tcW w:w="893" w:type="dxa"/>
            <w:tcBorders>
              <w:top w:val="nil"/>
              <w:left w:val="nil"/>
              <w:bottom w:val="nil"/>
              <w:right w:val="nil"/>
              <w:insideH w:val="nil"/>
              <w:insideV w:val="nil"/>
            </w:tcBorders>
            <w:vAlign w:val="center"/>
          </w:tcPr>
          <w:p w14:paraId="0FFC74C7">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CI</w:t>
            </w:r>
          </w:p>
        </w:tc>
        <w:tc>
          <w:tcPr>
            <w:tcW w:w="974" w:type="dxa"/>
            <w:tcBorders>
              <w:top w:val="nil"/>
              <w:left w:val="nil"/>
              <w:bottom w:val="nil"/>
              <w:right w:val="nil"/>
              <w:insideH w:val="nil"/>
              <w:insideV w:val="nil"/>
            </w:tcBorders>
            <w:vAlign w:val="center"/>
          </w:tcPr>
          <w:p w14:paraId="39B8516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w:t>
            </w:r>
          </w:p>
        </w:tc>
        <w:tc>
          <w:tcPr>
            <w:tcW w:w="974" w:type="dxa"/>
            <w:tcBorders>
              <w:top w:val="nil"/>
              <w:left w:val="nil"/>
              <w:bottom w:val="nil"/>
              <w:right w:val="nil"/>
              <w:insideH w:val="nil"/>
              <w:insideV w:val="nil"/>
            </w:tcBorders>
            <w:vAlign w:val="center"/>
          </w:tcPr>
          <w:p w14:paraId="596B4F95">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w:t>
            </w:r>
          </w:p>
        </w:tc>
        <w:tc>
          <w:tcPr>
            <w:tcW w:w="974" w:type="dxa"/>
            <w:tcBorders>
              <w:top w:val="nil"/>
              <w:left w:val="nil"/>
              <w:bottom w:val="nil"/>
              <w:right w:val="nil"/>
              <w:insideH w:val="nil"/>
              <w:insideV w:val="nil"/>
            </w:tcBorders>
            <w:vAlign w:val="center"/>
          </w:tcPr>
          <w:p w14:paraId="404D51AB">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0.14***</w:t>
            </w:r>
          </w:p>
        </w:tc>
        <w:tc>
          <w:tcPr>
            <w:tcW w:w="974" w:type="dxa"/>
            <w:tcBorders>
              <w:top w:val="nil"/>
              <w:left w:val="nil"/>
              <w:bottom w:val="nil"/>
              <w:right w:val="nil"/>
              <w:insideH w:val="nil"/>
              <w:insideV w:val="nil"/>
            </w:tcBorders>
            <w:vAlign w:val="center"/>
          </w:tcPr>
          <w:p w14:paraId="2B37985E">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0.17***</w:t>
            </w:r>
          </w:p>
        </w:tc>
        <w:tc>
          <w:tcPr>
            <w:tcW w:w="974" w:type="dxa"/>
            <w:tcBorders>
              <w:top w:val="nil"/>
              <w:left w:val="nil"/>
              <w:bottom w:val="nil"/>
              <w:right w:val="nil"/>
              <w:insideH w:val="nil"/>
              <w:insideV w:val="nil"/>
            </w:tcBorders>
            <w:vAlign w:val="center"/>
          </w:tcPr>
          <w:p w14:paraId="42DD8007">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w:t>
            </w:r>
          </w:p>
        </w:tc>
      </w:tr>
      <w:tr w14:paraId="6C165850">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554C9E09">
            <w:pPr>
              <w:spacing w:line="240" w:lineRule="auto"/>
              <w:jc w:val="center"/>
              <w:rPr>
                <w:rFonts w:hint="default" w:ascii="Times New Roman" w:hAnsi="Times New Roman" w:eastAsia="宋体" w:cs="Times New Roman"/>
                <w:b w:val="0"/>
                <w:bCs w:val="0"/>
                <w:color w:val="000000"/>
                <w:sz w:val="20"/>
                <w:szCs w:val="20"/>
              </w:rPr>
            </w:pPr>
          </w:p>
        </w:tc>
        <w:tc>
          <w:tcPr>
            <w:tcW w:w="893" w:type="dxa"/>
            <w:tcBorders>
              <w:top w:val="nil"/>
              <w:left w:val="nil"/>
              <w:bottom w:val="nil"/>
              <w:right w:val="nil"/>
              <w:insideH w:val="nil"/>
              <w:insideV w:val="nil"/>
            </w:tcBorders>
            <w:vAlign w:val="center"/>
          </w:tcPr>
          <w:p w14:paraId="0BE462D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HI</w:t>
            </w:r>
          </w:p>
        </w:tc>
        <w:tc>
          <w:tcPr>
            <w:tcW w:w="974" w:type="dxa"/>
            <w:tcBorders>
              <w:top w:val="nil"/>
              <w:left w:val="nil"/>
              <w:bottom w:val="nil"/>
              <w:right w:val="nil"/>
              <w:insideH w:val="nil"/>
              <w:insideV w:val="nil"/>
            </w:tcBorders>
            <w:vAlign w:val="center"/>
          </w:tcPr>
          <w:p w14:paraId="24E3D06A">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0.09***</w:t>
            </w:r>
          </w:p>
        </w:tc>
        <w:tc>
          <w:tcPr>
            <w:tcW w:w="974" w:type="dxa"/>
            <w:tcBorders>
              <w:top w:val="nil"/>
              <w:left w:val="nil"/>
              <w:bottom w:val="nil"/>
              <w:right w:val="nil"/>
              <w:insideH w:val="nil"/>
              <w:insideV w:val="nil"/>
            </w:tcBorders>
            <w:vAlign w:val="center"/>
          </w:tcPr>
          <w:p w14:paraId="2A1D9C1E">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w:t>
            </w:r>
          </w:p>
        </w:tc>
        <w:tc>
          <w:tcPr>
            <w:tcW w:w="974" w:type="dxa"/>
            <w:tcBorders>
              <w:top w:val="nil"/>
              <w:left w:val="nil"/>
              <w:bottom w:val="nil"/>
              <w:right w:val="nil"/>
              <w:insideH w:val="nil"/>
              <w:insideV w:val="nil"/>
            </w:tcBorders>
            <w:vAlign w:val="center"/>
          </w:tcPr>
          <w:p w14:paraId="52D12E33">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w:t>
            </w:r>
          </w:p>
        </w:tc>
        <w:tc>
          <w:tcPr>
            <w:tcW w:w="974" w:type="dxa"/>
            <w:tcBorders>
              <w:top w:val="nil"/>
              <w:left w:val="nil"/>
              <w:bottom w:val="nil"/>
              <w:right w:val="nil"/>
              <w:insideH w:val="nil"/>
              <w:insideV w:val="nil"/>
            </w:tcBorders>
            <w:vAlign w:val="center"/>
          </w:tcPr>
          <w:p w14:paraId="218926F5">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0.15***</w:t>
            </w:r>
          </w:p>
        </w:tc>
        <w:tc>
          <w:tcPr>
            <w:tcW w:w="974" w:type="dxa"/>
            <w:tcBorders>
              <w:top w:val="nil"/>
              <w:left w:val="nil"/>
              <w:bottom w:val="nil"/>
              <w:right w:val="nil"/>
              <w:insideH w:val="nil"/>
              <w:insideV w:val="nil"/>
            </w:tcBorders>
            <w:vAlign w:val="center"/>
          </w:tcPr>
          <w:p w14:paraId="3775CB84">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w:t>
            </w:r>
          </w:p>
        </w:tc>
      </w:tr>
      <w:tr w14:paraId="2AA15DB0">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1B6BC32A">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annual inpatient expenditure</w:t>
            </w:r>
          </w:p>
        </w:tc>
        <w:tc>
          <w:tcPr>
            <w:tcW w:w="893" w:type="dxa"/>
            <w:tcBorders>
              <w:top w:val="nil"/>
              <w:left w:val="nil"/>
              <w:bottom w:val="nil"/>
              <w:right w:val="nil"/>
              <w:insideH w:val="nil"/>
              <w:insideV w:val="nil"/>
            </w:tcBorders>
            <w:vAlign w:val="center"/>
          </w:tcPr>
          <w:p w14:paraId="5568465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CI</w:t>
            </w:r>
          </w:p>
        </w:tc>
        <w:tc>
          <w:tcPr>
            <w:tcW w:w="974" w:type="dxa"/>
            <w:tcBorders>
              <w:top w:val="nil"/>
              <w:left w:val="nil"/>
              <w:bottom w:val="nil"/>
              <w:right w:val="nil"/>
              <w:insideH w:val="nil"/>
              <w:insideV w:val="nil"/>
            </w:tcBorders>
            <w:vAlign w:val="center"/>
          </w:tcPr>
          <w:p w14:paraId="15905B12">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0.26***</w:t>
            </w:r>
          </w:p>
        </w:tc>
        <w:tc>
          <w:tcPr>
            <w:tcW w:w="974" w:type="dxa"/>
            <w:tcBorders>
              <w:top w:val="nil"/>
              <w:left w:val="nil"/>
              <w:bottom w:val="nil"/>
              <w:right w:val="nil"/>
              <w:insideH w:val="nil"/>
              <w:insideV w:val="nil"/>
            </w:tcBorders>
            <w:vAlign w:val="center"/>
          </w:tcPr>
          <w:p w14:paraId="7BA6DB39">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0.19***</w:t>
            </w:r>
          </w:p>
        </w:tc>
        <w:tc>
          <w:tcPr>
            <w:tcW w:w="974" w:type="dxa"/>
            <w:tcBorders>
              <w:top w:val="nil"/>
              <w:left w:val="nil"/>
              <w:bottom w:val="nil"/>
              <w:right w:val="nil"/>
              <w:insideH w:val="nil"/>
              <w:insideV w:val="nil"/>
            </w:tcBorders>
            <w:vAlign w:val="center"/>
          </w:tcPr>
          <w:p w14:paraId="14E4E639">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0.21***</w:t>
            </w:r>
          </w:p>
        </w:tc>
        <w:tc>
          <w:tcPr>
            <w:tcW w:w="974" w:type="dxa"/>
            <w:tcBorders>
              <w:top w:val="nil"/>
              <w:left w:val="nil"/>
              <w:bottom w:val="nil"/>
              <w:right w:val="nil"/>
              <w:insideH w:val="nil"/>
              <w:insideV w:val="nil"/>
            </w:tcBorders>
            <w:vAlign w:val="center"/>
          </w:tcPr>
          <w:p w14:paraId="06FDC96E">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0.15***</w:t>
            </w:r>
          </w:p>
        </w:tc>
        <w:tc>
          <w:tcPr>
            <w:tcW w:w="974" w:type="dxa"/>
            <w:tcBorders>
              <w:top w:val="nil"/>
              <w:left w:val="nil"/>
              <w:bottom w:val="nil"/>
              <w:right w:val="nil"/>
              <w:insideH w:val="nil"/>
              <w:insideV w:val="nil"/>
            </w:tcBorders>
            <w:vAlign w:val="center"/>
          </w:tcPr>
          <w:p w14:paraId="455C1CF8">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0.23***</w:t>
            </w:r>
          </w:p>
        </w:tc>
      </w:tr>
      <w:tr w14:paraId="42D6E53A">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4AA43E4F">
            <w:pPr>
              <w:spacing w:line="240" w:lineRule="auto"/>
              <w:jc w:val="center"/>
              <w:rPr>
                <w:rFonts w:hint="default" w:ascii="Times New Roman" w:hAnsi="Times New Roman" w:eastAsia="宋体" w:cs="Times New Roman"/>
                <w:b w:val="0"/>
                <w:bCs w:val="0"/>
                <w:color w:val="000000"/>
                <w:sz w:val="20"/>
                <w:szCs w:val="20"/>
              </w:rPr>
            </w:pPr>
          </w:p>
        </w:tc>
        <w:tc>
          <w:tcPr>
            <w:tcW w:w="893" w:type="dxa"/>
            <w:tcBorders>
              <w:top w:val="nil"/>
              <w:left w:val="nil"/>
              <w:bottom w:val="nil"/>
              <w:right w:val="nil"/>
              <w:insideH w:val="nil"/>
              <w:insideV w:val="nil"/>
            </w:tcBorders>
            <w:vAlign w:val="center"/>
          </w:tcPr>
          <w:p w14:paraId="152D0EA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HI</w:t>
            </w:r>
          </w:p>
        </w:tc>
        <w:tc>
          <w:tcPr>
            <w:tcW w:w="974" w:type="dxa"/>
            <w:tcBorders>
              <w:top w:val="nil"/>
              <w:left w:val="nil"/>
              <w:bottom w:val="nil"/>
              <w:right w:val="nil"/>
              <w:insideH w:val="nil"/>
              <w:insideV w:val="nil"/>
            </w:tcBorders>
            <w:vAlign w:val="center"/>
          </w:tcPr>
          <w:p w14:paraId="3DB6EA79">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0.22***</w:t>
            </w:r>
          </w:p>
        </w:tc>
        <w:tc>
          <w:tcPr>
            <w:tcW w:w="974" w:type="dxa"/>
            <w:tcBorders>
              <w:top w:val="nil"/>
              <w:left w:val="nil"/>
              <w:bottom w:val="nil"/>
              <w:right w:val="nil"/>
              <w:insideH w:val="nil"/>
              <w:insideV w:val="nil"/>
            </w:tcBorders>
            <w:vAlign w:val="center"/>
          </w:tcPr>
          <w:p w14:paraId="6698AC57">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c>
          <w:tcPr>
            <w:tcW w:w="974" w:type="dxa"/>
            <w:tcBorders>
              <w:top w:val="nil"/>
              <w:left w:val="nil"/>
              <w:bottom w:val="nil"/>
              <w:right w:val="nil"/>
              <w:insideH w:val="nil"/>
              <w:insideV w:val="nil"/>
            </w:tcBorders>
            <w:vAlign w:val="center"/>
          </w:tcPr>
          <w:p w14:paraId="24F72126">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0.18***</w:t>
            </w:r>
          </w:p>
        </w:tc>
        <w:tc>
          <w:tcPr>
            <w:tcW w:w="974" w:type="dxa"/>
            <w:tcBorders>
              <w:top w:val="nil"/>
              <w:left w:val="nil"/>
              <w:bottom w:val="nil"/>
              <w:right w:val="nil"/>
              <w:insideH w:val="nil"/>
              <w:insideV w:val="nil"/>
            </w:tcBorders>
            <w:vAlign w:val="center"/>
          </w:tcPr>
          <w:p w14:paraId="05889D85">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0.13***</w:t>
            </w:r>
          </w:p>
        </w:tc>
        <w:tc>
          <w:tcPr>
            <w:tcW w:w="974" w:type="dxa"/>
            <w:tcBorders>
              <w:top w:val="nil"/>
              <w:left w:val="nil"/>
              <w:bottom w:val="nil"/>
              <w:right w:val="nil"/>
              <w:insideH w:val="nil"/>
              <w:insideV w:val="nil"/>
            </w:tcBorders>
            <w:vAlign w:val="center"/>
          </w:tcPr>
          <w:p w14:paraId="1DB8EF0D">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0.19***</w:t>
            </w:r>
          </w:p>
        </w:tc>
      </w:tr>
      <w:tr w14:paraId="3210A95A">
        <w:tblPrEx>
          <w:tblCellMar>
            <w:top w:w="0" w:type="dxa"/>
            <w:left w:w="108" w:type="dxa"/>
            <w:bottom w:w="0" w:type="dxa"/>
            <w:right w:w="108" w:type="dxa"/>
          </w:tblCellMar>
        </w:tblPrEx>
        <w:tc>
          <w:tcPr>
            <w:tcW w:w="3734" w:type="dxa"/>
            <w:tcBorders>
              <w:top w:val="nil"/>
              <w:left w:val="nil"/>
              <w:bottom w:val="nil"/>
              <w:right w:val="nil"/>
              <w:insideH w:val="nil"/>
              <w:insideV w:val="nil"/>
            </w:tcBorders>
            <w:vAlign w:val="center"/>
          </w:tcPr>
          <w:p w14:paraId="6D50E072">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total annual medical expenditure</w:t>
            </w:r>
          </w:p>
        </w:tc>
        <w:tc>
          <w:tcPr>
            <w:tcW w:w="893" w:type="dxa"/>
            <w:tcBorders>
              <w:top w:val="nil"/>
              <w:left w:val="nil"/>
              <w:bottom w:val="nil"/>
              <w:right w:val="nil"/>
              <w:insideH w:val="nil"/>
              <w:insideV w:val="nil"/>
            </w:tcBorders>
            <w:vAlign w:val="center"/>
          </w:tcPr>
          <w:p w14:paraId="3A68DDD3">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CI</w:t>
            </w:r>
          </w:p>
        </w:tc>
        <w:tc>
          <w:tcPr>
            <w:tcW w:w="974" w:type="dxa"/>
            <w:tcBorders>
              <w:top w:val="nil"/>
              <w:left w:val="nil"/>
              <w:bottom w:val="nil"/>
              <w:right w:val="nil"/>
              <w:insideH w:val="nil"/>
              <w:insideV w:val="nil"/>
            </w:tcBorders>
            <w:vAlign w:val="center"/>
          </w:tcPr>
          <w:p w14:paraId="5AE5F202">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c>
          <w:tcPr>
            <w:tcW w:w="974" w:type="dxa"/>
            <w:tcBorders>
              <w:top w:val="nil"/>
              <w:left w:val="nil"/>
              <w:bottom w:val="nil"/>
              <w:right w:val="nil"/>
              <w:insideH w:val="nil"/>
              <w:insideV w:val="nil"/>
            </w:tcBorders>
            <w:vAlign w:val="center"/>
          </w:tcPr>
          <w:p w14:paraId="60BE0E24">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0.13***</w:t>
            </w:r>
          </w:p>
        </w:tc>
        <w:tc>
          <w:tcPr>
            <w:tcW w:w="974" w:type="dxa"/>
            <w:tcBorders>
              <w:top w:val="nil"/>
              <w:left w:val="nil"/>
              <w:bottom w:val="nil"/>
              <w:right w:val="nil"/>
              <w:insideH w:val="nil"/>
              <w:insideV w:val="nil"/>
            </w:tcBorders>
            <w:vAlign w:val="center"/>
          </w:tcPr>
          <w:p w14:paraId="6C4D0DF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c>
          <w:tcPr>
            <w:tcW w:w="974" w:type="dxa"/>
            <w:tcBorders>
              <w:top w:val="nil"/>
              <w:left w:val="nil"/>
              <w:bottom w:val="nil"/>
              <w:right w:val="nil"/>
              <w:insideH w:val="nil"/>
              <w:insideV w:val="nil"/>
            </w:tcBorders>
            <w:vAlign w:val="center"/>
          </w:tcPr>
          <w:p w14:paraId="3ABB4F2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c>
          <w:tcPr>
            <w:tcW w:w="974" w:type="dxa"/>
            <w:tcBorders>
              <w:top w:val="nil"/>
              <w:left w:val="nil"/>
              <w:bottom w:val="nil"/>
              <w:right w:val="nil"/>
              <w:insideH w:val="nil"/>
              <w:insideV w:val="nil"/>
            </w:tcBorders>
            <w:vAlign w:val="center"/>
          </w:tcPr>
          <w:p w14:paraId="5B5BF970">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w:t>
            </w:r>
          </w:p>
        </w:tc>
      </w:tr>
      <w:tr w14:paraId="158DE6A5">
        <w:tblPrEx>
          <w:tblCellMar>
            <w:top w:w="0" w:type="dxa"/>
            <w:left w:w="108" w:type="dxa"/>
            <w:bottom w:w="0" w:type="dxa"/>
            <w:right w:w="108" w:type="dxa"/>
          </w:tblCellMar>
        </w:tblPrEx>
        <w:tc>
          <w:tcPr>
            <w:tcW w:w="3734" w:type="dxa"/>
            <w:tcBorders>
              <w:top w:val="nil"/>
              <w:left w:val="nil"/>
              <w:bottom w:val="single" w:color="000000" w:sz="12" w:space="0"/>
              <w:right w:val="nil"/>
              <w:insideH w:val="nil"/>
              <w:insideV w:val="nil"/>
            </w:tcBorders>
            <w:vAlign w:val="center"/>
          </w:tcPr>
          <w:p w14:paraId="725D3ED0">
            <w:pPr>
              <w:spacing w:line="240" w:lineRule="auto"/>
              <w:jc w:val="center"/>
              <w:rPr>
                <w:rFonts w:hint="default" w:ascii="Times New Roman" w:hAnsi="Times New Roman" w:eastAsia="宋体" w:cs="Times New Roman"/>
                <w:b w:val="0"/>
                <w:bCs w:val="0"/>
                <w:color w:val="000000"/>
                <w:sz w:val="20"/>
                <w:szCs w:val="20"/>
              </w:rPr>
            </w:pPr>
          </w:p>
        </w:tc>
        <w:tc>
          <w:tcPr>
            <w:tcW w:w="893" w:type="dxa"/>
            <w:tcBorders>
              <w:top w:val="nil"/>
              <w:left w:val="nil"/>
              <w:bottom w:val="single" w:color="000000" w:sz="12" w:space="0"/>
              <w:right w:val="nil"/>
              <w:insideH w:val="nil"/>
              <w:insideV w:val="nil"/>
            </w:tcBorders>
            <w:vAlign w:val="center"/>
          </w:tcPr>
          <w:p w14:paraId="138BC00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HI</w:t>
            </w:r>
          </w:p>
        </w:tc>
        <w:tc>
          <w:tcPr>
            <w:tcW w:w="974" w:type="dxa"/>
            <w:tcBorders>
              <w:top w:val="nil"/>
              <w:left w:val="nil"/>
              <w:bottom w:val="single" w:color="000000" w:sz="12" w:space="0"/>
              <w:right w:val="nil"/>
              <w:insideH w:val="nil"/>
              <w:insideV w:val="nil"/>
            </w:tcBorders>
            <w:vAlign w:val="center"/>
          </w:tcPr>
          <w:p w14:paraId="175D48D3">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w:t>
            </w:r>
          </w:p>
        </w:tc>
        <w:tc>
          <w:tcPr>
            <w:tcW w:w="974" w:type="dxa"/>
            <w:tcBorders>
              <w:top w:val="nil"/>
              <w:left w:val="nil"/>
              <w:bottom w:val="single" w:color="000000" w:sz="12" w:space="0"/>
              <w:right w:val="nil"/>
              <w:insideH w:val="nil"/>
              <w:insideV w:val="nil"/>
            </w:tcBorders>
            <w:vAlign w:val="center"/>
          </w:tcPr>
          <w:p w14:paraId="049B9E80">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w:t>
            </w:r>
          </w:p>
        </w:tc>
        <w:tc>
          <w:tcPr>
            <w:tcW w:w="974" w:type="dxa"/>
            <w:tcBorders>
              <w:top w:val="nil"/>
              <w:left w:val="nil"/>
              <w:bottom w:val="single" w:color="000000" w:sz="12" w:space="0"/>
              <w:right w:val="nil"/>
              <w:insideH w:val="nil"/>
              <w:insideV w:val="nil"/>
            </w:tcBorders>
            <w:vAlign w:val="center"/>
          </w:tcPr>
          <w:p w14:paraId="33FC7BBC">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0.13***</w:t>
            </w:r>
          </w:p>
        </w:tc>
        <w:tc>
          <w:tcPr>
            <w:tcW w:w="974" w:type="dxa"/>
            <w:tcBorders>
              <w:top w:val="nil"/>
              <w:left w:val="nil"/>
              <w:bottom w:val="single" w:color="000000" w:sz="12" w:space="0"/>
              <w:right w:val="nil"/>
              <w:insideH w:val="nil"/>
              <w:insideV w:val="nil"/>
            </w:tcBorders>
            <w:vAlign w:val="center"/>
          </w:tcPr>
          <w:p w14:paraId="0F7427B1">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w:t>
            </w:r>
          </w:p>
        </w:tc>
        <w:tc>
          <w:tcPr>
            <w:tcW w:w="974" w:type="dxa"/>
            <w:tcBorders>
              <w:top w:val="nil"/>
              <w:left w:val="nil"/>
              <w:bottom w:val="single" w:color="000000" w:sz="12" w:space="0"/>
              <w:right w:val="nil"/>
              <w:insideH w:val="nil"/>
              <w:insideV w:val="nil"/>
            </w:tcBorders>
            <w:vAlign w:val="center"/>
          </w:tcPr>
          <w:p w14:paraId="32313EB0">
            <w:pPr>
              <w:spacing w:line="240" w:lineRule="auto"/>
              <w:jc w:val="center"/>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w:t>
            </w:r>
          </w:p>
        </w:tc>
      </w:tr>
    </w:tbl>
    <w:p w14:paraId="268252A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 xml:space="preserve">Notes: </w:t>
      </w:r>
    </w:p>
    <w:p w14:paraId="3C1DFF9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CI indicates concentration index; HI indicates horizontal inequity index. Positive values indicate pro-rich inequality. HI was calculated after standardizing healthcare utilization for health need variables. The table compares crude inequality and need-standardized inequality by survey year and for the full sample.</w:t>
      </w:r>
      <w:r>
        <w:rPr>
          <w:rFonts w:hint="eastAsia" w:ascii="Times New Roman" w:hAnsi="Times New Roman" w:cs="Times New Roman"/>
          <w:color w:val="000000"/>
          <w:sz w:val="20"/>
          <w:szCs w:val="20"/>
          <w:lang w:val="en-US" w:eastAsia="zh-CN"/>
        </w:rPr>
        <w:t xml:space="preserve"> </w:t>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 xml:space="preserve"> p&lt;0.1</w:t>
      </w:r>
      <w:r>
        <w:rPr>
          <w:rFonts w:hint="eastAsia" w:ascii="Times New Roman" w:hAnsi="Times New Roman" w:cs="Times New Roman"/>
          <w:color w:val="000000"/>
          <w:sz w:val="20"/>
          <w:szCs w:val="20"/>
          <w:lang w:val="en-US" w:eastAsia="zh-CN"/>
        </w:rPr>
        <w:t>0</w:t>
      </w:r>
      <w:r>
        <w:rPr>
          <w:rFonts w:hint="default" w:ascii="Times New Roman" w:hAnsi="Times New Roman" w:cs="Times New Roman"/>
          <w:color w:val="000000"/>
          <w:sz w:val="20"/>
          <w:szCs w:val="20"/>
        </w:rPr>
        <w:t xml:space="preserve">, </w:t>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 xml:space="preserve">p&lt;0.05, </w:t>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p&lt;0.01</w:t>
      </w:r>
    </w:p>
    <w:p w14:paraId="275C061B">
      <w:pPr>
        <w:spacing w:line="480" w:lineRule="auto"/>
        <w:rPr>
          <w:rFonts w:hint="eastAsia" w:ascii="Times New Roman" w:hAnsi="Times New Roman" w:cs="Times New Roman"/>
          <w:sz w:val="21"/>
          <w:szCs w:val="24"/>
          <w:lang w:val="en-US" w:eastAsia="zh-CN"/>
        </w:rPr>
      </w:pPr>
    </w:p>
    <w:p w14:paraId="4F3599A2">
      <w:pPr>
        <w:rPr>
          <w:rFonts w:ascii="Times New Roman" w:hAnsi="Times New Roman" w:eastAsia="Times New Roman"/>
          <w:b/>
          <w:sz w:val="20"/>
        </w:rPr>
      </w:pPr>
      <w:r>
        <w:rPr>
          <w:rFonts w:ascii="Times New Roman" w:hAnsi="Times New Roman" w:eastAsia="Times New Roman"/>
          <w:b/>
          <w:sz w:val="20"/>
        </w:rPr>
        <w:t>Table S</w:t>
      </w:r>
      <w:r>
        <w:rPr>
          <w:rFonts w:hint="eastAsia" w:ascii="Times New Roman" w:hAnsi="Times New Roman" w:eastAsia="宋体"/>
          <w:b/>
          <w:sz w:val="20"/>
          <w:lang w:val="en-US" w:eastAsia="zh-CN"/>
        </w:rPr>
        <w:t>6</w:t>
      </w:r>
      <w:r>
        <w:rPr>
          <w:rFonts w:ascii="Times New Roman" w:hAnsi="Times New Roman" w:eastAsia="Times New Roman"/>
          <w:b/>
          <w:sz w:val="20"/>
        </w:rPr>
        <w:t xml:space="preserve">. </w:t>
      </w:r>
    </w:p>
    <w:p w14:paraId="08E5226C">
      <w:pPr>
        <w:rPr>
          <w:rFonts w:hint="eastAsia" w:ascii="Times New Roman" w:hAnsi="Times New Roman" w:eastAsia="Times New Roman"/>
          <w:b w:val="0"/>
          <w:bCs/>
          <w:sz w:val="20"/>
          <w:lang w:val="en-US" w:eastAsia="zh-CN"/>
        </w:rPr>
      </w:pPr>
      <w:r>
        <w:rPr>
          <w:rFonts w:hint="eastAsia" w:ascii="Times New Roman" w:hAnsi="Times New Roman" w:eastAsia="Times New Roman"/>
          <w:b w:val="0"/>
          <w:bCs/>
          <w:sz w:val="20"/>
        </w:rPr>
        <w:t>Pairwise comparisons of horizontal inequity index (HI) across health check-up groups</w:t>
      </w:r>
    </w:p>
    <w:tbl>
      <w:tblPr>
        <w:tblStyle w:val="2"/>
        <w:tblW w:w="6508" w:type="pct"/>
        <w:jc w:val="center"/>
        <w:tblLayout w:type="fixed"/>
        <w:tblCellMar>
          <w:top w:w="0" w:type="dxa"/>
          <w:left w:w="108" w:type="dxa"/>
          <w:bottom w:w="0" w:type="dxa"/>
          <w:right w:w="108" w:type="dxa"/>
        </w:tblCellMar>
      </w:tblPr>
      <w:tblGrid>
        <w:gridCol w:w="2470"/>
        <w:gridCol w:w="1148"/>
        <w:gridCol w:w="1148"/>
        <w:gridCol w:w="1148"/>
        <w:gridCol w:w="1640"/>
        <w:gridCol w:w="1640"/>
        <w:gridCol w:w="1899"/>
      </w:tblGrid>
      <w:tr w14:paraId="48F3CE88">
        <w:tblPrEx>
          <w:tblCellMar>
            <w:top w:w="0" w:type="dxa"/>
            <w:left w:w="108" w:type="dxa"/>
            <w:bottom w:w="0" w:type="dxa"/>
            <w:right w:w="108" w:type="dxa"/>
          </w:tblCellMar>
        </w:tblPrEx>
        <w:trPr>
          <w:tblHeader/>
          <w:jc w:val="center"/>
        </w:trPr>
        <w:tc>
          <w:tcPr>
            <w:tcW w:w="2470" w:type="dxa"/>
            <w:tcBorders>
              <w:top w:val="single" w:color="000000" w:sz="12" w:space="0"/>
              <w:left w:val="nil"/>
              <w:bottom w:val="single" w:color="000000" w:sz="4" w:space="0"/>
              <w:right w:val="nil"/>
              <w:tl2br w:val="nil"/>
            </w:tcBorders>
            <w:shd w:val="clear" w:color="auto" w:fill="FFFFFF"/>
            <w:vAlign w:val="center"/>
          </w:tcPr>
          <w:p w14:paraId="46BB90DB">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Outcomes</w:t>
            </w:r>
          </w:p>
        </w:tc>
        <w:tc>
          <w:tcPr>
            <w:tcW w:w="1148" w:type="dxa"/>
            <w:tcBorders>
              <w:top w:val="single" w:color="000000" w:sz="12" w:space="0"/>
              <w:left w:val="nil"/>
              <w:bottom w:val="single" w:color="000000" w:sz="4" w:space="0"/>
              <w:right w:val="nil"/>
            </w:tcBorders>
            <w:shd w:val="clear" w:color="auto" w:fill="FFFFFF"/>
            <w:vAlign w:val="center"/>
          </w:tcPr>
          <w:p w14:paraId="1FD208C4">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No health check-up HI</w:t>
            </w:r>
          </w:p>
        </w:tc>
        <w:tc>
          <w:tcPr>
            <w:tcW w:w="1148" w:type="dxa"/>
            <w:tcBorders>
              <w:top w:val="single" w:color="000000" w:sz="12" w:space="0"/>
              <w:left w:val="nil"/>
              <w:bottom w:val="single" w:color="000000" w:sz="4" w:space="0"/>
              <w:right w:val="nil"/>
            </w:tcBorders>
            <w:shd w:val="clear" w:color="auto" w:fill="FFFFFF"/>
            <w:vAlign w:val="center"/>
          </w:tcPr>
          <w:p w14:paraId="035E30C1">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Free health check-up HI</w:t>
            </w:r>
          </w:p>
        </w:tc>
        <w:tc>
          <w:tcPr>
            <w:tcW w:w="1148" w:type="dxa"/>
            <w:tcBorders>
              <w:top w:val="single" w:color="000000" w:sz="12" w:space="0"/>
              <w:left w:val="nil"/>
              <w:bottom w:val="single" w:color="000000" w:sz="4" w:space="0"/>
              <w:right w:val="nil"/>
            </w:tcBorders>
            <w:shd w:val="clear" w:color="auto" w:fill="FFFFFF"/>
            <w:vAlign w:val="center"/>
          </w:tcPr>
          <w:p w14:paraId="56CCB7DB">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Self-paid health check-up HI</w:t>
            </w:r>
          </w:p>
        </w:tc>
        <w:tc>
          <w:tcPr>
            <w:tcW w:w="1640" w:type="dxa"/>
            <w:tcBorders>
              <w:top w:val="single" w:color="000000" w:sz="12" w:space="0"/>
              <w:left w:val="nil"/>
              <w:bottom w:val="single" w:color="000000" w:sz="4" w:space="0"/>
              <w:right w:val="nil"/>
            </w:tcBorders>
            <w:shd w:val="clear" w:color="auto" w:fill="FFFFFF"/>
            <w:vAlign w:val="center"/>
          </w:tcPr>
          <w:p w14:paraId="33034F29">
            <w:pPr>
              <w:spacing w:line="240" w:lineRule="auto"/>
              <w:jc w:val="both"/>
              <w:rPr>
                <w:rFonts w:hint="eastAsia"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lang w:val="en-US" w:eastAsia="zh-CN"/>
              </w:rPr>
              <w:t>Free vs. no difference</w:t>
            </w:r>
            <w:r>
              <w:rPr>
                <w:rFonts w:hint="eastAsia" w:ascii="Times New Roman" w:hAnsi="Times New Roman" w:eastAsia="宋体" w:cs="Times New Roman"/>
                <w:b/>
                <w:bCs/>
                <w:color w:val="000000"/>
                <w:sz w:val="20"/>
                <w:szCs w:val="20"/>
                <w:lang w:val="en-US" w:eastAsia="zh-CN"/>
              </w:rPr>
              <w:t xml:space="preserve"> </w:t>
            </w:r>
          </w:p>
          <w:p w14:paraId="69470F19">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(P value)</w:t>
            </w:r>
          </w:p>
        </w:tc>
        <w:tc>
          <w:tcPr>
            <w:tcW w:w="1640" w:type="dxa"/>
            <w:tcBorders>
              <w:top w:val="single" w:color="000000" w:sz="12" w:space="0"/>
              <w:left w:val="nil"/>
              <w:bottom w:val="single" w:color="000000" w:sz="4" w:space="0"/>
              <w:right w:val="nil"/>
            </w:tcBorders>
            <w:shd w:val="clear" w:color="auto" w:fill="FFFFFF"/>
            <w:vAlign w:val="center"/>
          </w:tcPr>
          <w:p w14:paraId="230BDC1E">
            <w:pPr>
              <w:spacing w:line="240" w:lineRule="auto"/>
              <w:jc w:val="both"/>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lang w:val="en-US" w:eastAsia="zh-CN"/>
              </w:rPr>
              <w:t xml:space="preserve">Self-paid vs. no difference </w:t>
            </w:r>
          </w:p>
          <w:p w14:paraId="050389F7">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(P value)</w:t>
            </w:r>
          </w:p>
        </w:tc>
        <w:tc>
          <w:tcPr>
            <w:tcW w:w="1899" w:type="dxa"/>
            <w:tcBorders>
              <w:top w:val="single" w:color="000000" w:sz="12" w:space="0"/>
              <w:left w:val="nil"/>
              <w:bottom w:val="single" w:color="000000" w:sz="4" w:space="0"/>
              <w:right w:val="nil"/>
            </w:tcBorders>
            <w:shd w:val="clear" w:color="auto" w:fill="FFFFFF"/>
            <w:vAlign w:val="center"/>
          </w:tcPr>
          <w:p w14:paraId="7CBA9633">
            <w:pPr>
              <w:spacing w:line="240" w:lineRule="auto"/>
              <w:jc w:val="both"/>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lang w:val="en-US" w:eastAsia="zh-CN"/>
              </w:rPr>
              <w:t xml:space="preserve">Free vs. self-paid difference </w:t>
            </w:r>
          </w:p>
          <w:p w14:paraId="3BCC60AA">
            <w:pPr>
              <w:spacing w:line="240" w:lineRule="auto"/>
              <w:jc w:val="both"/>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val="en-US" w:eastAsia="zh-CN"/>
              </w:rPr>
              <w:t>(P value)</w:t>
            </w:r>
          </w:p>
        </w:tc>
      </w:tr>
      <w:tr w14:paraId="44AD2D2C">
        <w:tblPrEx>
          <w:tblCellMar>
            <w:top w:w="0" w:type="dxa"/>
            <w:left w:w="108" w:type="dxa"/>
            <w:bottom w:w="0" w:type="dxa"/>
            <w:right w:w="108" w:type="dxa"/>
          </w:tblCellMar>
        </w:tblPrEx>
        <w:trPr>
          <w:jc w:val="center"/>
        </w:trPr>
        <w:tc>
          <w:tcPr>
            <w:tcW w:w="2470" w:type="dxa"/>
            <w:tcBorders>
              <w:top w:val="single" w:color="000000" w:sz="4" w:space="0"/>
              <w:left w:val="nil"/>
              <w:bottom w:val="nil"/>
              <w:right w:val="nil"/>
            </w:tcBorders>
            <w:shd w:val="clear" w:color="auto" w:fill="FFFFFF"/>
            <w:vAlign w:val="center"/>
          </w:tcPr>
          <w:p w14:paraId="6FFA75D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Monthly outpatient visit</w:t>
            </w:r>
          </w:p>
        </w:tc>
        <w:tc>
          <w:tcPr>
            <w:tcW w:w="1148" w:type="dxa"/>
            <w:tcBorders>
              <w:top w:val="single" w:color="000000" w:sz="4" w:space="0"/>
              <w:left w:val="nil"/>
              <w:bottom w:val="nil"/>
              <w:right w:val="nil"/>
            </w:tcBorders>
            <w:shd w:val="clear" w:color="auto" w:fill="FFFFFF"/>
            <w:vAlign w:val="center"/>
          </w:tcPr>
          <w:p w14:paraId="3F39332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0.0266</w:t>
            </w:r>
          </w:p>
        </w:tc>
        <w:tc>
          <w:tcPr>
            <w:tcW w:w="1148" w:type="dxa"/>
            <w:tcBorders>
              <w:top w:val="single" w:color="000000" w:sz="4" w:space="0"/>
              <w:left w:val="nil"/>
              <w:bottom w:val="nil"/>
              <w:right w:val="nil"/>
            </w:tcBorders>
            <w:shd w:val="clear" w:color="auto" w:fill="FFFFFF"/>
            <w:vAlign w:val="center"/>
          </w:tcPr>
          <w:p w14:paraId="2B48D6A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0.0555</w:t>
            </w:r>
          </w:p>
        </w:tc>
        <w:tc>
          <w:tcPr>
            <w:tcW w:w="1148" w:type="dxa"/>
            <w:tcBorders>
              <w:top w:val="single" w:color="000000" w:sz="4" w:space="0"/>
              <w:left w:val="nil"/>
              <w:bottom w:val="nil"/>
              <w:right w:val="nil"/>
            </w:tcBorders>
            <w:shd w:val="clear" w:color="auto" w:fill="FFFFFF"/>
            <w:vAlign w:val="center"/>
          </w:tcPr>
          <w:p w14:paraId="709A08B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0.0502</w:t>
            </w:r>
          </w:p>
        </w:tc>
        <w:tc>
          <w:tcPr>
            <w:tcW w:w="1640" w:type="dxa"/>
            <w:tcBorders>
              <w:top w:val="single" w:color="000000" w:sz="4" w:space="0"/>
              <w:left w:val="nil"/>
              <w:bottom w:val="nil"/>
              <w:right w:val="nil"/>
            </w:tcBorders>
            <w:shd w:val="clear" w:color="auto" w:fill="FFFFFF"/>
            <w:vAlign w:val="center"/>
          </w:tcPr>
          <w:p w14:paraId="4F26481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0.0289(0.235)</w:t>
            </w:r>
          </w:p>
        </w:tc>
        <w:tc>
          <w:tcPr>
            <w:tcW w:w="1640" w:type="dxa"/>
            <w:tcBorders>
              <w:top w:val="single" w:color="000000" w:sz="4" w:space="0"/>
              <w:left w:val="nil"/>
              <w:bottom w:val="nil"/>
              <w:right w:val="nil"/>
            </w:tcBorders>
            <w:shd w:val="clear" w:color="auto" w:fill="FFFFFF"/>
            <w:vAlign w:val="center"/>
          </w:tcPr>
          <w:p w14:paraId="78B132D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0.0236(0.264)</w:t>
            </w:r>
          </w:p>
        </w:tc>
        <w:tc>
          <w:tcPr>
            <w:tcW w:w="1899" w:type="dxa"/>
            <w:tcBorders>
              <w:top w:val="single" w:color="000000" w:sz="4" w:space="0"/>
              <w:left w:val="nil"/>
              <w:bottom w:val="nil"/>
              <w:right w:val="nil"/>
            </w:tcBorders>
            <w:shd w:val="clear" w:color="auto" w:fill="FFFFFF"/>
            <w:vAlign w:val="center"/>
          </w:tcPr>
          <w:p w14:paraId="7D62975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0.0053(0.844)</w:t>
            </w:r>
          </w:p>
        </w:tc>
      </w:tr>
      <w:tr w14:paraId="4FBB345D">
        <w:tblPrEx>
          <w:tblCellMar>
            <w:top w:w="0" w:type="dxa"/>
            <w:left w:w="108" w:type="dxa"/>
            <w:bottom w:w="0" w:type="dxa"/>
            <w:right w:w="108" w:type="dxa"/>
          </w:tblCellMar>
        </w:tblPrEx>
        <w:trPr>
          <w:jc w:val="center"/>
        </w:trPr>
        <w:tc>
          <w:tcPr>
            <w:tcW w:w="2470" w:type="dxa"/>
            <w:tcBorders>
              <w:top w:val="nil"/>
              <w:left w:val="nil"/>
              <w:bottom w:val="nil"/>
              <w:right w:val="nil"/>
            </w:tcBorders>
            <w:shd w:val="clear" w:color="auto" w:fill="FFFFFF"/>
            <w:vAlign w:val="center"/>
          </w:tcPr>
          <w:p w14:paraId="75521CC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Annual hospital admission</w:t>
            </w:r>
          </w:p>
        </w:tc>
        <w:tc>
          <w:tcPr>
            <w:tcW w:w="1148" w:type="dxa"/>
            <w:tcBorders>
              <w:top w:val="nil"/>
              <w:left w:val="nil"/>
              <w:bottom w:val="nil"/>
              <w:right w:val="nil"/>
            </w:tcBorders>
            <w:shd w:val="clear" w:color="auto" w:fill="FFFFFF"/>
            <w:vAlign w:val="center"/>
          </w:tcPr>
          <w:p w14:paraId="384B705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0.1617***</w:t>
            </w:r>
          </w:p>
        </w:tc>
        <w:tc>
          <w:tcPr>
            <w:tcW w:w="1148" w:type="dxa"/>
            <w:tcBorders>
              <w:top w:val="nil"/>
              <w:left w:val="nil"/>
              <w:bottom w:val="nil"/>
              <w:right w:val="nil"/>
            </w:tcBorders>
            <w:shd w:val="clear" w:color="auto" w:fill="FFFFFF"/>
            <w:vAlign w:val="center"/>
          </w:tcPr>
          <w:p w14:paraId="4BB1A23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0.1013***</w:t>
            </w:r>
          </w:p>
        </w:tc>
        <w:tc>
          <w:tcPr>
            <w:tcW w:w="1148" w:type="dxa"/>
            <w:tcBorders>
              <w:top w:val="nil"/>
              <w:left w:val="nil"/>
              <w:bottom w:val="nil"/>
              <w:right w:val="nil"/>
            </w:tcBorders>
            <w:shd w:val="clear" w:color="auto" w:fill="FFFFFF"/>
            <w:vAlign w:val="center"/>
          </w:tcPr>
          <w:p w14:paraId="1289C12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0.1837***</w:t>
            </w:r>
          </w:p>
        </w:tc>
        <w:tc>
          <w:tcPr>
            <w:tcW w:w="1640" w:type="dxa"/>
            <w:tcBorders>
              <w:top w:val="nil"/>
              <w:left w:val="nil"/>
              <w:bottom w:val="nil"/>
              <w:right w:val="nil"/>
            </w:tcBorders>
            <w:shd w:val="clear" w:color="auto" w:fill="FFFFFF"/>
            <w:vAlign w:val="center"/>
          </w:tcPr>
          <w:p w14:paraId="488146C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bCs/>
                <w:color w:val="000000"/>
                <w:sz w:val="20"/>
                <w:szCs w:val="20"/>
                <w:lang w:val="en-US" w:eastAsia="zh-CN"/>
              </w:rPr>
              <w:t>-0.0604**(0.015)</w:t>
            </w:r>
          </w:p>
        </w:tc>
        <w:tc>
          <w:tcPr>
            <w:tcW w:w="1640" w:type="dxa"/>
            <w:tcBorders>
              <w:top w:val="nil"/>
              <w:left w:val="nil"/>
              <w:bottom w:val="nil"/>
              <w:right w:val="nil"/>
            </w:tcBorders>
            <w:shd w:val="clear" w:color="auto" w:fill="FFFFFF"/>
            <w:vAlign w:val="center"/>
          </w:tcPr>
          <w:p w14:paraId="377F500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0.0220(0.350)</w:t>
            </w:r>
          </w:p>
        </w:tc>
        <w:tc>
          <w:tcPr>
            <w:tcW w:w="1899" w:type="dxa"/>
            <w:tcBorders>
              <w:top w:val="nil"/>
              <w:left w:val="nil"/>
              <w:bottom w:val="nil"/>
              <w:right w:val="nil"/>
            </w:tcBorders>
            <w:shd w:val="clear" w:color="auto" w:fill="FFFFFF"/>
            <w:vAlign w:val="center"/>
          </w:tcPr>
          <w:p w14:paraId="551120A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bCs/>
                <w:color w:val="000000"/>
                <w:sz w:val="20"/>
                <w:szCs w:val="20"/>
                <w:lang w:val="en-US" w:eastAsia="zh-CN"/>
              </w:rPr>
              <w:t>-0.0824***(0.004)</w:t>
            </w:r>
          </w:p>
        </w:tc>
      </w:tr>
      <w:tr w14:paraId="649E6782">
        <w:tblPrEx>
          <w:tblCellMar>
            <w:top w:w="0" w:type="dxa"/>
            <w:left w:w="108" w:type="dxa"/>
            <w:bottom w:w="0" w:type="dxa"/>
            <w:right w:w="108" w:type="dxa"/>
          </w:tblCellMar>
        </w:tblPrEx>
        <w:trPr>
          <w:jc w:val="center"/>
        </w:trPr>
        <w:tc>
          <w:tcPr>
            <w:tcW w:w="2470" w:type="dxa"/>
            <w:tcBorders>
              <w:top w:val="nil"/>
              <w:left w:val="nil"/>
              <w:bottom w:val="nil"/>
              <w:right w:val="nil"/>
            </w:tcBorders>
            <w:shd w:val="clear" w:color="auto" w:fill="FFFFFF"/>
            <w:vAlign w:val="center"/>
          </w:tcPr>
          <w:p w14:paraId="40630D2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of monthly outpatient expenditure</w:t>
            </w:r>
          </w:p>
        </w:tc>
        <w:tc>
          <w:tcPr>
            <w:tcW w:w="1148" w:type="dxa"/>
            <w:tcBorders>
              <w:top w:val="nil"/>
              <w:left w:val="nil"/>
              <w:bottom w:val="nil"/>
              <w:right w:val="nil"/>
            </w:tcBorders>
            <w:shd w:val="clear" w:color="auto" w:fill="FFFFFF"/>
            <w:vAlign w:val="center"/>
          </w:tcPr>
          <w:p w14:paraId="4440E73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0.0785***</w:t>
            </w:r>
          </w:p>
        </w:tc>
        <w:tc>
          <w:tcPr>
            <w:tcW w:w="1148" w:type="dxa"/>
            <w:tcBorders>
              <w:top w:val="nil"/>
              <w:left w:val="nil"/>
              <w:bottom w:val="nil"/>
              <w:right w:val="nil"/>
            </w:tcBorders>
            <w:shd w:val="clear" w:color="auto" w:fill="FFFFFF"/>
            <w:vAlign w:val="center"/>
          </w:tcPr>
          <w:p w14:paraId="2E9C037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0.1202***</w:t>
            </w:r>
          </w:p>
        </w:tc>
        <w:tc>
          <w:tcPr>
            <w:tcW w:w="1148" w:type="dxa"/>
            <w:tcBorders>
              <w:top w:val="nil"/>
              <w:left w:val="nil"/>
              <w:bottom w:val="nil"/>
              <w:right w:val="nil"/>
            </w:tcBorders>
            <w:shd w:val="clear" w:color="auto" w:fill="FFFFFF"/>
            <w:vAlign w:val="center"/>
          </w:tcPr>
          <w:p w14:paraId="7CBB2B4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0.1158***</w:t>
            </w:r>
          </w:p>
        </w:tc>
        <w:tc>
          <w:tcPr>
            <w:tcW w:w="1640" w:type="dxa"/>
            <w:tcBorders>
              <w:top w:val="nil"/>
              <w:left w:val="nil"/>
              <w:bottom w:val="nil"/>
              <w:right w:val="nil"/>
            </w:tcBorders>
            <w:shd w:val="clear" w:color="auto" w:fill="FFFFFF"/>
            <w:vAlign w:val="center"/>
          </w:tcPr>
          <w:p w14:paraId="6406CF9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0.0416(0.119)</w:t>
            </w:r>
          </w:p>
        </w:tc>
        <w:tc>
          <w:tcPr>
            <w:tcW w:w="1640" w:type="dxa"/>
            <w:tcBorders>
              <w:top w:val="nil"/>
              <w:left w:val="nil"/>
              <w:bottom w:val="nil"/>
              <w:right w:val="nil"/>
            </w:tcBorders>
            <w:shd w:val="clear" w:color="auto" w:fill="FFFFFF"/>
            <w:vAlign w:val="center"/>
          </w:tcPr>
          <w:p w14:paraId="028EEB1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0.0372(0.103)</w:t>
            </w:r>
          </w:p>
        </w:tc>
        <w:tc>
          <w:tcPr>
            <w:tcW w:w="1899" w:type="dxa"/>
            <w:tcBorders>
              <w:top w:val="nil"/>
              <w:left w:val="nil"/>
              <w:bottom w:val="nil"/>
              <w:right w:val="nil"/>
            </w:tcBorders>
            <w:shd w:val="clear" w:color="auto" w:fill="FFFFFF"/>
            <w:vAlign w:val="center"/>
          </w:tcPr>
          <w:p w14:paraId="3B708E4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0.0044(0.878)</w:t>
            </w:r>
          </w:p>
        </w:tc>
      </w:tr>
      <w:tr w14:paraId="03319B09">
        <w:tblPrEx>
          <w:tblCellMar>
            <w:top w:w="0" w:type="dxa"/>
            <w:left w:w="108" w:type="dxa"/>
            <w:bottom w:w="0" w:type="dxa"/>
            <w:right w:w="108" w:type="dxa"/>
          </w:tblCellMar>
        </w:tblPrEx>
        <w:trPr>
          <w:jc w:val="center"/>
        </w:trPr>
        <w:tc>
          <w:tcPr>
            <w:tcW w:w="2470" w:type="dxa"/>
            <w:tcBorders>
              <w:top w:val="nil"/>
              <w:left w:val="nil"/>
              <w:bottom w:val="nil"/>
              <w:right w:val="nil"/>
            </w:tcBorders>
            <w:shd w:val="clear" w:color="auto" w:fill="FFFFFF"/>
            <w:vAlign w:val="center"/>
          </w:tcPr>
          <w:p w14:paraId="5D18114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of annual inpatient expenditure</w:t>
            </w:r>
          </w:p>
        </w:tc>
        <w:tc>
          <w:tcPr>
            <w:tcW w:w="1148" w:type="dxa"/>
            <w:tcBorders>
              <w:top w:val="nil"/>
              <w:left w:val="nil"/>
              <w:bottom w:val="nil"/>
              <w:right w:val="nil"/>
            </w:tcBorders>
            <w:shd w:val="clear" w:color="auto" w:fill="FFFFFF"/>
            <w:vAlign w:val="center"/>
          </w:tcPr>
          <w:p w14:paraId="0A61B75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0.2062***</w:t>
            </w:r>
          </w:p>
        </w:tc>
        <w:tc>
          <w:tcPr>
            <w:tcW w:w="1148" w:type="dxa"/>
            <w:tcBorders>
              <w:top w:val="nil"/>
              <w:left w:val="nil"/>
              <w:bottom w:val="nil"/>
              <w:right w:val="nil"/>
            </w:tcBorders>
            <w:shd w:val="clear" w:color="auto" w:fill="FFFFFF"/>
            <w:vAlign w:val="center"/>
          </w:tcPr>
          <w:p w14:paraId="2C93C92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0.1432***</w:t>
            </w:r>
          </w:p>
        </w:tc>
        <w:tc>
          <w:tcPr>
            <w:tcW w:w="1148" w:type="dxa"/>
            <w:tcBorders>
              <w:top w:val="nil"/>
              <w:left w:val="nil"/>
              <w:bottom w:val="nil"/>
              <w:right w:val="nil"/>
            </w:tcBorders>
            <w:shd w:val="clear" w:color="auto" w:fill="FFFFFF"/>
            <w:vAlign w:val="center"/>
          </w:tcPr>
          <w:p w14:paraId="14990C3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0.2232***</w:t>
            </w:r>
          </w:p>
        </w:tc>
        <w:tc>
          <w:tcPr>
            <w:tcW w:w="1640" w:type="dxa"/>
            <w:tcBorders>
              <w:top w:val="nil"/>
              <w:left w:val="nil"/>
              <w:bottom w:val="nil"/>
              <w:right w:val="nil"/>
            </w:tcBorders>
            <w:shd w:val="clear" w:color="auto" w:fill="FFFFFF"/>
            <w:vAlign w:val="center"/>
          </w:tcPr>
          <w:p w14:paraId="037857C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bCs/>
                <w:color w:val="000000"/>
                <w:sz w:val="20"/>
                <w:szCs w:val="20"/>
                <w:lang w:val="en-US" w:eastAsia="zh-CN"/>
              </w:rPr>
              <w:t>-0.0630**(0.018)</w:t>
            </w:r>
          </w:p>
        </w:tc>
        <w:tc>
          <w:tcPr>
            <w:tcW w:w="1640" w:type="dxa"/>
            <w:tcBorders>
              <w:top w:val="nil"/>
              <w:left w:val="nil"/>
              <w:bottom w:val="nil"/>
              <w:right w:val="nil"/>
            </w:tcBorders>
            <w:shd w:val="clear" w:color="auto" w:fill="FFFFFF"/>
            <w:vAlign w:val="center"/>
          </w:tcPr>
          <w:p w14:paraId="670D702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0.0170(0.491)</w:t>
            </w:r>
          </w:p>
        </w:tc>
        <w:tc>
          <w:tcPr>
            <w:tcW w:w="1899" w:type="dxa"/>
            <w:tcBorders>
              <w:top w:val="nil"/>
              <w:left w:val="nil"/>
              <w:bottom w:val="nil"/>
              <w:right w:val="nil"/>
            </w:tcBorders>
            <w:shd w:val="clear" w:color="auto" w:fill="FFFFFF"/>
            <w:vAlign w:val="center"/>
          </w:tcPr>
          <w:p w14:paraId="46A220C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bCs/>
                <w:color w:val="000000"/>
                <w:sz w:val="20"/>
                <w:szCs w:val="20"/>
                <w:lang w:val="en-US" w:eastAsia="zh-CN"/>
              </w:rPr>
              <w:t>-0.0800***(0.008)</w:t>
            </w:r>
          </w:p>
        </w:tc>
      </w:tr>
      <w:tr w14:paraId="28E53B1F">
        <w:tblPrEx>
          <w:tblCellMar>
            <w:top w:w="0" w:type="dxa"/>
            <w:left w:w="108" w:type="dxa"/>
            <w:bottom w:w="0" w:type="dxa"/>
            <w:right w:w="108" w:type="dxa"/>
          </w:tblCellMar>
        </w:tblPrEx>
        <w:trPr>
          <w:jc w:val="center"/>
        </w:trPr>
        <w:tc>
          <w:tcPr>
            <w:tcW w:w="2470" w:type="dxa"/>
            <w:tcBorders>
              <w:top w:val="nil"/>
              <w:left w:val="nil"/>
              <w:bottom w:val="single" w:color="000000" w:sz="12" w:space="0"/>
              <w:right w:val="nil"/>
            </w:tcBorders>
            <w:shd w:val="clear" w:color="auto" w:fill="FFFFFF"/>
            <w:vAlign w:val="center"/>
          </w:tcPr>
          <w:p w14:paraId="59221A7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of total annual medical expenditure</w:t>
            </w:r>
          </w:p>
        </w:tc>
        <w:tc>
          <w:tcPr>
            <w:tcW w:w="1148" w:type="dxa"/>
            <w:tcBorders>
              <w:top w:val="nil"/>
              <w:left w:val="nil"/>
              <w:bottom w:val="single" w:color="000000" w:sz="12" w:space="0"/>
              <w:right w:val="nil"/>
            </w:tcBorders>
            <w:shd w:val="clear" w:color="auto" w:fill="FFFFFF"/>
            <w:vAlign w:val="center"/>
          </w:tcPr>
          <w:p w14:paraId="6962D11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0.1193***</w:t>
            </w:r>
          </w:p>
        </w:tc>
        <w:tc>
          <w:tcPr>
            <w:tcW w:w="1148" w:type="dxa"/>
            <w:tcBorders>
              <w:top w:val="nil"/>
              <w:left w:val="nil"/>
              <w:bottom w:val="single" w:color="000000" w:sz="12" w:space="0"/>
              <w:right w:val="nil"/>
            </w:tcBorders>
            <w:shd w:val="clear" w:color="auto" w:fill="FFFFFF"/>
            <w:vAlign w:val="center"/>
          </w:tcPr>
          <w:p w14:paraId="25EF4DC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0.1193***</w:t>
            </w:r>
          </w:p>
        </w:tc>
        <w:tc>
          <w:tcPr>
            <w:tcW w:w="1148" w:type="dxa"/>
            <w:tcBorders>
              <w:top w:val="nil"/>
              <w:left w:val="nil"/>
              <w:bottom w:val="single" w:color="000000" w:sz="12" w:space="0"/>
              <w:right w:val="nil"/>
            </w:tcBorders>
            <w:shd w:val="clear" w:color="auto" w:fill="FFFFFF"/>
            <w:vAlign w:val="center"/>
          </w:tcPr>
          <w:p w14:paraId="19DE4B6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0.1368***</w:t>
            </w:r>
          </w:p>
        </w:tc>
        <w:tc>
          <w:tcPr>
            <w:tcW w:w="1640" w:type="dxa"/>
            <w:tcBorders>
              <w:top w:val="nil"/>
              <w:left w:val="nil"/>
              <w:bottom w:val="single" w:color="000000" w:sz="12" w:space="0"/>
              <w:right w:val="nil"/>
            </w:tcBorders>
            <w:shd w:val="clear" w:color="auto" w:fill="FFFFFF"/>
            <w:vAlign w:val="center"/>
          </w:tcPr>
          <w:p w14:paraId="6B4D721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0.0001(0.998)</w:t>
            </w:r>
          </w:p>
        </w:tc>
        <w:tc>
          <w:tcPr>
            <w:tcW w:w="1640" w:type="dxa"/>
            <w:tcBorders>
              <w:top w:val="nil"/>
              <w:left w:val="nil"/>
              <w:bottom w:val="single" w:color="000000" w:sz="12" w:space="0"/>
              <w:right w:val="nil"/>
            </w:tcBorders>
            <w:shd w:val="clear" w:color="auto" w:fill="FFFFFF"/>
            <w:vAlign w:val="center"/>
          </w:tcPr>
          <w:p w14:paraId="1C98818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0.0175(0.275)</w:t>
            </w:r>
          </w:p>
        </w:tc>
        <w:tc>
          <w:tcPr>
            <w:tcW w:w="1899" w:type="dxa"/>
            <w:tcBorders>
              <w:top w:val="nil"/>
              <w:left w:val="nil"/>
              <w:bottom w:val="single" w:color="000000" w:sz="12" w:space="0"/>
              <w:right w:val="nil"/>
            </w:tcBorders>
            <w:shd w:val="clear" w:color="auto" w:fill="FFFFFF"/>
            <w:vAlign w:val="center"/>
          </w:tcPr>
          <w:p w14:paraId="51A77F4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-0.0174(0.394)</w:t>
            </w:r>
          </w:p>
        </w:tc>
      </w:tr>
    </w:tbl>
    <w:p w14:paraId="595930E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 xml:space="preserve">Notes: </w:t>
      </w:r>
    </w:p>
    <w:p w14:paraId="4AC11E5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eastAsia"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 xml:space="preserve">HI refers to the horizontal inequity index after standardizing healthcare utilization outcomes for health needs. Need-standardization adjusted for age, gender, self-rated health status, chronic disease status, and depression risk. Positive HI values indicate pro-rich inequity.Pairwise differences were calculated as the difference between the two group-specific HI values. P values were obtained using 500 bootstrap simulations with resampling clustered at the individual level. * </w:t>
      </w:r>
      <w:r>
        <w:rPr>
          <w:rFonts w:hint="eastAsia" w:ascii="Times New Roman" w:hAnsi="Times New Roman" w:cs="Times New Roman"/>
          <w:color w:val="000000"/>
          <w:sz w:val="20"/>
          <w:szCs w:val="20"/>
          <w:lang w:val="en-US" w:eastAsia="zh-CN"/>
        </w:rPr>
        <w:t>p</w:t>
      </w:r>
      <w:r>
        <w:rPr>
          <w:rFonts w:hint="default" w:ascii="Times New Roman" w:hAnsi="Times New Roman" w:cs="Times New Roman"/>
          <w:color w:val="000000"/>
          <w:sz w:val="20"/>
          <w:szCs w:val="20"/>
          <w:lang w:val="en-US" w:eastAsia="zh-CN"/>
        </w:rPr>
        <w:t xml:space="preserve">&lt;0.10, ** </w:t>
      </w:r>
      <w:r>
        <w:rPr>
          <w:rFonts w:hint="eastAsia" w:ascii="Times New Roman" w:hAnsi="Times New Roman" w:cs="Times New Roman"/>
          <w:color w:val="000000"/>
          <w:sz w:val="20"/>
          <w:szCs w:val="20"/>
          <w:lang w:val="en-US" w:eastAsia="zh-CN"/>
        </w:rPr>
        <w:t>p</w:t>
      </w:r>
      <w:r>
        <w:rPr>
          <w:rFonts w:hint="default" w:ascii="Times New Roman" w:hAnsi="Times New Roman" w:cs="Times New Roman"/>
          <w:color w:val="000000"/>
          <w:sz w:val="20"/>
          <w:szCs w:val="20"/>
          <w:lang w:val="en-US" w:eastAsia="zh-CN"/>
        </w:rPr>
        <w:t xml:space="preserve">&lt;0.05, *** </w:t>
      </w:r>
      <w:r>
        <w:rPr>
          <w:rFonts w:hint="eastAsia" w:ascii="Times New Roman" w:hAnsi="Times New Roman" w:cs="Times New Roman"/>
          <w:color w:val="000000"/>
          <w:sz w:val="20"/>
          <w:szCs w:val="20"/>
          <w:lang w:val="en-US" w:eastAsia="zh-CN"/>
        </w:rPr>
        <w:t>p</w:t>
      </w:r>
      <w:r>
        <w:rPr>
          <w:rFonts w:hint="default" w:ascii="Times New Roman" w:hAnsi="Times New Roman" w:cs="Times New Roman"/>
          <w:color w:val="000000"/>
          <w:sz w:val="20"/>
          <w:szCs w:val="20"/>
          <w:lang w:val="en-US" w:eastAsia="zh-CN"/>
        </w:rPr>
        <w:t>&lt;0.01.</w:t>
      </w:r>
    </w:p>
    <w:p w14:paraId="0CE3CD09">
      <w:pPr>
        <w:spacing w:line="480" w:lineRule="auto"/>
        <w:rPr>
          <w:rFonts w:hint="eastAsia" w:ascii="Times New Roman" w:hAnsi="Times New Roman" w:cs="Times New Roman"/>
          <w:sz w:val="21"/>
          <w:szCs w:val="24"/>
          <w:lang w:val="en-US" w:eastAsia="zh-CN"/>
        </w:rPr>
      </w:pPr>
      <w:bookmarkStart w:id="0" w:name="_GoBack"/>
      <w:bookmarkEnd w:id="0"/>
    </w:p>
    <w:p w14:paraId="2C64BC6B">
      <w:pPr>
        <w:spacing w:line="480" w:lineRule="auto"/>
        <w:rPr>
          <w:rFonts w:hint="eastAsia" w:ascii="Times New Roman" w:hAnsi="Times New Roman" w:cs="Times New Roman"/>
          <w:sz w:val="21"/>
          <w:szCs w:val="24"/>
          <w:lang w:val="en-US" w:eastAsia="zh-CN"/>
        </w:rPr>
      </w:pPr>
    </w:p>
    <w:p w14:paraId="39D5424B">
      <w:pPr>
        <w:spacing w:line="480" w:lineRule="auto"/>
        <w:rPr>
          <w:rFonts w:hint="eastAsia" w:ascii="Times New Roman" w:hAnsi="Times New Roman" w:cs="Times New Roman"/>
          <w:sz w:val="21"/>
          <w:szCs w:val="24"/>
          <w:lang w:val="en-US" w:eastAsia="zh-CN"/>
        </w:rPr>
      </w:pPr>
    </w:p>
    <w:p w14:paraId="451163DB">
      <w:pPr>
        <w:spacing w:line="480" w:lineRule="auto"/>
        <w:rPr>
          <w:rFonts w:hint="eastAsia" w:ascii="Times New Roman" w:hAnsi="Times New Roman" w:cs="Times New Roman"/>
          <w:sz w:val="21"/>
          <w:szCs w:val="24"/>
          <w:lang w:val="en-US" w:eastAsia="zh-CN"/>
        </w:rPr>
        <w:sectPr>
          <w:pgSz w:w="11906" w:h="16838"/>
          <w:pgMar w:top="1440" w:right="1800" w:bottom="1440" w:left="1800" w:header="851" w:footer="992" w:gutter="0"/>
          <w:cols w:space="425" w:num="1"/>
          <w:docGrid w:type="lines" w:linePitch="312" w:charSpace="0"/>
        </w:sectPr>
      </w:pPr>
    </w:p>
    <w:p w14:paraId="36FC465D">
      <w:pPr>
        <w:rPr>
          <w:rFonts w:ascii="Times New Roman" w:hAnsi="Times New Roman" w:eastAsia="Times New Roman"/>
          <w:b/>
          <w:sz w:val="20"/>
        </w:rPr>
      </w:pPr>
      <w:r>
        <w:rPr>
          <w:rFonts w:ascii="Times New Roman" w:hAnsi="Times New Roman" w:eastAsia="Times New Roman"/>
          <w:b/>
          <w:sz w:val="20"/>
        </w:rPr>
        <w:t>Table S</w:t>
      </w:r>
      <w:r>
        <w:rPr>
          <w:rFonts w:hint="eastAsia" w:ascii="Times New Roman" w:hAnsi="Times New Roman" w:eastAsia="宋体"/>
          <w:b/>
          <w:sz w:val="20"/>
          <w:lang w:val="en-US" w:eastAsia="zh-CN"/>
        </w:rPr>
        <w:t>7</w:t>
      </w:r>
      <w:r>
        <w:rPr>
          <w:rFonts w:ascii="Times New Roman" w:hAnsi="Times New Roman" w:eastAsia="Times New Roman"/>
          <w:b/>
          <w:sz w:val="20"/>
        </w:rPr>
        <w:t xml:space="preserve">. </w:t>
      </w:r>
    </w:p>
    <w:p w14:paraId="5D1B200D">
      <w:pPr>
        <w:spacing w:line="480" w:lineRule="auto"/>
        <w:rPr>
          <w:rFonts w:hint="eastAsia" w:ascii="Times New Roman" w:hAnsi="Times New Roman" w:cs="Times New Roman"/>
          <w:sz w:val="21"/>
          <w:szCs w:val="24"/>
          <w:lang w:val="en-US" w:eastAsia="zh-CN"/>
        </w:rPr>
      </w:pPr>
      <w:r>
        <w:rPr>
          <w:rFonts w:hint="eastAsia" w:ascii="Times New Roman" w:hAnsi="Times New Roman" w:eastAsia="Times New Roman"/>
          <w:b w:val="0"/>
          <w:bCs/>
          <w:sz w:val="20"/>
        </w:rPr>
        <w:t>Overall RIF-I-OLS decomposition of inequality in healthcare utilization</w:t>
      </w:r>
    </w:p>
    <w:tbl>
      <w:tblPr>
        <w:tblStyle w:val="2"/>
        <w:tblpPr w:leftFromText="180" w:rightFromText="180" w:vertAnchor="text" w:horzAnchor="page" w:tblpX="1677" w:tblpY="292"/>
        <w:tblOverlap w:val="never"/>
        <w:tblW w:w="4997" w:type="pct"/>
        <w:tblInd w:w="0" w:type="dxa"/>
        <w:shd w:val="clear" w:color="auto" w:fill="FFFFFF" w:themeFill="background1"/>
        <w:tblLayout w:type="autofit"/>
        <w:tblCellMar>
          <w:top w:w="0" w:type="dxa"/>
          <w:left w:w="108" w:type="dxa"/>
          <w:bottom w:w="0" w:type="dxa"/>
          <w:right w:w="108" w:type="dxa"/>
        </w:tblCellMar>
      </w:tblPr>
      <w:tblGrid>
        <w:gridCol w:w="2490"/>
        <w:gridCol w:w="1153"/>
        <w:gridCol w:w="1146"/>
        <w:gridCol w:w="7"/>
        <w:gridCol w:w="1153"/>
        <w:gridCol w:w="1153"/>
        <w:gridCol w:w="1153"/>
        <w:gridCol w:w="1153"/>
        <w:gridCol w:w="1153"/>
        <w:gridCol w:w="1153"/>
        <w:gridCol w:w="1153"/>
        <w:gridCol w:w="1153"/>
      </w:tblGrid>
      <w:tr w14:paraId="1617C23C">
        <w:tblPrEx>
          <w:tblCellMar>
            <w:top w:w="0" w:type="dxa"/>
            <w:left w:w="108" w:type="dxa"/>
            <w:bottom w:w="0" w:type="dxa"/>
            <w:right w:w="108" w:type="dxa"/>
          </w:tblCellMar>
        </w:tblPrEx>
        <w:trPr>
          <w:tblHeader/>
        </w:trPr>
        <w:tc>
          <w:tcPr>
            <w:tcW w:w="2490" w:type="dxa"/>
            <w:tcBorders>
              <w:top w:val="single" w:color="000000" w:sz="12" w:space="0"/>
              <w:left w:val="nil"/>
              <w:bottom w:val="single" w:color="000000" w:sz="4" w:space="0"/>
              <w:right w:val="nil"/>
              <w:tl2br w:val="nil"/>
            </w:tcBorders>
            <w:shd w:val="clear" w:color="auto" w:fill="FFFFFF"/>
            <w:tcMar>
              <w:top w:w="35" w:type="dxa"/>
              <w:left w:w="35" w:type="dxa"/>
              <w:bottom w:w="35" w:type="dxa"/>
              <w:right w:w="35" w:type="dxa"/>
            </w:tcMar>
            <w:vAlign w:val="center"/>
          </w:tcPr>
          <w:p w14:paraId="7463202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Variables</w:t>
            </w:r>
          </w:p>
        </w:tc>
        <w:tc>
          <w:tcPr>
            <w:tcW w:w="2299" w:type="dxa"/>
            <w:gridSpan w:val="2"/>
            <w:tcBorders>
              <w:top w:val="single" w:color="000000" w:sz="12" w:space="0"/>
              <w:left w:val="nil"/>
              <w:bottom w:val="single" w:color="000000" w:sz="4" w:space="0"/>
              <w:right w:val="nil"/>
            </w:tcBorders>
            <w:shd w:val="clear" w:color="auto" w:fill="FFFFFF"/>
            <w:tcMar>
              <w:top w:w="35" w:type="dxa"/>
              <w:left w:w="35" w:type="dxa"/>
              <w:bottom w:w="35" w:type="dxa"/>
              <w:right w:w="35" w:type="dxa"/>
            </w:tcMar>
            <w:vAlign w:val="center"/>
          </w:tcPr>
          <w:p w14:paraId="7AD48C78">
            <w:pPr>
              <w:spacing w:line="240" w:lineRule="auto"/>
              <w:jc w:val="left"/>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 xml:space="preserve">Monthly outpatient visit </w:t>
            </w:r>
          </w:p>
        </w:tc>
        <w:tc>
          <w:tcPr>
            <w:tcW w:w="2313" w:type="dxa"/>
            <w:gridSpan w:val="3"/>
            <w:tcBorders>
              <w:top w:val="single" w:color="000000" w:sz="12" w:space="0"/>
              <w:left w:val="nil"/>
              <w:bottom w:val="single" w:color="000000" w:sz="4" w:space="0"/>
              <w:right w:val="nil"/>
            </w:tcBorders>
            <w:shd w:val="clear" w:color="auto" w:fill="FFFFFF"/>
            <w:tcMar>
              <w:top w:w="35" w:type="dxa"/>
              <w:left w:w="35" w:type="dxa"/>
              <w:bottom w:w="35" w:type="dxa"/>
              <w:right w:w="35" w:type="dxa"/>
            </w:tcMar>
            <w:vAlign w:val="center"/>
          </w:tcPr>
          <w:p w14:paraId="5E959E1E">
            <w:pPr>
              <w:spacing w:line="240" w:lineRule="auto"/>
              <w:jc w:val="left"/>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 xml:space="preserve">Annual hospital admission </w:t>
            </w:r>
          </w:p>
        </w:tc>
        <w:tc>
          <w:tcPr>
            <w:tcW w:w="2306" w:type="dxa"/>
            <w:gridSpan w:val="2"/>
            <w:tcBorders>
              <w:top w:val="single" w:color="000000" w:sz="12" w:space="0"/>
              <w:left w:val="nil"/>
              <w:bottom w:val="single" w:color="000000" w:sz="4" w:space="0"/>
              <w:right w:val="nil"/>
            </w:tcBorders>
            <w:shd w:val="clear" w:color="auto" w:fill="FFFFFF"/>
            <w:tcMar>
              <w:top w:w="35" w:type="dxa"/>
              <w:left w:w="35" w:type="dxa"/>
              <w:bottom w:w="35" w:type="dxa"/>
              <w:right w:w="35" w:type="dxa"/>
            </w:tcMar>
            <w:vAlign w:val="center"/>
          </w:tcPr>
          <w:p w14:paraId="5CB8BB63">
            <w:pPr>
              <w:spacing w:line="240" w:lineRule="auto"/>
              <w:jc w:val="left"/>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 xml:space="preserve">Log monthly outpatient expenditure </w:t>
            </w:r>
          </w:p>
        </w:tc>
        <w:tc>
          <w:tcPr>
            <w:tcW w:w="2306" w:type="dxa"/>
            <w:gridSpan w:val="2"/>
            <w:tcBorders>
              <w:top w:val="single" w:color="000000" w:sz="12" w:space="0"/>
              <w:left w:val="nil"/>
              <w:bottom w:val="single" w:color="000000" w:sz="4" w:space="0"/>
              <w:right w:val="nil"/>
            </w:tcBorders>
            <w:shd w:val="clear" w:color="auto" w:fill="FFFFFF"/>
            <w:tcMar>
              <w:top w:w="35" w:type="dxa"/>
              <w:left w:w="35" w:type="dxa"/>
              <w:bottom w:w="35" w:type="dxa"/>
              <w:right w:w="35" w:type="dxa"/>
            </w:tcMar>
            <w:vAlign w:val="center"/>
          </w:tcPr>
          <w:p w14:paraId="5FDE0494">
            <w:pPr>
              <w:spacing w:line="240" w:lineRule="auto"/>
              <w:jc w:val="left"/>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 xml:space="preserve">Log annual inpatient expenditure </w:t>
            </w:r>
          </w:p>
        </w:tc>
        <w:tc>
          <w:tcPr>
            <w:tcW w:w="2306" w:type="dxa"/>
            <w:gridSpan w:val="2"/>
            <w:tcBorders>
              <w:top w:val="single" w:color="000000" w:sz="12" w:space="0"/>
              <w:left w:val="nil"/>
              <w:bottom w:val="single" w:color="000000" w:sz="4" w:space="0"/>
              <w:right w:val="nil"/>
            </w:tcBorders>
            <w:shd w:val="clear" w:color="auto" w:fill="FFFFFF"/>
            <w:tcMar>
              <w:top w:w="35" w:type="dxa"/>
              <w:left w:w="35" w:type="dxa"/>
              <w:bottom w:w="35" w:type="dxa"/>
              <w:right w:w="35" w:type="dxa"/>
            </w:tcMar>
            <w:vAlign w:val="center"/>
          </w:tcPr>
          <w:p w14:paraId="3E9A7962">
            <w:pPr>
              <w:spacing w:line="240" w:lineRule="auto"/>
              <w:jc w:val="left"/>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 xml:space="preserve">Log total annual medical expenditure </w:t>
            </w:r>
          </w:p>
        </w:tc>
      </w:tr>
      <w:tr w14:paraId="338A69EC">
        <w:tblPrEx>
          <w:tblCellMar>
            <w:top w:w="0" w:type="dxa"/>
            <w:left w:w="108" w:type="dxa"/>
            <w:bottom w:w="0" w:type="dxa"/>
            <w:right w:w="108" w:type="dxa"/>
          </w:tblCellMar>
        </w:tblPrEx>
        <w:trPr>
          <w:tblHeader/>
        </w:trPr>
        <w:tc>
          <w:tcPr>
            <w:tcW w:w="2490" w:type="dxa"/>
            <w:tcBorders>
              <w:top w:val="single" w:color="000000" w:sz="4" w:space="0"/>
              <w:left w:val="nil"/>
              <w:bottom w:val="nil"/>
              <w:right w:val="nil"/>
              <w:tl2br w:val="nil"/>
            </w:tcBorders>
            <w:shd w:val="clear" w:color="auto" w:fill="FFFFFF"/>
            <w:tcMar>
              <w:top w:w="35" w:type="dxa"/>
              <w:left w:w="35" w:type="dxa"/>
              <w:bottom w:w="35" w:type="dxa"/>
              <w:right w:w="35" w:type="dxa"/>
            </w:tcMar>
            <w:vAlign w:val="center"/>
          </w:tcPr>
          <w:p w14:paraId="1BD74072">
            <w:pPr>
              <w:spacing w:line="240" w:lineRule="auto"/>
              <w:jc w:val="left"/>
              <w:rPr>
                <w:rFonts w:hint="default" w:ascii="Times New Roman" w:hAnsi="Times New Roman" w:eastAsia="宋体" w:cs="Times New Roman"/>
                <w:b w:val="0"/>
                <w:bCs w:val="0"/>
                <w:color w:val="000000"/>
                <w:sz w:val="20"/>
                <w:szCs w:val="20"/>
                <w:lang w:val="en-US" w:eastAsia="zh-CN"/>
              </w:rPr>
            </w:pP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4B0D56F6">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Coef.</w:t>
            </w:r>
          </w:p>
        </w:tc>
        <w:tc>
          <w:tcPr>
            <w:tcW w:w="1153" w:type="dxa"/>
            <w:gridSpan w:val="2"/>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12A1F7F1">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Contr. (%)</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5E640734">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Coef.</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631AAF3C">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Contr. (%)</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122DE7FF">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Coef.</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12C71EB1">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Contr. (%)</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709D9990">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Coef.</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25C2DCF0">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Contr. (%)</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682EAB1B">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Coef.</w:t>
            </w:r>
          </w:p>
        </w:tc>
        <w:tc>
          <w:tcPr>
            <w:tcW w:w="1153" w:type="dxa"/>
            <w:tcBorders>
              <w:top w:val="single" w:color="000000" w:sz="4" w:space="0"/>
              <w:left w:val="nil"/>
              <w:bottom w:val="nil"/>
              <w:right w:val="nil"/>
            </w:tcBorders>
            <w:shd w:val="clear" w:color="auto" w:fill="FFFFFF"/>
            <w:tcMar>
              <w:top w:w="35" w:type="dxa"/>
              <w:left w:w="35" w:type="dxa"/>
              <w:bottom w:w="35" w:type="dxa"/>
              <w:right w:w="35" w:type="dxa"/>
            </w:tcMar>
            <w:vAlign w:val="center"/>
          </w:tcPr>
          <w:p w14:paraId="3CD74D8A">
            <w:pPr>
              <w:spacing w:line="240" w:lineRule="auto"/>
              <w:jc w:val="left"/>
              <w:rPr>
                <w:rFonts w:hint="default" w:ascii="Times New Roman" w:hAnsi="Times New Roman" w:eastAsia="宋体" w:cs="Times New Roman"/>
                <w:b w:val="0"/>
                <w:bCs w:val="0"/>
                <w:color w:val="000000"/>
                <w:sz w:val="20"/>
                <w:szCs w:val="20"/>
                <w:lang w:val="en-US" w:eastAsia="zh-CN"/>
              </w:rPr>
            </w:pPr>
            <w:r>
              <w:rPr>
                <w:rFonts w:hint="default" w:ascii="Times New Roman" w:hAnsi="Times New Roman" w:eastAsia="宋体" w:cs="Times New Roman"/>
                <w:b w:val="0"/>
                <w:bCs w:val="0"/>
                <w:color w:val="000000"/>
                <w:sz w:val="20"/>
                <w:szCs w:val="20"/>
                <w:lang w:val="en-US" w:eastAsia="zh-CN"/>
              </w:rPr>
              <w:t>Contr. (%)</w:t>
            </w:r>
          </w:p>
        </w:tc>
      </w:tr>
      <w:tr w14:paraId="746C8137">
        <w:tblPrEx>
          <w:shd w:val="clear" w:color="auto" w:fill="FFFFFF" w:themeFill="background1"/>
          <w:tblCellMar>
            <w:top w:w="0" w:type="dxa"/>
            <w:left w:w="108" w:type="dxa"/>
            <w:bottom w:w="0" w:type="dxa"/>
            <w:right w:w="108" w:type="dxa"/>
          </w:tblCellMar>
        </w:tblPrEx>
        <w:trPr>
          <w:tblHeader/>
        </w:trPr>
        <w:tc>
          <w:tcPr>
            <w:tcW w:w="2490" w:type="dxa"/>
            <w:tcBorders>
              <w:top w:val="nil"/>
              <w:left w:val="nil"/>
              <w:bottom w:val="nil"/>
              <w:right w:val="nil"/>
            </w:tcBorders>
            <w:shd w:val="clear" w:color="auto" w:fill="FFFFFF"/>
            <w:vAlign w:val="center"/>
          </w:tcPr>
          <w:p w14:paraId="3019E50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Free health check-up vs no health check-up</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6A697D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0.0086</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1D2D885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16.4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0A30E9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657D58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AA5470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6F6F8A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DD496B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-0.0139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0C145D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-6.7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2575F5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-0.0002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5ACBB1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w:t>
            </w:r>
          </w:p>
        </w:tc>
      </w:tr>
      <w:tr w14:paraId="7348AF1B">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03054C9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Self-paid health check-up vs no health check-up</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562F53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0.0040</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35B588A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0F2FA9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F8E2C7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07AD68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0.0027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7E0B1A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3582C7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-0.0117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5C2808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90B011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-0.0036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E3076D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-2.7</w:t>
            </w:r>
          </w:p>
        </w:tc>
      </w:tr>
      <w:tr w14:paraId="0D4FF9FD">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1EA6BA4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Health check-up type jointly</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0C6286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0.0126</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2C49A8E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24.1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D0E360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-0.0269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C35A51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-13.5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9B3C8C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0.0115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A2E2B4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11.4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47EF4B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-0.0257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FDA00B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-12.4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87E4F4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-0.0038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F5DB0B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-2.9</w:t>
            </w:r>
          </w:p>
        </w:tc>
      </w:tr>
      <w:tr w14:paraId="3DAB345F">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58A913A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Age</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B113DD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0.0235</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6B6947C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45.1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990C19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0.0377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A206C9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19.0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C4274E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0.0103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456D66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20AD78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0.0234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3BA5A8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11.3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956CF7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0.0180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C90BBA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13.9</w:t>
            </w:r>
          </w:p>
        </w:tc>
      </w:tr>
      <w:tr w14:paraId="44D09F67">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1CE1428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Gender</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198A32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-0.0212</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2568CCD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-40.7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1264F2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A39976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CF8D35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DDFAF8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-17.1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37D815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-0.0041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03920F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BEE92D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FE8A8F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-13.3</w:t>
            </w:r>
          </w:p>
        </w:tc>
      </w:tr>
      <w:tr w14:paraId="7FC5A532">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19739B7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Education level</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C9E567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0.0231</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33D58FF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44.4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51387C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7C2226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BA964B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0.0194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1B0A11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19.3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40E3D7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0.0051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A9D492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5BA14F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2594EB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7.5</w:t>
            </w:r>
          </w:p>
        </w:tc>
      </w:tr>
      <w:tr w14:paraId="0564D139">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77FB646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Marital status</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4E304D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-0.0042</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3D8775D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94E36E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0.0157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F23F1C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3224AC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0.0007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75E541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F70F03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0.0152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2F7359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697659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1E4380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6.9</w:t>
            </w:r>
          </w:p>
        </w:tc>
      </w:tr>
      <w:tr w14:paraId="63676B14">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328C05D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Residential area</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00907E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0.0191</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5868929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36.7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52FF4E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0.0017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0D6713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2E89EB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6FBDC9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5D6FC2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-0.0037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F31691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E14EE1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0.0012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E239D6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0.9</w:t>
            </w:r>
          </w:p>
        </w:tc>
      </w:tr>
      <w:tr w14:paraId="47424AFA">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04C7900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Self-rated health status</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C504B2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0.0493</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64F2DB8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94.6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86B03E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-0.0486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27AC79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-24.5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C649FB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0.0313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1E252A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31.1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F5DF43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-0.0311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EE459F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-15.0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EE2376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D1258E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6.5</w:t>
            </w:r>
          </w:p>
        </w:tc>
      </w:tr>
      <w:tr w14:paraId="754D39F6">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0ECA243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Health insurance coverage</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153BC3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-0.0249</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386A78E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-47.8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84D6C7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5029D1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E39C5E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-0.0407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61AAF4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-40.4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5B73EC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-0.0015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935465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205D41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-0.0134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3FD65E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-10.3</w:t>
            </w:r>
          </w:p>
        </w:tc>
      </w:tr>
      <w:tr w14:paraId="05DB090A">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4BB6E0A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Chronic disease</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82A77C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-0.0723</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7469613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-138.7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1CF693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-0.1009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D9921D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-50.8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2D0C9C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-0.0795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4D60F3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-79.0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0C14FF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-0.0965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18755A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-46.6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434AB7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-0.0811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A06F3A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-62.5</w:t>
            </w:r>
          </w:p>
        </w:tc>
      </w:tr>
      <w:tr w14:paraId="0D1C5D62">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3A85C36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Smoking habit</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140214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-0.0062</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0343040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-11.8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88A764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93D59C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0AF269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-0.0035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8B2CA9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55A5C0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-0.0064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1D2C98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A83F35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-0.0062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9CBAC9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-4.8</w:t>
            </w:r>
          </w:p>
        </w:tc>
      </w:tr>
      <w:tr w14:paraId="78E23392">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57FC8A4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Drinking habit</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B9F914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-0.0137</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26D1CA9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-26.3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2A563D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-0.0146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B9023A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B7E649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-0.0140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2144EF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-13.9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BC7369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-0.0110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9F1646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AFC28A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-0.0131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D96283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-10.1</w:t>
            </w:r>
          </w:p>
        </w:tc>
      </w:tr>
      <w:tr w14:paraId="6BC993B5">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739A4C8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Physical activity</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30ED14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-0.0131</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0CCEED0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-25.1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5AF520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0.0172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9D3CD4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42A2B8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-0.0182</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7CA2A4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-18.1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605F8C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3A8626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CAE3CD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-0.0048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485F81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-3.7</w:t>
            </w:r>
          </w:p>
        </w:tc>
      </w:tr>
      <w:tr w14:paraId="0ACE9E66">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3E3C221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Depression risk</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EFC254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0.0081</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16E73C37">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15.6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D54237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4D7001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F09A72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0.0055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07833B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ACEEC5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-0.0109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04129B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B0BA16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-0.0015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0138FD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-1.2</w:t>
            </w:r>
          </w:p>
        </w:tc>
      </w:tr>
      <w:tr w14:paraId="67B9996C">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69C3E97F">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Log of per capita household consumption</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2AF0FB3">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-0.2082</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70D5421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-399.5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332A19E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-0.0098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64D6A2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EE8845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-0.2000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B248AA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-198.7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F6468E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-0.1573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9357C4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-76.1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26BE2E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-0.1610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1CB6F7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-124.0</w:t>
            </w:r>
          </w:p>
        </w:tc>
      </w:tr>
      <w:tr w14:paraId="685F1C35">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0073292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Survey year</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EB9C90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0.0432</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5B42C04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82.9</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39E146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-0.1084</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19C27D9">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-54.5</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5C7DD0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0.0278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D5A5FBA">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27.6</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409D44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-0.1008</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6F06F2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B6E86D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-0.0213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446C6C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-16.4</w:t>
            </w:r>
          </w:p>
        </w:tc>
      </w:tr>
      <w:tr w14:paraId="4673C3AA">
        <w:tblPrEx>
          <w:tblCellMar>
            <w:top w:w="0" w:type="dxa"/>
            <w:left w:w="108" w:type="dxa"/>
            <w:bottom w:w="0" w:type="dxa"/>
            <w:right w:w="108" w:type="dxa"/>
          </w:tblCellMar>
        </w:tblPrEx>
        <w:trPr>
          <w:trHeight w:val="283" w:hRule="atLeast"/>
        </w:trPr>
        <w:tc>
          <w:tcPr>
            <w:tcW w:w="2490" w:type="dxa"/>
            <w:tcBorders>
              <w:top w:val="nil"/>
              <w:left w:val="nil"/>
              <w:bottom w:val="nil"/>
              <w:right w:val="nil"/>
            </w:tcBorders>
            <w:shd w:val="clear" w:color="auto" w:fill="FFFFFF"/>
            <w:tcMar>
              <w:top w:w="35" w:type="dxa"/>
              <w:left w:w="35" w:type="dxa"/>
              <w:bottom w:w="35" w:type="dxa"/>
              <w:right w:w="35" w:type="dxa"/>
            </w:tcMar>
            <w:vAlign w:val="center"/>
          </w:tcPr>
          <w:p w14:paraId="75AF0DE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Intercept/reference categories</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4E3C62A4">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0.2370</w:t>
            </w:r>
          </w:p>
        </w:tc>
        <w:tc>
          <w:tcPr>
            <w:tcW w:w="1153" w:type="dxa"/>
            <w:gridSpan w:val="2"/>
            <w:tcBorders>
              <w:top w:val="nil"/>
              <w:left w:val="nil"/>
              <w:bottom w:val="nil"/>
              <w:right w:val="nil"/>
            </w:tcBorders>
            <w:shd w:val="clear" w:color="auto" w:fill="FFFFFF"/>
            <w:tcMar>
              <w:top w:w="35" w:type="dxa"/>
              <w:left w:w="35" w:type="dxa"/>
              <w:bottom w:w="35" w:type="dxa"/>
              <w:right w:w="35" w:type="dxa"/>
            </w:tcMar>
            <w:vAlign w:val="center"/>
          </w:tcPr>
          <w:p w14:paraId="6F79E48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454.7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63E2EC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0.4631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13A702E6">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233.0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264DE02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0.3587</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A78581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356.3</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01501DE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0.6020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621F0B3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291.1</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52DF979E">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0.4070</w:t>
            </w:r>
          </w:p>
        </w:tc>
        <w:tc>
          <w:tcPr>
            <w:tcW w:w="1153" w:type="dxa"/>
            <w:tcBorders>
              <w:top w:val="nil"/>
              <w:left w:val="nil"/>
              <w:bottom w:val="nil"/>
              <w:right w:val="nil"/>
            </w:tcBorders>
            <w:shd w:val="clear" w:color="auto" w:fill="FFFFFF"/>
            <w:tcMar>
              <w:top w:w="35" w:type="dxa"/>
              <w:left w:w="35" w:type="dxa"/>
              <w:bottom w:w="35" w:type="dxa"/>
              <w:right w:w="35" w:type="dxa"/>
            </w:tcMar>
            <w:vAlign w:val="center"/>
          </w:tcPr>
          <w:p w14:paraId="70E0A805">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313.4</w:t>
            </w:r>
          </w:p>
        </w:tc>
      </w:tr>
      <w:tr w14:paraId="67277E88">
        <w:tblPrEx>
          <w:shd w:val="clear" w:color="auto" w:fill="FFFFFF" w:themeFill="background1"/>
          <w:tblCellMar>
            <w:top w:w="0" w:type="dxa"/>
            <w:left w:w="108" w:type="dxa"/>
            <w:bottom w:w="0" w:type="dxa"/>
            <w:right w:w="108" w:type="dxa"/>
          </w:tblCellMar>
        </w:tblPrEx>
        <w:trPr>
          <w:trHeight w:val="283" w:hRule="atLeast"/>
        </w:trPr>
        <w:tc>
          <w:tcPr>
            <w:tcW w:w="2490"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757AAEA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Observed inequality index</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7FA391AD">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0.0521</w:t>
            </w:r>
          </w:p>
        </w:tc>
        <w:tc>
          <w:tcPr>
            <w:tcW w:w="1153" w:type="dxa"/>
            <w:gridSpan w:val="2"/>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2F3DAFB8">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100.0</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009ED35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0.1988</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0F3AC6E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100.0</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0FFB9F80">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0.1007</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55A2718C">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100.0</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42CA23D1">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0.2068</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7A1A923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100.0</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5A2EE93B">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0.1299</w:t>
            </w:r>
          </w:p>
        </w:tc>
        <w:tc>
          <w:tcPr>
            <w:tcW w:w="1153" w:type="dxa"/>
            <w:tcBorders>
              <w:top w:val="nil"/>
              <w:left w:val="nil"/>
              <w:bottom w:val="single" w:color="000000" w:sz="12" w:space="0"/>
              <w:right w:val="nil"/>
            </w:tcBorders>
            <w:shd w:val="clear" w:color="auto" w:fill="FFFFFF"/>
            <w:tcMar>
              <w:top w:w="35" w:type="dxa"/>
              <w:left w:w="35" w:type="dxa"/>
              <w:bottom w:w="35" w:type="dxa"/>
              <w:right w:w="35" w:type="dxa"/>
            </w:tcMar>
            <w:vAlign w:val="center"/>
          </w:tcPr>
          <w:p w14:paraId="1E0852D2">
            <w:pPr>
              <w:spacing w:line="240" w:lineRule="auto"/>
              <w:jc w:val="both"/>
              <w:rPr>
                <w:rFonts w:hint="default" w:ascii="Times New Roman" w:hAnsi="Times New Roman" w:eastAsia="宋体" w:cs="Times New Roman"/>
                <w:b w:val="0"/>
                <w:bCs w:val="0"/>
                <w:color w:val="000000"/>
                <w:sz w:val="20"/>
                <w:szCs w:val="20"/>
              </w:rPr>
            </w:pPr>
            <w:r>
              <w:rPr>
                <w:rFonts w:hint="default" w:ascii="Times New Roman" w:hAnsi="Times New Roman" w:eastAsia="宋体" w:cs="Times New Roman"/>
                <w:b w:val="0"/>
                <w:bCs w:val="0"/>
                <w:color w:val="000000"/>
                <w:sz w:val="20"/>
                <w:szCs w:val="20"/>
                <w:lang w:val="en-US" w:eastAsia="zh-CN"/>
              </w:rPr>
              <w:t>100.0</w:t>
            </w:r>
          </w:p>
        </w:tc>
      </w:tr>
    </w:tbl>
    <w:p w14:paraId="2E05C03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 xml:space="preserve">Notes: </w:t>
      </w:r>
    </w:p>
    <w:p w14:paraId="56DD6F3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rPr>
          <w:rFonts w:hint="eastAsia"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This table reports the overall RIF-I-OLS decomposition of inequality in healthcare utilization using the full sample. No health check-up was used as the reference group for health check-up type. “Coef.” indicates the RIF-I-OLS contribution value, and “Contr. (%)” indicates the proportion of the observed inequality index accounted for by each factor. Negative values indicate offsetting contributions. Contribution percentages may exceed 100% in absolute value because different factors contribute in opposite directions.</w:t>
      </w:r>
    </w:p>
    <w:p w14:paraId="04593C92">
      <w:pPr>
        <w:spacing w:line="480" w:lineRule="auto"/>
        <w:rPr>
          <w:rFonts w:hint="eastAsia" w:ascii="Times New Roman" w:hAnsi="Times New Roman" w:cs="Times New Roman"/>
          <w:sz w:val="21"/>
          <w:szCs w:val="24"/>
          <w:lang w:val="en-US" w:eastAsia="zh-CN"/>
        </w:rPr>
      </w:pPr>
    </w:p>
    <w:p w14:paraId="2D33A8D0">
      <w:pPr>
        <w:spacing w:line="480" w:lineRule="auto"/>
        <w:rPr>
          <w:rFonts w:hint="eastAsia" w:ascii="Times New Roman" w:hAnsi="Times New Roman" w:cs="Times New Roman"/>
          <w:sz w:val="21"/>
          <w:szCs w:val="24"/>
          <w:lang w:val="en-US" w:eastAsia="zh-CN"/>
        </w:rPr>
        <w:sectPr>
          <w:pgSz w:w="16838" w:h="11906" w:orient="landscape"/>
          <w:pgMar w:top="1800" w:right="1440" w:bottom="1800" w:left="1440" w:header="851" w:footer="992" w:gutter="0"/>
          <w:cols w:space="425" w:num="1"/>
          <w:docGrid w:type="lines" w:linePitch="312" w:charSpace="0"/>
        </w:sectPr>
      </w:pPr>
    </w:p>
    <w:p w14:paraId="3E2019FD">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21D2C"/>
    <w:multiLevelType w:val="singleLevel"/>
    <w:tmpl w:val="90221D2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9041B3"/>
    <w:rsid w:val="00B22BA0"/>
    <w:rsid w:val="025E67D7"/>
    <w:rsid w:val="074F5652"/>
    <w:rsid w:val="08534C69"/>
    <w:rsid w:val="0D057AD5"/>
    <w:rsid w:val="0EB35475"/>
    <w:rsid w:val="11166833"/>
    <w:rsid w:val="17B26469"/>
    <w:rsid w:val="193261D5"/>
    <w:rsid w:val="1A257F92"/>
    <w:rsid w:val="1EDC0931"/>
    <w:rsid w:val="29027D72"/>
    <w:rsid w:val="2B87043E"/>
    <w:rsid w:val="2D1A7526"/>
    <w:rsid w:val="318D31E8"/>
    <w:rsid w:val="33DD6DAC"/>
    <w:rsid w:val="3B473470"/>
    <w:rsid w:val="3C7F4CB9"/>
    <w:rsid w:val="3DA768E2"/>
    <w:rsid w:val="3E0842E9"/>
    <w:rsid w:val="3E1F4C7E"/>
    <w:rsid w:val="3F802498"/>
    <w:rsid w:val="428C0621"/>
    <w:rsid w:val="435466E2"/>
    <w:rsid w:val="47F04106"/>
    <w:rsid w:val="4D106789"/>
    <w:rsid w:val="4F1D07B2"/>
    <w:rsid w:val="4FDF63AF"/>
    <w:rsid w:val="564F16D3"/>
    <w:rsid w:val="569F1A74"/>
    <w:rsid w:val="579041B3"/>
    <w:rsid w:val="5CA67837"/>
    <w:rsid w:val="5D0B2591"/>
    <w:rsid w:val="5DAC0C7A"/>
    <w:rsid w:val="655D2DBC"/>
    <w:rsid w:val="665A54E5"/>
    <w:rsid w:val="68EB2D0A"/>
    <w:rsid w:val="6CAB51F7"/>
    <w:rsid w:val="6FE01508"/>
    <w:rsid w:val="6FEF7A37"/>
    <w:rsid w:val="709F03D8"/>
    <w:rsid w:val="71DC056D"/>
    <w:rsid w:val="72425BA8"/>
    <w:rsid w:val="78CA3002"/>
    <w:rsid w:val="7A825C5E"/>
    <w:rsid w:val="7B94453A"/>
    <w:rsid w:val="7FFF4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1565</Words>
  <Characters>10789</Characters>
  <Lines>0</Lines>
  <Paragraphs>0</Paragraphs>
  <TotalTime>0</TotalTime>
  <ScaleCrop>false</ScaleCrop>
  <LinksUpToDate>false</LinksUpToDate>
  <CharactersWithSpaces>11933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2026-08-17T06:28:00Z</dcterms:created>
  <dc:creator>胡丹</dc:creator>
  <cp:lastModifiedBy>胡丹</cp:lastModifiedBy>
  <dcterms:modified xsi:type="dcterms:W3CDTF">2026-09-02T06:54:39Z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5F81BCEF2D5247F8B27C56622097D19A_11</vt:lpwstr>
  </property>
  <property fmtid="{D5CDD505-2E9C-101B-9397-08002B2CF9AE}" pid="4" name="KSOTemplateDocerSaveRecord">
    <vt:lpwstr>eyJoZGlkIjoiNmFmZWQ5YzlmY2MxYmE2NzJkY2ExNTEyMzc0M2EzNjEiLCJ1c2VySWQiOiI3MzcwMTYxOTMifQ==</vt:lpwstr>
  </property>
</Properties>
</file>