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2" w:type="dxa"/>
        <w:tblInd w:w="93" w:type="dxa"/>
        <w:tblLook w:val="04A0" w:firstRow="1" w:lastRow="0" w:firstColumn="1" w:lastColumn="0" w:noHBand="0" w:noVBand="1"/>
      </w:tblPr>
      <w:tblGrid>
        <w:gridCol w:w="1554"/>
        <w:gridCol w:w="1631"/>
        <w:gridCol w:w="1762"/>
        <w:gridCol w:w="1991"/>
        <w:gridCol w:w="3484"/>
      </w:tblGrid>
      <w:tr w:rsidR="003F6B9C" w:rsidRPr="003F6B9C" w:rsidTr="00851465">
        <w:trPr>
          <w:trHeight w:val="315"/>
        </w:trPr>
        <w:tc>
          <w:tcPr>
            <w:tcW w:w="104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Supplement</w:t>
            </w:r>
            <w:r w:rsidRPr="003F6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 xml:space="preserve"> 1- Summary of Studies on Airborne Lead Exposure and Concentration from Shooting Activities, by Chronological Orders (modified from Wang et al., 2016).</w:t>
            </w:r>
          </w:p>
        </w:tc>
      </w:tr>
      <w:tr w:rsidR="003F6B9C" w:rsidRPr="003F6B9C" w:rsidTr="003F6B9C">
        <w:trPr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AU" w:eastAsia="en-AU"/>
              </w:rPr>
              <w:t>Study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AU" w:eastAsia="en-AU"/>
              </w:rPr>
              <w:t>Studied Personnel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AU" w:eastAsia="en-AU"/>
              </w:rPr>
              <w:t>Indoor/Outdoor/</w:t>
            </w:r>
          </w:p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AU" w:eastAsia="en-AU"/>
              </w:rPr>
              <w:t>Other Firing ranges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b/>
                <w:bCs/>
                <w:color w:val="333333"/>
                <w:sz w:val="20"/>
                <w:szCs w:val="20"/>
                <w:lang w:val="en-AU" w:eastAsia="en-AU"/>
              </w:rPr>
              <w:t>Firearm/Ammunition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0000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AU" w:eastAsia="en-AU"/>
              </w:rPr>
              <w:t xml:space="preserve">Airborne Lead </w:t>
            </w:r>
            <w:proofErr w:type="spellStart"/>
            <w:r w:rsidRPr="003F6B9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AU" w:eastAsia="en-AU"/>
              </w:rPr>
              <w:t>Level</w:t>
            </w:r>
            <w: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AU" w:eastAsia="en-AU"/>
              </w:rPr>
              <w:t>s</w:t>
            </w:r>
            <w:r w:rsidRPr="003F6B9C">
              <w:rPr>
                <w:rFonts w:asciiTheme="majorHAnsi" w:eastAsia="Times New Roman" w:hAnsiTheme="majorHAnsi" w:cstheme="majorHAnsi"/>
                <w:sz w:val="20"/>
                <w:szCs w:val="20"/>
                <w:vertAlign w:val="superscript"/>
                <w:lang w:val="en-AU" w:eastAsia="en-AU"/>
              </w:rPr>
              <w:t>a</w:t>
            </w:r>
            <w:proofErr w:type="spellEnd"/>
          </w:p>
        </w:tc>
      </w:tr>
      <w:tr w:rsidR="003F6B9C" w:rsidRPr="003F6B9C" w:rsidTr="003F6B9C">
        <w:trPr>
          <w:trHeight w:val="675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Fischbein et al. (1979)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Law enforcement officers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Indoor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n.s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. b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45–900 µg/m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(with a peak exposure of 3,750 mg/m3 during firing)</w:t>
            </w:r>
          </w:p>
        </w:tc>
      </w:tr>
      <w:tr w:rsidR="003F6B9C" w:rsidRPr="003F6B9C" w:rsidTr="003F6B9C">
        <w:trPr>
          <w:trHeight w:val="495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Muskett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and Caswell (1980)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Range workers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Indoor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Rifle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55–113 µg/m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</w:p>
        </w:tc>
      </w:tr>
      <w:tr w:rsidR="003F6B9C" w:rsidRPr="003F6B9C" w:rsidTr="003F6B9C">
        <w:trPr>
          <w:trHeight w:val="435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Novotny et al. (1987)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Ranger workers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Indoor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n.s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2.7–90.5 µg/m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</w:p>
        </w:tc>
      </w:tr>
      <w:tr w:rsidR="003F6B9C" w:rsidRPr="003F6B9C" w:rsidTr="003F6B9C">
        <w:trPr>
          <w:trHeight w:val="555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Valway et al. (1989)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Law enforcement officers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Indoor and outdoor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n.s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2,000 µg/m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(short-term)</w:t>
            </w:r>
          </w:p>
        </w:tc>
      </w:tr>
      <w:tr w:rsidR="003F6B9C" w:rsidRPr="003F6B9C" w:rsidTr="003F6B9C">
        <w:trPr>
          <w:trHeight w:val="405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304 µg/m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(Corrected 8-h TWA by Stern)</w:t>
            </w:r>
          </w:p>
        </w:tc>
      </w:tr>
      <w:tr w:rsidR="003F6B9C" w:rsidRPr="003F6B9C" w:rsidTr="003F6B9C">
        <w:trPr>
          <w:trHeight w:val="638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Goldberg et al. (1991)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Law enforcement officers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Indoor and outdoor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Lead and lead-free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460–510 µg/m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(lead, 3-h TWA)</w:t>
            </w:r>
          </w:p>
        </w:tc>
      </w:tr>
      <w:tr w:rsidR="003F6B9C" w:rsidRPr="003F6B9C" w:rsidTr="003F6B9C">
        <w:trPr>
          <w:trHeight w:val="39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100–170 µg/m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(lead-free, 3-h TWA)</w:t>
            </w:r>
          </w:p>
        </w:tc>
      </w:tr>
      <w:tr w:rsidR="003F6B9C" w:rsidRPr="003F6B9C" w:rsidTr="003F6B9C">
        <w:trPr>
          <w:trHeight w:val="39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Bonanno et al. (2002)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Outdoor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Lead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286 µg/m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(22 calibre - summer)</w:t>
            </w:r>
          </w:p>
        </w:tc>
      </w:tr>
      <w:tr w:rsidR="003F6B9C" w:rsidRPr="003F6B9C" w:rsidTr="003F6B9C">
        <w:trPr>
          <w:trHeight w:val="269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579 µg/m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(center fire - summer)</w:t>
            </w:r>
          </w:p>
        </w:tc>
      </w:tr>
      <w:tr w:rsidR="003F6B9C" w:rsidRPr="003F6B9C" w:rsidTr="003F6B9C">
        <w:trPr>
          <w:trHeight w:val="314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235 µg/m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(22 calibre - winter)</w:t>
            </w:r>
          </w:p>
        </w:tc>
      </w:tr>
      <w:tr w:rsidR="003F6B9C" w:rsidRPr="003F6B9C" w:rsidTr="003F6B9C">
        <w:trPr>
          <w:trHeight w:val="278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1158 µg/m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(center fire - winter)</w:t>
            </w:r>
          </w:p>
        </w:tc>
      </w:tr>
      <w:tr w:rsidR="003F6B9C" w:rsidRPr="003F6B9C" w:rsidTr="003F6B9C">
        <w:trPr>
          <w:trHeight w:val="39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Mancuso et al. (2008)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Special Operations Soldiers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Indoor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Lead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980 - 1900 µg/m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TWA (unspecified time)</w:t>
            </w:r>
          </w:p>
        </w:tc>
      </w:tr>
      <w:tr w:rsidR="003F6B9C" w:rsidRPr="003F6B9C" w:rsidTr="003F6B9C">
        <w:trPr>
          <w:trHeight w:val="39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Indoor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Lead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60-220 µg/m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TWA (unspecified time)</w:t>
            </w:r>
          </w:p>
        </w:tc>
      </w:tr>
      <w:tr w:rsidR="003F6B9C" w:rsidRPr="003F6B9C" w:rsidTr="003F6B9C">
        <w:trPr>
          <w:trHeight w:val="39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Outdoor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Lead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100-230 µg/m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TWA (unspecified time)</w:t>
            </w:r>
          </w:p>
        </w:tc>
      </w:tr>
      <w:tr w:rsidR="003F6B9C" w:rsidRPr="003F6B9C" w:rsidTr="003F6B9C">
        <w:trPr>
          <w:trHeight w:val="465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Chen and </w:t>
            </w: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Brueck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(2011)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Instructors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Outdoor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n.s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n.d.-15 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µg/m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bookmarkStart w:id="0" w:name="_GoBack"/>
            <w:bookmarkEnd w:id="0"/>
          </w:p>
        </w:tc>
      </w:tr>
      <w:tr w:rsidR="003F6B9C" w:rsidRPr="003F6B9C" w:rsidTr="003F6B9C">
        <w:trPr>
          <w:trHeight w:val="615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Ramsey and </w:t>
            </w: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Niemeier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(2011)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Range workers and Indoor shooters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Indoor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n.s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n.d.-96 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µg/m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(instructor)</w:t>
            </w:r>
          </w:p>
        </w:tc>
      </w:tr>
      <w:tr w:rsidR="003F6B9C" w:rsidRPr="003F6B9C" w:rsidTr="0038175C">
        <w:trPr>
          <w:trHeight w:val="386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42–340 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µg/m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(shooters, task-based) </w:t>
            </w:r>
          </w:p>
        </w:tc>
      </w:tr>
      <w:tr w:rsidR="003F6B9C" w:rsidRPr="003F6B9C" w:rsidTr="003F6B9C">
        <w:trPr>
          <w:trHeight w:val="39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3,200 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µg/m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(technician, task-based)</w:t>
            </w:r>
          </w:p>
        </w:tc>
      </w:tr>
      <w:tr w:rsidR="003F6B9C" w:rsidRPr="003F6B9C" w:rsidTr="0038175C">
        <w:trPr>
          <w:trHeight w:val="485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Scott et al. (2005)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Indoor Law Enforcement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Indoor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Lead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20.6 μg/m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to 99.0 μg/m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(8-h TWA),</w:t>
            </w:r>
          </w:p>
        </w:tc>
      </w:tr>
      <w:tr w:rsidR="003F6B9C" w:rsidRPr="003F6B9C" w:rsidTr="0038175C">
        <w:trPr>
          <w:trHeight w:val="341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26 μg/m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to 287 μg/m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 xml:space="preserve">3 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(8-h TWA)</w:t>
            </w:r>
          </w:p>
        </w:tc>
      </w:tr>
      <w:tr w:rsidR="003F6B9C" w:rsidRPr="003F6B9C" w:rsidTr="003F6B9C">
        <w:trPr>
          <w:trHeight w:val="39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E1350B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Betan</w:t>
            </w:r>
            <w:r w:rsidR="003F6B9C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court (2012)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Special Operations Soldiers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Outdoor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Lead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48 μg/m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(8-h TWA)</w:t>
            </w:r>
          </w:p>
        </w:tc>
      </w:tr>
      <w:tr w:rsidR="003F6B9C" w:rsidRPr="003F6B9C" w:rsidTr="003F6B9C">
        <w:trPr>
          <w:trHeight w:val="45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Scott et al. (2012)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Law enforcement officers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Indoor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n.s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60–3,200 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µg/m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(short-term)</w:t>
            </w:r>
          </w:p>
        </w:tc>
      </w:tr>
      <w:tr w:rsidR="003F6B9C" w:rsidRPr="003F6B9C" w:rsidTr="003F6B9C">
        <w:trPr>
          <w:trHeight w:val="3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20.6–2,897 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µg/m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(8-h TWA)</w:t>
            </w:r>
          </w:p>
        </w:tc>
      </w:tr>
      <w:tr w:rsidR="003F6B9C" w:rsidRPr="003F6B9C" w:rsidTr="003F6B9C">
        <w:trPr>
          <w:trHeight w:val="45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60–2,000 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µg/m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(area short-term)</w:t>
            </w:r>
          </w:p>
        </w:tc>
      </w:tr>
      <w:tr w:rsidR="003F6B9C" w:rsidRPr="003F6B9C" w:rsidTr="0038175C">
        <w:trPr>
          <w:trHeight w:val="314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43.8–350 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µg/m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(area 8-h TWA)</w:t>
            </w:r>
          </w:p>
        </w:tc>
      </w:tr>
      <w:tr w:rsidR="003F6B9C" w:rsidRPr="003F6B9C" w:rsidTr="003F6B9C">
        <w:trPr>
          <w:trHeight w:val="60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Ramsey et al. (2013)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Range workers and Indoor shooters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Indoor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n.s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0.15–3.8 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µg/m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(instructor) </w:t>
            </w:r>
          </w:p>
        </w:tc>
      </w:tr>
      <w:tr w:rsidR="003F6B9C" w:rsidRPr="003F6B9C" w:rsidTr="003F6B9C">
        <w:trPr>
          <w:trHeight w:val="39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1.5–9.0 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µg/m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(shooters, task-based)</w:t>
            </w:r>
          </w:p>
        </w:tc>
      </w:tr>
      <w:tr w:rsidR="003F6B9C" w:rsidRPr="003F6B9C" w:rsidTr="003F6B9C">
        <w:trPr>
          <w:trHeight w:val="39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n.d.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–330 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µg/m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(technician, task-based)</w:t>
            </w:r>
          </w:p>
        </w:tc>
      </w:tr>
      <w:tr w:rsidR="003F6B9C" w:rsidRPr="003F6B9C" w:rsidTr="003F6B9C">
        <w:trPr>
          <w:trHeight w:val="615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Brueck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et al. (2014)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Military personnel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Indoor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n.s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n.d.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–26 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µg/m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(short-term)</w:t>
            </w:r>
          </w:p>
        </w:tc>
      </w:tr>
      <w:tr w:rsidR="003F6B9C" w:rsidRPr="003F6B9C" w:rsidTr="003F6B9C">
        <w:trPr>
          <w:trHeight w:val="345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CDC (2014)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Range workers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Indoor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n.s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.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5.5–19 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µg/m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(showroom worker)</w:t>
            </w:r>
          </w:p>
        </w:tc>
      </w:tr>
      <w:tr w:rsidR="003F6B9C" w:rsidRPr="003F6B9C" w:rsidTr="003F6B9C">
        <w:trPr>
          <w:trHeight w:val="36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54–64 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µg/m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(range cleaning, short-term)</w:t>
            </w:r>
          </w:p>
        </w:tc>
      </w:tr>
      <w:tr w:rsidR="003F6B9C" w:rsidRPr="003F6B9C" w:rsidTr="003F6B9C">
        <w:trPr>
          <w:trHeight w:val="375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Wingfors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et al. (2014)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n.s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.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Chamber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Lead-free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7.3–7.4 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µg/m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per round fired (emission factors)</w:t>
            </w:r>
          </w:p>
        </w:tc>
      </w:tr>
      <w:tr w:rsidR="003F6B9C" w:rsidRPr="003F6B9C" w:rsidTr="003F6B9C">
        <w:trPr>
          <w:trHeight w:val="390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Lach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et al. (2015)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n.s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.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Indoor/outdoor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Lead and lead-free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2.2–70 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µg/m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>3</w:t>
            </w:r>
            <w:r w:rsidR="00070386"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(area)</w:t>
            </w:r>
          </w:p>
        </w:tc>
      </w:tr>
      <w:tr w:rsidR="003F6B9C" w:rsidRPr="003F6B9C" w:rsidTr="00851465">
        <w:trPr>
          <w:trHeight w:val="300"/>
        </w:trPr>
        <w:tc>
          <w:tcPr>
            <w:tcW w:w="104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t xml:space="preserve">a 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Results are presented in 8-h TWA personal exposure unless noted otherwise (short-term/task-based, full-shift, area, emission factors).</w:t>
            </w:r>
          </w:p>
        </w:tc>
      </w:tr>
      <w:tr w:rsidR="003F6B9C" w:rsidRPr="003F6B9C" w:rsidTr="003F6B9C">
        <w:trPr>
          <w:trHeight w:val="414"/>
        </w:trPr>
        <w:tc>
          <w:tcPr>
            <w:tcW w:w="104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6B9C" w:rsidRPr="003F6B9C" w:rsidRDefault="003F6B9C" w:rsidP="003F6B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</w:pP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vertAlign w:val="superscript"/>
                <w:lang w:val="en-AU" w:eastAsia="en-AU"/>
              </w:rPr>
              <w:lastRenderedPageBreak/>
              <w:t>b</w:t>
            </w:r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n.s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 xml:space="preserve">.: not specified, </w:t>
            </w:r>
            <w:proofErr w:type="spellStart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n.d.</w:t>
            </w:r>
            <w:proofErr w:type="spellEnd"/>
            <w:r w:rsidRPr="003F6B9C">
              <w:rPr>
                <w:rFonts w:asciiTheme="majorHAnsi" w:eastAsia="Times New Roman" w:hAnsiTheme="majorHAnsi" w:cstheme="majorHAnsi"/>
                <w:color w:val="333333"/>
                <w:sz w:val="20"/>
                <w:szCs w:val="20"/>
                <w:lang w:val="en-AU" w:eastAsia="en-AU"/>
              </w:rPr>
              <w:t>: not detected.</w:t>
            </w:r>
          </w:p>
        </w:tc>
      </w:tr>
    </w:tbl>
    <w:p w:rsidR="000C072E" w:rsidRPr="003F6B9C" w:rsidRDefault="000C072E" w:rsidP="003F6B9C">
      <w:pPr>
        <w:rPr>
          <w:rFonts w:asciiTheme="majorHAnsi" w:hAnsiTheme="majorHAnsi" w:cstheme="majorHAnsi"/>
          <w:sz w:val="20"/>
          <w:szCs w:val="20"/>
        </w:rPr>
      </w:pPr>
    </w:p>
    <w:sectPr w:rsidR="000C072E" w:rsidRPr="003F6B9C" w:rsidSect="003F6B9C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9C"/>
    <w:rsid w:val="00070386"/>
    <w:rsid w:val="000C072E"/>
    <w:rsid w:val="0038175C"/>
    <w:rsid w:val="003F6B9C"/>
    <w:rsid w:val="007879A6"/>
    <w:rsid w:val="00845610"/>
    <w:rsid w:val="00925D92"/>
    <w:rsid w:val="009B14A2"/>
    <w:rsid w:val="00DA6C59"/>
    <w:rsid w:val="00E1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RMIT University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Walter</dc:creator>
  <cp:lastModifiedBy>Mark Laidlaw</cp:lastModifiedBy>
  <cp:revision>4</cp:revision>
  <dcterms:created xsi:type="dcterms:W3CDTF">2017-01-16T22:39:00Z</dcterms:created>
  <dcterms:modified xsi:type="dcterms:W3CDTF">2017-01-18T05:05:00Z</dcterms:modified>
</cp:coreProperties>
</file>