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CC" w:rsidRPr="00931A8C" w:rsidRDefault="008E1FCC" w:rsidP="008E1F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proofErr w:type="spellEnd"/>
      <w:r w:rsidRPr="00931A8C">
        <w:rPr>
          <w:rFonts w:ascii="Times New Roman" w:hAnsi="Times New Roman" w:cs="Times New Roman"/>
          <w:b/>
          <w:sz w:val="24"/>
          <w:szCs w:val="24"/>
        </w:rPr>
        <w:t>.</w:t>
      </w:r>
      <w:r w:rsidRPr="00931A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A8C">
        <w:rPr>
          <w:rFonts w:ascii="Times New Roman" w:hAnsi="Times New Roman" w:cs="Times New Roman"/>
          <w:sz w:val="24"/>
          <w:szCs w:val="24"/>
        </w:rPr>
        <w:t xml:space="preserve">Locations of 26 Chinese cities and their average daily 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PM</w:t>
      </w:r>
      <w:r w:rsidRPr="00931A8C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 xml:space="preserve"> concentration during the study period.</w:t>
      </w:r>
      <w:proofErr w:type="gramEnd"/>
      <w:r w:rsidRPr="00931A8C">
        <w:rPr>
          <w:rFonts w:ascii="Times New Roman" w:hAnsi="Times New Roman" w:cs="Times New Roman"/>
          <w:sz w:val="24"/>
          <w:szCs w:val="24"/>
        </w:rPr>
        <w:t xml:space="preserve"> 26 Chinese cities included Harbin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71μg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Changchun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65μg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Shenyang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72μg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Dalian(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50μg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Beijing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82μg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Tianjin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78μg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Shijiazhuang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106μg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Jinan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90μg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Zhengzhou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91μg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Xi’an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67μg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Lanzhou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54μg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Yinchuan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48μg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Xining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55μg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Urumchi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64μg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Chengdu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67μg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Chongqing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59μg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Wuhan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75μg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Changsha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67μg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Nanchang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46μg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Nanjing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65μg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Shanghai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53μg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Hangzhou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58μg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Kunming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31μg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Nanning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45μg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), Guangzhou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43μg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 and Fuzhou (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30μg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31A8C">
        <w:rPr>
          <w:rFonts w:ascii="Times New Roman" w:hAnsi="Times New Roman" w:cs="Times New Roman"/>
          <w:sz w:val="24"/>
          <w:szCs w:val="24"/>
        </w:rPr>
        <w:t>m</w:t>
      </w:r>
      <w:r w:rsidRPr="00931A8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931A8C">
        <w:rPr>
          <w:rFonts w:ascii="Times New Roman" w:hAnsi="Times New Roman" w:cs="Times New Roman"/>
          <w:sz w:val="24"/>
          <w:szCs w:val="24"/>
        </w:rPr>
        <w:t>).</w:t>
      </w:r>
    </w:p>
    <w:p w:rsidR="008E1FCC" w:rsidRPr="00931A8C" w:rsidRDefault="008E1FCC" w:rsidP="008E1F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31A8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9FD1320" wp14:editId="6CD37F46">
            <wp:extent cx="4578350" cy="3482776"/>
            <wp:effectExtent l="0" t="0" r="0" b="3810"/>
            <wp:docPr id="1" name="图片 1" descr="C:\Users\zqw\Desktop\博士课题\大气0702\投稿\投稿的文件\figur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qw\Desktop\博士课题\大气0702\投稿\投稿的文件\figure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09" cy="349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CC" w:rsidRDefault="008E1FCC">
      <w:pPr>
        <w:widowControl/>
        <w:jc w:val="left"/>
      </w:pPr>
      <w:r>
        <w:br w:type="page"/>
      </w:r>
    </w:p>
    <w:p w:rsidR="008E1FCC" w:rsidRPr="00D44D4E" w:rsidRDefault="008E1FCC" w:rsidP="008E1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S2</w:t>
      </w:r>
      <w:proofErr w:type="spellEnd"/>
      <w:r w:rsidRPr="00931A8C">
        <w:rPr>
          <w:rFonts w:ascii="Times New Roman" w:hAnsi="Times New Roman" w:cs="Times New Roman"/>
          <w:b/>
          <w:sz w:val="24"/>
          <w:szCs w:val="24"/>
        </w:rPr>
        <w:t>.</w:t>
      </w:r>
      <w:r w:rsidRPr="003846B2">
        <w:rPr>
          <w:rFonts w:ascii="Times New Roman" w:hAnsi="Times New Roman" w:cs="Times New Roman" w:hint="eastAsia"/>
          <w:sz w:val="24"/>
          <w:szCs w:val="24"/>
        </w:rPr>
        <w:t xml:space="preserve"> Per</w:t>
      </w:r>
      <w:r>
        <w:rPr>
          <w:rFonts w:ascii="Times New Roman" w:hAnsi="Times New Roman" w:cs="Times New Roman" w:hint="eastAsia"/>
          <w:sz w:val="24"/>
          <w:szCs w:val="24"/>
        </w:rPr>
        <w:t xml:space="preserve">centage change with 95% confidence interval in arrhythmia admissions associated with an interquartile range increase in </w:t>
      </w:r>
      <w:proofErr w:type="spellStart"/>
      <w:r w:rsidRPr="008171EF">
        <w:rPr>
          <w:rFonts w:ascii="Times New Roman" w:hAnsi="Times New Roman" w:cs="Times New Roman"/>
          <w:sz w:val="24"/>
          <w:szCs w:val="24"/>
        </w:rPr>
        <w:t>PM</w:t>
      </w:r>
      <w:r w:rsidRPr="008171EF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proofErr w:type="spellEnd"/>
      <w:r w:rsidRPr="008171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171EF">
        <w:rPr>
          <w:rFonts w:ascii="Times New Roman" w:hAnsi="Times New Roman" w:cs="Times New Roman"/>
          <w:sz w:val="24"/>
          <w:szCs w:val="24"/>
        </w:rPr>
        <w:t>47.5μg</w:t>
      </w:r>
      <w:proofErr w:type="spellEnd"/>
      <w:r w:rsidRPr="008171E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171EF">
        <w:rPr>
          <w:rFonts w:ascii="Times New Roman" w:hAnsi="Times New Roman" w:cs="Times New Roman"/>
          <w:sz w:val="24"/>
          <w:szCs w:val="24"/>
        </w:rPr>
        <w:t>m</w:t>
      </w:r>
      <w:r w:rsidRPr="008171E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8171EF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8171EF">
        <w:rPr>
          <w:rFonts w:ascii="Times New Roman" w:hAnsi="Times New Roman" w:cs="Times New Roman"/>
          <w:sz w:val="24"/>
          <w:szCs w:val="24"/>
        </w:rPr>
        <w:t>PM</w:t>
      </w:r>
      <w:r w:rsidRPr="008171E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proofErr w:type="spellEnd"/>
      <w:r w:rsidRPr="008171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171EF">
        <w:rPr>
          <w:rFonts w:ascii="Times New Roman" w:hAnsi="Times New Roman" w:cs="Times New Roman"/>
          <w:sz w:val="24"/>
          <w:szCs w:val="24"/>
        </w:rPr>
        <w:t>76.9μg</w:t>
      </w:r>
      <w:proofErr w:type="spellEnd"/>
      <w:r w:rsidRPr="008171E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171EF">
        <w:rPr>
          <w:rFonts w:ascii="Times New Roman" w:hAnsi="Times New Roman" w:cs="Times New Roman"/>
          <w:sz w:val="24"/>
          <w:szCs w:val="24"/>
        </w:rPr>
        <w:t>m</w:t>
      </w:r>
      <w:r w:rsidRPr="008171E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8171EF">
        <w:rPr>
          <w:rFonts w:ascii="Times New Roman" w:hAnsi="Times New Roman" w:cs="Times New Roman"/>
          <w:sz w:val="24"/>
          <w:szCs w:val="24"/>
        </w:rPr>
        <w:t>) concentration</w:t>
      </w:r>
      <w:r>
        <w:rPr>
          <w:rFonts w:ascii="Times New Roman" w:hAnsi="Times New Roman" w:cs="Times New Roman" w:hint="eastAsia"/>
          <w:sz w:val="24"/>
          <w:szCs w:val="24"/>
        </w:rPr>
        <w:t>s stratified by gender</w:t>
      </w:r>
      <w:r w:rsidRPr="003846B2">
        <w:rPr>
          <w:rFonts w:ascii="Times New Roman" w:hAnsi="Times New Roman" w:cs="Times New Roman" w:hint="eastAsia"/>
          <w:b/>
          <w:sz w:val="24"/>
          <w:szCs w:val="24"/>
        </w:rPr>
        <w:t xml:space="preserve"> (A)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hypertension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846B2">
        <w:rPr>
          <w:rFonts w:ascii="Times New Roman" w:hAnsi="Times New Roman" w:cs="Times New Roman" w:hint="eastAsia"/>
          <w:b/>
          <w:sz w:val="24"/>
          <w:szCs w:val="24"/>
        </w:rPr>
        <w:t>(B)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Pr="005A1D56">
        <w:rPr>
          <w:rFonts w:ascii="Times New Roman" w:hAnsi="Times New Roman" w:cs="Times New Roman"/>
          <w:color w:val="000000" w:themeColor="text1"/>
          <w:sz w:val="24"/>
          <w:szCs w:val="24"/>
        </w:rPr>
        <w:t>yperlipidemia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846B2">
        <w:rPr>
          <w:rFonts w:ascii="Times New Roman" w:hAnsi="Times New Roman" w:cs="Times New Roman" w:hint="eastAsia"/>
          <w:b/>
          <w:sz w:val="24"/>
          <w:szCs w:val="24"/>
        </w:rPr>
        <w:t xml:space="preserve">(C) </w:t>
      </w:r>
      <w:r>
        <w:rPr>
          <w:rFonts w:ascii="Times New Roman" w:hAnsi="Times New Roman" w:cs="Times New Roman" w:hint="eastAsia"/>
          <w:sz w:val="24"/>
          <w:szCs w:val="24"/>
        </w:rPr>
        <w:t>and congestive heart failure</w:t>
      </w:r>
      <w:r w:rsidRPr="003846B2">
        <w:rPr>
          <w:rFonts w:ascii="Times New Roman" w:hAnsi="Times New Roman" w:cs="Times New Roman" w:hint="eastAsia"/>
          <w:b/>
          <w:sz w:val="24"/>
          <w:szCs w:val="24"/>
        </w:rPr>
        <w:t xml:space="preserve"> (D)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1A72C4" w:rsidRDefault="008E1FCC">
      <w:r>
        <w:rPr>
          <w:noProof/>
          <w:lang w:eastAsia="en-US"/>
        </w:rPr>
        <w:drawing>
          <wp:inline distT="0" distB="0" distL="0" distR="0" wp14:anchorId="51AF8DFA" wp14:editId="56E69FB0">
            <wp:extent cx="3975100" cy="7951077"/>
            <wp:effectExtent l="0" t="0" r="6350" b="0"/>
            <wp:docPr id="2" name="图片 2" descr="G:\arrhythmia 0926\4in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rrhythmia 0926\4in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805" cy="7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244" w:rsidRDefault="00285244" w:rsidP="002852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Detail</w:t>
      </w:r>
      <w:r>
        <w:rPr>
          <w:rFonts w:ascii="Times New Roman" w:hAnsi="Times New Roman" w:cs="Times New Roman"/>
          <w:b/>
          <w:sz w:val="24"/>
          <w:szCs w:val="24"/>
        </w:rPr>
        <w:t xml:space="preserve"> description </w:t>
      </w:r>
      <w:r>
        <w:rPr>
          <w:rFonts w:ascii="Times New Roman" w:hAnsi="Times New Roman" w:cs="Times New Roman" w:hint="eastAsia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02098B">
        <w:rPr>
          <w:rFonts w:ascii="Times New Roman" w:hAnsi="Times New Roman" w:cs="Times New Roman"/>
          <w:b/>
          <w:sz w:val="24"/>
          <w:szCs w:val="24"/>
        </w:rPr>
        <w:t>ir pollution</w:t>
      </w:r>
      <w:r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285244" w:rsidRDefault="00285244" w:rsidP="00285244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F27346">
        <w:rPr>
          <w:rFonts w:ascii="Times New Roman" w:eastAsia="SimSun" w:hAnsi="Times New Roman" w:cs="Times New Roman"/>
          <w:kern w:val="0"/>
          <w:sz w:val="24"/>
          <w:szCs w:val="21"/>
        </w:rPr>
        <w:t>Data on daily pollutants concentrations for each city was obtained from the National Urban Air Quality Real-time Publishing Platform (</w:t>
      </w:r>
      <w:hyperlink r:id="rId9" w:history="1">
        <w:r w:rsidRPr="00F27346">
          <w:rPr>
            <w:rStyle w:val="Hyperlink"/>
            <w:rFonts w:ascii="Times New Roman" w:eastAsia="SimSun" w:hAnsi="Times New Roman" w:cs="Times New Roman"/>
            <w:kern w:val="0"/>
            <w:sz w:val="24"/>
          </w:rPr>
          <w:t>http://106.37.208.233:20035/</w:t>
        </w:r>
      </w:hyperlink>
      <w:r w:rsidRPr="00F27346">
        <w:rPr>
          <w:rFonts w:ascii="Times New Roman" w:eastAsia="SimSun" w:hAnsi="Times New Roman" w:cs="Times New Roman"/>
          <w:kern w:val="0"/>
          <w:sz w:val="24"/>
          <w:szCs w:val="21"/>
        </w:rPr>
        <w:t>). The platform is administrated by the China’s Ministry of Environmental Protection and displays real-time concentrations of criteria air pollutants in all state-controlled monitoring sites. This website provides adequate information for researchers and decision-makers who need to evaluate and analyze the spatial-temporal distribution and variation in air quality in China. The monitoring stations have been designated in a mix of urban and background sites, with most of them in urban areas, and a few in the suburbs and rural areas. These stations are mandated to not be in the direct vicinity of apparent emission sources (</w:t>
      </w:r>
      <w:proofErr w:type="spellStart"/>
      <w:r w:rsidRPr="00F27346">
        <w:rPr>
          <w:rFonts w:ascii="Times New Roman" w:eastAsia="SimSun" w:hAnsi="Times New Roman" w:cs="Times New Roman"/>
          <w:kern w:val="0"/>
          <w:sz w:val="24"/>
          <w:szCs w:val="21"/>
        </w:rPr>
        <w:t>eg</w:t>
      </w:r>
      <w:proofErr w:type="spellEnd"/>
      <w:r w:rsidRPr="00F27346">
        <w:rPr>
          <w:rFonts w:ascii="Times New Roman" w:eastAsia="SimSun" w:hAnsi="Times New Roman" w:cs="Times New Roman"/>
          <w:kern w:val="0"/>
          <w:sz w:val="24"/>
          <w:szCs w:val="21"/>
        </w:rPr>
        <w:t>, traffic, industry, and open burning), so that their measurements can reflect the general urban background level of air pollution. All measurements were made in accordance with China's National Air Quality Control standards (</w:t>
      </w:r>
      <w:proofErr w:type="spellStart"/>
      <w:r w:rsidRPr="00F27346">
        <w:rPr>
          <w:rFonts w:ascii="Times New Roman" w:eastAsia="SimSun" w:hAnsi="Times New Roman" w:cs="Times New Roman"/>
          <w:kern w:val="0"/>
          <w:sz w:val="24"/>
          <w:szCs w:val="21"/>
        </w:rPr>
        <w:t>GB3095</w:t>
      </w:r>
      <w:proofErr w:type="spellEnd"/>
      <w:r w:rsidRPr="00F27346">
        <w:rPr>
          <w:rFonts w:ascii="Times New Roman" w:eastAsia="SimSun" w:hAnsi="Times New Roman" w:cs="Times New Roman"/>
          <w:kern w:val="0"/>
          <w:sz w:val="24"/>
          <w:szCs w:val="21"/>
        </w:rPr>
        <w:t>-2012). Detailed of the station information used in our study were listed below</w:t>
      </w:r>
      <w:r>
        <w:rPr>
          <w:rFonts w:ascii="Times New Roman" w:eastAsia="SimSun" w:hAnsi="Times New Roman" w:cs="Times New Roman"/>
          <w:kern w:val="0"/>
          <w:sz w:val="24"/>
          <w:szCs w:val="21"/>
        </w:rPr>
        <w:t xml:space="preserve"> (</w:t>
      </w:r>
      <w:r w:rsidRPr="004B22FD">
        <w:rPr>
          <w:rFonts w:ascii="Times New Roman" w:eastAsia="SimSun" w:hAnsi="Times New Roman" w:cs="Times New Roman"/>
          <w:b/>
          <w:kern w:val="0"/>
          <w:sz w:val="24"/>
          <w:szCs w:val="21"/>
        </w:rPr>
        <w:t xml:space="preserve">Table </w:t>
      </w:r>
      <w:proofErr w:type="spellStart"/>
      <w:r w:rsidRPr="004B22FD">
        <w:rPr>
          <w:rFonts w:ascii="Times New Roman" w:eastAsia="SimSun" w:hAnsi="Times New Roman" w:cs="Times New Roman"/>
          <w:b/>
          <w:kern w:val="0"/>
          <w:sz w:val="24"/>
          <w:szCs w:val="21"/>
        </w:rPr>
        <w:t>S1</w:t>
      </w:r>
      <w:proofErr w:type="spellEnd"/>
      <w:r>
        <w:rPr>
          <w:rFonts w:ascii="Times New Roman" w:eastAsia="SimSun" w:hAnsi="Times New Roman" w:cs="Times New Roman"/>
          <w:kern w:val="0"/>
          <w:sz w:val="24"/>
          <w:szCs w:val="21"/>
        </w:rPr>
        <w:t>)</w:t>
      </w:r>
      <w:r w:rsidRPr="00F27346">
        <w:rPr>
          <w:rFonts w:ascii="Times New Roman" w:eastAsia="SimSun" w:hAnsi="Times New Roman" w:cs="Times New Roman"/>
          <w:kern w:val="0"/>
          <w:sz w:val="24"/>
          <w:szCs w:val="21"/>
        </w:rPr>
        <w:t>.</w:t>
      </w:r>
      <w:r>
        <w:rPr>
          <w:rFonts w:ascii="Times New Roman" w:eastAsia="SimSun" w:hAnsi="Times New Roman" w:cs="Times New Roman"/>
          <w:kern w:val="0"/>
          <w:sz w:val="24"/>
          <w:szCs w:val="21"/>
        </w:rPr>
        <w:t xml:space="preserve"> </w:t>
      </w:r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A series of standards or regulations have been made on the locations of monitors and the monitoring process of air pollutants by the Chinese government [1], ensuring the monitoring measurements could reflect air pollution levels of urban background [2</w:t>
      </w:r>
      <w:proofErr w:type="gram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,3</w:t>
      </w:r>
      <w:proofErr w:type="gram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]. The monitoring data has been extensively used as a proxy for population exposure to air pollution in China [3-5].</w:t>
      </w:r>
    </w:p>
    <w:p w:rsidR="00285244" w:rsidRPr="00731392" w:rsidRDefault="00285244" w:rsidP="00285244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</w:p>
    <w:p w:rsidR="00285244" w:rsidRPr="005A6545" w:rsidRDefault="00285244" w:rsidP="00285244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5A6545">
        <w:rPr>
          <w:rFonts w:ascii="Times New Roman" w:eastAsia="SimSun" w:hAnsi="Times New Roman" w:cs="Times New Roman"/>
          <w:b/>
          <w:kern w:val="0"/>
          <w:sz w:val="24"/>
          <w:szCs w:val="21"/>
        </w:rPr>
        <w:t>Table</w:t>
      </w:r>
      <w:r>
        <w:rPr>
          <w:rFonts w:ascii="Times New Roman" w:eastAsia="SimSun" w:hAnsi="Times New Roman" w:cs="Times New Roman"/>
          <w:b/>
          <w:kern w:val="0"/>
          <w:sz w:val="24"/>
          <w:szCs w:val="21"/>
        </w:rPr>
        <w:t xml:space="preserve"> </w:t>
      </w:r>
      <w:proofErr w:type="spellStart"/>
      <w:r>
        <w:rPr>
          <w:rFonts w:ascii="Times New Roman" w:eastAsia="SimSun" w:hAnsi="Times New Roman" w:cs="Times New Roman" w:hint="eastAsia"/>
          <w:b/>
          <w:kern w:val="0"/>
          <w:sz w:val="24"/>
          <w:szCs w:val="21"/>
        </w:rPr>
        <w:t>S</w:t>
      </w:r>
      <w:r>
        <w:rPr>
          <w:rFonts w:ascii="Times New Roman" w:eastAsia="SimSun" w:hAnsi="Times New Roman" w:cs="Times New Roman"/>
          <w:b/>
          <w:kern w:val="0"/>
          <w:sz w:val="24"/>
          <w:szCs w:val="21"/>
        </w:rPr>
        <w:t>1</w:t>
      </w:r>
      <w:proofErr w:type="spellEnd"/>
      <w:r w:rsidRPr="005A6545">
        <w:rPr>
          <w:rFonts w:ascii="Times New Roman" w:eastAsia="SimSun" w:hAnsi="Times New Roman" w:cs="Times New Roman"/>
          <w:b/>
          <w:kern w:val="0"/>
          <w:sz w:val="24"/>
          <w:szCs w:val="21"/>
        </w:rPr>
        <w:t>.</w:t>
      </w:r>
      <w:r w:rsidRPr="005A6545">
        <w:rPr>
          <w:rFonts w:ascii="Times New Roman" w:eastAsia="SimSun" w:hAnsi="Times New Roman" w:cs="Times New Roman"/>
          <w:kern w:val="0"/>
          <w:sz w:val="24"/>
          <w:szCs w:val="21"/>
        </w:rP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21"/>
        </w:rPr>
        <w:t>B</w:t>
      </w:r>
      <w:r w:rsidRPr="005A6545">
        <w:rPr>
          <w:rFonts w:ascii="Times New Roman" w:eastAsia="SimSun" w:hAnsi="Times New Roman" w:cs="Times New Roman"/>
          <w:kern w:val="0"/>
          <w:sz w:val="24"/>
          <w:szCs w:val="21"/>
        </w:rPr>
        <w:t>asic information and numbers of the monitoring sites in each study city.</w:t>
      </w:r>
    </w:p>
    <w:tbl>
      <w:tblPr>
        <w:tblStyle w:val="TableGrid"/>
        <w:tblW w:w="9466" w:type="dxa"/>
        <w:jc w:val="center"/>
        <w:tblLayout w:type="fixed"/>
        <w:tblLook w:val="04A0" w:firstRow="1" w:lastRow="0" w:firstColumn="1" w:lastColumn="0" w:noHBand="0" w:noVBand="1"/>
      </w:tblPr>
      <w:tblGrid>
        <w:gridCol w:w="1580"/>
        <w:gridCol w:w="1581"/>
        <w:gridCol w:w="1823"/>
        <w:gridCol w:w="1182"/>
        <w:gridCol w:w="1316"/>
        <w:gridCol w:w="1984"/>
      </w:tblGrid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City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Province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napToGri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Number</w:t>
            </w: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 xml:space="preserve"> </w:t>
            </w: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of sites</w:t>
            </w: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 xml:space="preserve"> </w:t>
            </w: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in the study city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Latitude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Longitude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Population (Million)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Harbin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Heilongjiang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11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45.8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126.6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10.6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Changchun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Jilin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43.9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125.4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7.6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Shenyang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Liaoning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41.8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123.4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7.3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Dalian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Liaoning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38.9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121.6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5.9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Beijing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Beijing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12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39.9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116.5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21.1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Tianjin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Tianjin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15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39.1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117.2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14.7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Shijiazhuang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Hebei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8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38.0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114.5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10.5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Jinan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Shandong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8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36.7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117.0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6.9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Zhengzhou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Henan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9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34.8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113.7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9.2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Xi’an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Shaanxi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13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34.3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109.0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8.6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Lanzhou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Gansu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5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36.0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103.7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3.6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Yinchuan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Ningxia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6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38.5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106.3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2.1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Xining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Qinghai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4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36.6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101.7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2.2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Urumchi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Xinjiang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7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43.8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87.7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3.3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Chengdu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Sichuan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8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30.7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104.1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14.3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Chongqing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Chongqing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17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29.6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106.5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29.7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Wuhan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Hubei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30.5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114.3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10.2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Changsha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Hunan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28.2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113.0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7.1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Nanchang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Jiangxi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9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28.7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115.9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5.1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Nanjing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Jiangsu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9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32.0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118.8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8.1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Shanghai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Shanghai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31.2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121.5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24.2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Hangzhou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Zhejiang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30.3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120.2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8.8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Kunming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Yunnan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7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25.0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102.7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5.4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Nanning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Guangxi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8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22.8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108.3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6.9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Guangzhou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G</w:t>
            </w:r>
            <w:r w:rsidRPr="00D302C4"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  <w:t>uangdong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23.2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113.2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12.9</w:t>
            </w:r>
          </w:p>
        </w:tc>
      </w:tr>
      <w:tr w:rsidR="00285244" w:rsidRPr="00D302C4" w:rsidTr="003F06A1">
        <w:trPr>
          <w:jc w:val="center"/>
        </w:trPr>
        <w:tc>
          <w:tcPr>
            <w:tcW w:w="1580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/>
                <w:sz w:val="22"/>
                <w:szCs w:val="24"/>
              </w:rPr>
              <w:t>Fuzhou</w:t>
            </w:r>
          </w:p>
        </w:tc>
        <w:tc>
          <w:tcPr>
            <w:tcW w:w="1581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left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Fujian</w:t>
            </w:r>
          </w:p>
        </w:tc>
        <w:tc>
          <w:tcPr>
            <w:tcW w:w="1823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6</w:t>
            </w:r>
          </w:p>
        </w:tc>
        <w:tc>
          <w:tcPr>
            <w:tcW w:w="1182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26.1</w:t>
            </w:r>
          </w:p>
        </w:tc>
        <w:tc>
          <w:tcPr>
            <w:tcW w:w="1316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eastAsia="SimSun" w:hAnsi="Times New Roman" w:cs="Times New Roman"/>
                <w:kern w:val="0"/>
                <w:sz w:val="22"/>
                <w:szCs w:val="24"/>
              </w:rPr>
            </w:pPr>
            <w:r w:rsidRPr="00D302C4">
              <w:rPr>
                <w:rFonts w:ascii="Times New Roman" w:eastAsia="SimSun" w:hAnsi="Times New Roman" w:cs="Times New Roman" w:hint="eastAsia"/>
                <w:kern w:val="0"/>
                <w:sz w:val="22"/>
                <w:szCs w:val="24"/>
              </w:rPr>
              <w:t>119.3</w:t>
            </w:r>
          </w:p>
        </w:tc>
        <w:tc>
          <w:tcPr>
            <w:tcW w:w="1984" w:type="dxa"/>
            <w:vAlign w:val="center"/>
          </w:tcPr>
          <w:p w:rsidR="00285244" w:rsidRPr="00D302C4" w:rsidRDefault="00285244" w:rsidP="003F06A1">
            <w:pPr>
              <w:widowControl/>
              <w:spacing w:line="350" w:lineRule="atLeast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302C4">
              <w:rPr>
                <w:rFonts w:ascii="Times New Roman" w:hAnsi="Times New Roman" w:cs="Times New Roman" w:hint="eastAsia"/>
                <w:sz w:val="22"/>
                <w:szCs w:val="24"/>
              </w:rPr>
              <w:t>7.2</w:t>
            </w:r>
          </w:p>
        </w:tc>
      </w:tr>
    </w:tbl>
    <w:p w:rsidR="00285244" w:rsidRDefault="00285244" w:rsidP="00285244">
      <w:pPr>
        <w:rPr>
          <w:rFonts w:ascii="Times New Roman" w:hAnsi="Times New Roman" w:cs="Times New Roman"/>
          <w:b/>
          <w:sz w:val="24"/>
          <w:szCs w:val="24"/>
        </w:rPr>
      </w:pPr>
    </w:p>
    <w:p w:rsidR="00502485" w:rsidRPr="00731392" w:rsidRDefault="00502485" w:rsidP="00502485">
      <w:pPr>
        <w:widowControl/>
        <w:spacing w:line="350" w:lineRule="atLeast"/>
        <w:rPr>
          <w:rFonts w:ascii="Times New Roman" w:eastAsia="SimSun" w:hAnsi="Times New Roman" w:cs="Times New Roman"/>
          <w:b/>
          <w:kern w:val="0"/>
          <w:sz w:val="24"/>
          <w:szCs w:val="21"/>
        </w:rPr>
      </w:pPr>
      <w:r w:rsidRPr="00731392">
        <w:rPr>
          <w:rFonts w:ascii="Times New Roman" w:eastAsia="SimSun" w:hAnsi="Times New Roman" w:cs="Times New Roman"/>
          <w:b/>
          <w:kern w:val="0"/>
          <w:sz w:val="24"/>
          <w:szCs w:val="21"/>
        </w:rPr>
        <w:t>Reference</w:t>
      </w:r>
    </w:p>
    <w:p w:rsidR="00502485" w:rsidRPr="00731392" w:rsidRDefault="00502485" w:rsidP="00502485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1. Zhao B, Su Y, He S,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Zhong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M, Cui G (2016) Evolution and comparative assessment of ambient air quality standards in China. Journal of Integrative Environmental Sciences 13: 85-102.</w:t>
      </w:r>
    </w:p>
    <w:p w:rsidR="00502485" w:rsidRPr="00731392" w:rsidRDefault="00502485" w:rsidP="00502485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2. Chen R,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Samoli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E, Wong CM, Huang W, Wang Z, et al. (2012) Associations between short-term exposure to nitrogen dioxide and mortality in 17 Chinese cities: the China Air Pollution and Health Effects Study (CAPES). Environ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Int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45: 32-38.</w:t>
      </w:r>
    </w:p>
    <w:p w:rsidR="00502485" w:rsidRPr="00731392" w:rsidRDefault="00502485" w:rsidP="00502485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3. Chen R,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Kan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H, Chen B, Huang W, Bai Z, et al. (2012) Association of particulate air pollution with daily mortality: the China Air Pollution and Health Effects Study. Am J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Epidemiol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175: 1173-</w:t>
      </w:r>
      <w:proofErr w:type="gram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1181.</w:t>
      </w:r>
      <w:proofErr w:type="gramEnd"/>
    </w:p>
    <w:p w:rsidR="00502485" w:rsidRPr="00731392" w:rsidRDefault="00502485" w:rsidP="00502485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4. Chen R, Yin P,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Meng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X, Liu C, Wang L, et al. (2017) Fine Particulate Air Pollution and Daily Mortality. </w:t>
      </w:r>
      <w:proofErr w:type="gram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A Nationwide Analysis in 272 Chinese Cities.</w:t>
      </w:r>
      <w:proofErr w:type="gram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</w:t>
      </w:r>
      <w:proofErr w:type="gram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Am</w:t>
      </w:r>
      <w:proofErr w:type="gram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J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Respir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Crit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Care Med 196: 73-81.</w:t>
      </w:r>
    </w:p>
    <w:p w:rsidR="00502485" w:rsidRPr="00F27346" w:rsidRDefault="00502485" w:rsidP="00502485">
      <w:pPr>
        <w:widowControl/>
        <w:spacing w:line="350" w:lineRule="atLeast"/>
        <w:rPr>
          <w:rFonts w:ascii="Times New Roman" w:eastAsia="SimSun" w:hAnsi="Times New Roman" w:cs="Times New Roman"/>
          <w:kern w:val="0"/>
          <w:sz w:val="24"/>
          <w:szCs w:val="21"/>
        </w:rPr>
      </w:pPr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5. Yin P, Chen R, Wang L,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Meng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X, Liu C, et al. (2017) Ambient Ozone Pollution and Daily Mortality: A Nationwide Study in 272 Chinese Cities. Environ Health </w:t>
      </w:r>
      <w:proofErr w:type="spellStart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>Perspect</w:t>
      </w:r>
      <w:proofErr w:type="spellEnd"/>
      <w:r w:rsidRPr="00731392">
        <w:rPr>
          <w:rFonts w:ascii="Times New Roman" w:eastAsia="SimSun" w:hAnsi="Times New Roman" w:cs="Times New Roman"/>
          <w:kern w:val="0"/>
          <w:sz w:val="24"/>
          <w:szCs w:val="21"/>
        </w:rPr>
        <w:t xml:space="preserve"> 125.</w:t>
      </w:r>
    </w:p>
    <w:p w:rsidR="00285244" w:rsidRPr="008E1FCC" w:rsidRDefault="00285244"/>
    <w:sectPr w:rsidR="00285244" w:rsidRPr="008E1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FF" w:rsidRDefault="00D456FF" w:rsidP="008E1FCC">
      <w:r>
        <w:separator/>
      </w:r>
    </w:p>
  </w:endnote>
  <w:endnote w:type="continuationSeparator" w:id="0">
    <w:p w:rsidR="00D456FF" w:rsidRDefault="00D456FF" w:rsidP="008E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FF" w:rsidRDefault="00D456FF" w:rsidP="008E1FCC">
      <w:r>
        <w:separator/>
      </w:r>
    </w:p>
  </w:footnote>
  <w:footnote w:type="continuationSeparator" w:id="0">
    <w:p w:rsidR="00D456FF" w:rsidRDefault="00D456FF" w:rsidP="008E1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C00D6"/>
    <w:rsid w:val="001A72C4"/>
    <w:rsid w:val="00285244"/>
    <w:rsid w:val="00502485"/>
    <w:rsid w:val="007C00D6"/>
    <w:rsid w:val="008E1FCC"/>
    <w:rsid w:val="0091113E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FC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F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E1FC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1F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1FCC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524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sid w:val="00285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11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FC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F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E1FC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1F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1FCC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524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sid w:val="00285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11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6.37.208.233:20035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3887</Characters>
  <Application>Microsoft Office Word</Application>
  <DocSecurity>0</DocSecurity>
  <Lines>228</Lines>
  <Paragraphs>199</Paragraphs>
  <ScaleCrop>false</ScaleCrop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zqw</dc:creator>
  <cp:keywords/>
  <dc:description/>
  <cp:lastModifiedBy>JADIQUE</cp:lastModifiedBy>
  <cp:revision>5</cp:revision>
  <dcterms:created xsi:type="dcterms:W3CDTF">2018-04-24T13:40:00Z</dcterms:created>
  <dcterms:modified xsi:type="dcterms:W3CDTF">2018-07-03T18:39:00Z</dcterms:modified>
</cp:coreProperties>
</file>