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D3C4C2" w14:textId="78A9932A" w:rsidR="00D158CC" w:rsidRDefault="004F6C6F" w:rsidP="00373877">
      <w:pPr>
        <w:pStyle w:val="Title"/>
        <w:rPr>
          <w:rFonts w:ascii="Arial" w:hAnsi="Arial" w:cs="Arial"/>
          <w:lang w:eastAsia="zh-CN"/>
        </w:rPr>
      </w:pPr>
      <w:bookmarkStart w:id="0" w:name="_Toc384307552"/>
      <w:bookmarkStart w:id="1" w:name="_Toc454193610"/>
      <w:r>
        <w:rPr>
          <w:rFonts w:ascii="Arial" w:hAnsi="Arial" w:cs="Arial"/>
          <w:lang w:eastAsia="zh-CN"/>
        </w:rPr>
        <w:t>Additional file 1</w:t>
      </w:r>
      <w:bookmarkStart w:id="2" w:name="_GoBack"/>
      <w:bookmarkEnd w:id="2"/>
    </w:p>
    <w:p w14:paraId="473024F6" w14:textId="77777777" w:rsidR="007369F1" w:rsidRPr="007369F1" w:rsidRDefault="007369F1" w:rsidP="007369F1">
      <w:pPr>
        <w:rPr>
          <w:lang w:eastAsia="zh-CN"/>
        </w:rPr>
      </w:pPr>
    </w:p>
    <w:bookmarkEnd w:id="0"/>
    <w:bookmarkEnd w:id="1"/>
    <w:p w14:paraId="28F65EB2" w14:textId="70F7FD30" w:rsidR="00E629E4" w:rsidRPr="0009101F" w:rsidRDefault="00EA36A9" w:rsidP="009B73E1">
      <w:pPr>
        <w:pStyle w:val="Heading2"/>
      </w:pPr>
      <w:r>
        <w:rPr>
          <w:rFonts w:ascii="Arial" w:hAnsi="Arial" w:cs="Arial"/>
        </w:rPr>
        <w:t>Materials and methods</w:t>
      </w:r>
    </w:p>
    <w:p w14:paraId="4997FB7A" w14:textId="77239849" w:rsidR="00EE7F57" w:rsidRDefault="00E629E4" w:rsidP="00970801">
      <w:pPr>
        <w:spacing w:before="240" w:after="240" w:line="360" w:lineRule="auto"/>
        <w:jc w:val="both"/>
        <w:rPr>
          <w:rFonts w:ascii="Arial" w:hAnsi="Arial" w:cs="Arial"/>
          <w:szCs w:val="24"/>
          <w:lang w:eastAsia="zh-CN"/>
        </w:rPr>
      </w:pPr>
      <w:r w:rsidRPr="0009101F">
        <w:rPr>
          <w:rFonts w:ascii="Arial" w:hAnsi="Arial" w:cs="Arial"/>
          <w:b/>
          <w:szCs w:val="24"/>
        </w:rPr>
        <w:t xml:space="preserve">QA/QC: </w:t>
      </w:r>
      <w:r w:rsidRPr="0009101F">
        <w:rPr>
          <w:rFonts w:ascii="Arial" w:hAnsi="Arial" w:cs="Arial"/>
          <w:szCs w:val="24"/>
        </w:rPr>
        <w:t>Several types of controls were analyzed in concert with experimental samples: a pooled matrix sample generated by taking a small volume of each experimental sample (or</w:t>
      </w:r>
      <w:r w:rsidR="00CF16F6">
        <w:rPr>
          <w:rFonts w:ascii="Arial" w:hAnsi="Arial" w:cs="Arial"/>
          <w:szCs w:val="24"/>
        </w:rPr>
        <w:t>,</w:t>
      </w:r>
      <w:r w:rsidRPr="0009101F">
        <w:rPr>
          <w:rFonts w:ascii="Arial" w:hAnsi="Arial" w:cs="Arial"/>
          <w:szCs w:val="24"/>
        </w:rPr>
        <w:t xml:space="preserve"> alternatively, a pool of well-characterized human plasma) served as a technical replicate throughout the data set; extracted water samples served as process blanks; and a cocktail of QC standards that were carefully chosen not to interfere with measurement of endogenous compounds were spiked into every analyzed sample, allow</w:t>
      </w:r>
      <w:r w:rsidR="00CF16F6">
        <w:rPr>
          <w:rFonts w:ascii="Arial" w:hAnsi="Arial" w:cs="Arial"/>
          <w:szCs w:val="24"/>
        </w:rPr>
        <w:t>ing</w:t>
      </w:r>
      <w:r w:rsidRPr="0009101F">
        <w:rPr>
          <w:rFonts w:ascii="Arial" w:hAnsi="Arial" w:cs="Arial"/>
          <w:szCs w:val="24"/>
        </w:rPr>
        <w:t xml:space="preserve"> </w:t>
      </w:r>
      <w:r w:rsidR="00CF16F6">
        <w:rPr>
          <w:rFonts w:ascii="Arial" w:hAnsi="Arial" w:cs="Arial"/>
          <w:szCs w:val="24"/>
        </w:rPr>
        <w:t xml:space="preserve">monitoring of </w:t>
      </w:r>
      <w:r w:rsidRPr="0009101F">
        <w:rPr>
          <w:rFonts w:ascii="Arial" w:hAnsi="Arial" w:cs="Arial"/>
          <w:szCs w:val="24"/>
        </w:rPr>
        <w:t>instrument performance and aid</w:t>
      </w:r>
      <w:r w:rsidR="00CF16F6">
        <w:rPr>
          <w:rFonts w:ascii="Arial" w:hAnsi="Arial" w:cs="Arial"/>
          <w:szCs w:val="24"/>
        </w:rPr>
        <w:t>ing</w:t>
      </w:r>
      <w:r w:rsidRPr="0009101F">
        <w:rPr>
          <w:rFonts w:ascii="Arial" w:hAnsi="Arial" w:cs="Arial"/>
          <w:szCs w:val="24"/>
        </w:rPr>
        <w:t xml:space="preserve"> chromatographic alignment</w:t>
      </w:r>
      <w:r w:rsidR="002E0652">
        <w:rPr>
          <w:rFonts w:ascii="Arial" w:hAnsi="Arial" w:cs="Arial"/>
          <w:szCs w:val="24"/>
        </w:rPr>
        <w:t xml:space="preserve"> (</w:t>
      </w:r>
      <w:r w:rsidR="002E0652">
        <w:rPr>
          <w:rFonts w:ascii="Arial" w:hAnsi="Arial" w:cs="Arial"/>
          <w:color w:val="0070C0"/>
          <w:szCs w:val="24"/>
        </w:rPr>
        <w:t>T</w:t>
      </w:r>
      <w:r w:rsidR="002E0652" w:rsidRPr="0009101F">
        <w:rPr>
          <w:rFonts w:ascii="Arial" w:hAnsi="Arial" w:cs="Arial"/>
          <w:color w:val="0070C0"/>
          <w:szCs w:val="24"/>
        </w:rPr>
        <w:t xml:space="preserve">ables </w:t>
      </w:r>
      <w:r w:rsidR="009A71DF">
        <w:rPr>
          <w:rFonts w:ascii="Arial" w:hAnsi="Arial" w:cs="Arial"/>
          <w:color w:val="0070C0"/>
          <w:szCs w:val="24"/>
        </w:rPr>
        <w:t>S</w:t>
      </w:r>
      <w:r w:rsidR="00A41913">
        <w:rPr>
          <w:rFonts w:ascii="Arial" w:hAnsi="Arial" w:cs="Arial"/>
          <w:color w:val="0070C0"/>
          <w:szCs w:val="24"/>
        </w:rPr>
        <w:t>4</w:t>
      </w:r>
      <w:r w:rsidR="002E0652" w:rsidRPr="0009101F">
        <w:rPr>
          <w:rFonts w:ascii="Arial" w:hAnsi="Arial" w:cs="Arial"/>
          <w:szCs w:val="24"/>
        </w:rPr>
        <w:t xml:space="preserve"> and </w:t>
      </w:r>
      <w:r w:rsidR="009A71DF">
        <w:rPr>
          <w:rFonts w:ascii="Arial" w:hAnsi="Arial" w:cs="Arial"/>
          <w:color w:val="0070C0"/>
          <w:szCs w:val="24"/>
        </w:rPr>
        <w:t>S</w:t>
      </w:r>
      <w:r w:rsidR="00A41913">
        <w:rPr>
          <w:rFonts w:ascii="Arial" w:hAnsi="Arial" w:cs="Arial"/>
          <w:color w:val="0070C0"/>
          <w:szCs w:val="24"/>
        </w:rPr>
        <w:t>5</w:t>
      </w:r>
      <w:r w:rsidR="002E0652">
        <w:rPr>
          <w:rFonts w:ascii="Arial" w:hAnsi="Arial" w:cs="Arial"/>
          <w:szCs w:val="24"/>
        </w:rPr>
        <w:t>)</w:t>
      </w:r>
      <w:r w:rsidRPr="0009101F">
        <w:rPr>
          <w:rFonts w:ascii="Arial" w:hAnsi="Arial" w:cs="Arial"/>
          <w:szCs w:val="24"/>
        </w:rPr>
        <w:t>. Instrument variability was determined by calculating median relative standard deviation (RSD) for standards that were added to each sample prior to injection into mass spectrometers. Overall process variability was determined by calculating median RSD for all endogenous metabolites (i.e., non-instrument standards) present in 100% of pooled matrix samples</w:t>
      </w:r>
      <w:r w:rsidR="00FD7732">
        <w:rPr>
          <w:rFonts w:ascii="Arial" w:hAnsi="Arial" w:cs="Arial"/>
          <w:szCs w:val="24"/>
        </w:rPr>
        <w:t>. Internal standards had a median RSD of 4%, and endogenous biochemicals</w:t>
      </w:r>
      <w:r w:rsidR="00FD7732" w:rsidRPr="00FD7732">
        <w:rPr>
          <w:rFonts w:ascii="Arial" w:hAnsi="Arial" w:cs="Arial"/>
          <w:szCs w:val="24"/>
        </w:rPr>
        <w:t xml:space="preserve"> </w:t>
      </w:r>
      <w:r w:rsidR="00FD7732">
        <w:rPr>
          <w:rFonts w:ascii="Arial" w:hAnsi="Arial" w:cs="Arial"/>
          <w:szCs w:val="24"/>
        </w:rPr>
        <w:t>had a median RSD of 8%</w:t>
      </w:r>
      <w:r w:rsidR="00D2515B" w:rsidRPr="0009101F">
        <w:rPr>
          <w:rFonts w:ascii="Arial" w:hAnsi="Arial" w:cs="Arial"/>
          <w:szCs w:val="24"/>
          <w:lang w:eastAsia="zh-CN"/>
        </w:rPr>
        <w:t xml:space="preserve"> (</w:t>
      </w:r>
      <w:r w:rsidR="00D2515B" w:rsidRPr="0009101F">
        <w:rPr>
          <w:rFonts w:ascii="Arial" w:hAnsi="Arial" w:cs="Arial"/>
          <w:color w:val="0070C0"/>
          <w:szCs w:val="24"/>
          <w:lang w:eastAsia="zh-CN"/>
        </w:rPr>
        <w:t xml:space="preserve">Table </w:t>
      </w:r>
      <w:r w:rsidR="009A71DF">
        <w:rPr>
          <w:rFonts w:ascii="Arial" w:hAnsi="Arial" w:cs="Arial"/>
          <w:color w:val="0070C0"/>
          <w:szCs w:val="24"/>
          <w:lang w:eastAsia="zh-CN"/>
        </w:rPr>
        <w:t>S</w:t>
      </w:r>
      <w:r w:rsidR="00A41913">
        <w:rPr>
          <w:rFonts w:ascii="Arial" w:hAnsi="Arial" w:cs="Arial"/>
          <w:color w:val="0070C0"/>
          <w:szCs w:val="24"/>
          <w:lang w:eastAsia="zh-CN"/>
        </w:rPr>
        <w:t>6</w:t>
      </w:r>
      <w:r w:rsidR="00D2515B" w:rsidRPr="0009101F">
        <w:rPr>
          <w:rFonts w:ascii="Arial" w:hAnsi="Arial" w:cs="Arial"/>
          <w:szCs w:val="24"/>
          <w:lang w:eastAsia="zh-CN"/>
        </w:rPr>
        <w:t>)</w:t>
      </w:r>
      <w:r w:rsidRPr="0009101F">
        <w:rPr>
          <w:rFonts w:ascii="Arial" w:hAnsi="Arial" w:cs="Arial"/>
          <w:szCs w:val="24"/>
        </w:rPr>
        <w:t xml:space="preserve">.  Experimental samples were randomized across the platform run with QC samples spaced evenly among injections </w:t>
      </w:r>
      <w:r w:rsidR="00FD7732">
        <w:rPr>
          <w:rFonts w:ascii="Arial" w:hAnsi="Arial" w:cs="Arial"/>
          <w:szCs w:val="24"/>
        </w:rPr>
        <w:t>(</w:t>
      </w:r>
      <w:r w:rsidRPr="0009101F">
        <w:rPr>
          <w:rFonts w:ascii="Arial" w:hAnsi="Arial" w:cs="Arial"/>
          <w:color w:val="0070C0"/>
          <w:szCs w:val="24"/>
        </w:rPr>
        <w:t xml:space="preserve">Figure </w:t>
      </w:r>
      <w:r w:rsidR="009A71DF">
        <w:rPr>
          <w:rFonts w:ascii="Arial" w:hAnsi="Arial" w:cs="Arial"/>
          <w:color w:val="0070C0"/>
          <w:szCs w:val="24"/>
        </w:rPr>
        <w:t>S</w:t>
      </w:r>
      <w:r w:rsidRPr="0009101F">
        <w:rPr>
          <w:rFonts w:ascii="Arial" w:hAnsi="Arial" w:cs="Arial"/>
          <w:color w:val="0070C0"/>
          <w:szCs w:val="24"/>
        </w:rPr>
        <w:t>1</w:t>
      </w:r>
      <w:r w:rsidR="00FD7732">
        <w:rPr>
          <w:rFonts w:ascii="Arial" w:hAnsi="Arial" w:cs="Arial"/>
          <w:color w:val="0070C0"/>
          <w:szCs w:val="24"/>
        </w:rPr>
        <w:t>)</w:t>
      </w:r>
      <w:r w:rsidRPr="0009101F">
        <w:rPr>
          <w:rFonts w:ascii="Arial" w:hAnsi="Arial" w:cs="Arial"/>
          <w:color w:val="0070C0"/>
          <w:szCs w:val="24"/>
        </w:rPr>
        <w:t>.</w:t>
      </w:r>
    </w:p>
    <w:p w14:paraId="51C59F2B" w14:textId="65E7D491" w:rsidR="00DC4CB6" w:rsidRPr="0009101F" w:rsidRDefault="00DC4CB6" w:rsidP="00970801">
      <w:pPr>
        <w:spacing w:before="240" w:after="240" w:line="360" w:lineRule="auto"/>
        <w:jc w:val="both"/>
        <w:rPr>
          <w:rFonts w:ascii="Arial" w:hAnsi="Arial" w:cs="Arial"/>
          <w:szCs w:val="24"/>
          <w:lang w:eastAsia="zh-CN"/>
        </w:rPr>
      </w:pPr>
      <w:r w:rsidRPr="0009101F">
        <w:rPr>
          <w:rFonts w:ascii="Arial" w:hAnsi="Arial" w:cs="Arial"/>
          <w:b/>
          <w:szCs w:val="24"/>
        </w:rPr>
        <w:t xml:space="preserve">Ultrahigh </w:t>
      </w:r>
      <w:r>
        <w:rPr>
          <w:rFonts w:ascii="Arial" w:hAnsi="Arial" w:cs="Arial"/>
          <w:b/>
          <w:szCs w:val="24"/>
        </w:rPr>
        <w:t>p</w:t>
      </w:r>
      <w:r w:rsidRPr="0009101F">
        <w:rPr>
          <w:rFonts w:ascii="Arial" w:hAnsi="Arial" w:cs="Arial"/>
          <w:b/>
          <w:szCs w:val="24"/>
        </w:rPr>
        <w:t xml:space="preserve">erformance </w:t>
      </w:r>
      <w:r>
        <w:rPr>
          <w:rFonts w:ascii="Arial" w:hAnsi="Arial" w:cs="Arial"/>
          <w:b/>
          <w:szCs w:val="24"/>
        </w:rPr>
        <w:t>l</w:t>
      </w:r>
      <w:r w:rsidRPr="0009101F">
        <w:rPr>
          <w:rFonts w:ascii="Arial" w:hAnsi="Arial" w:cs="Arial"/>
          <w:b/>
          <w:szCs w:val="24"/>
        </w:rPr>
        <w:t xml:space="preserve">iquid </w:t>
      </w:r>
      <w:r>
        <w:rPr>
          <w:rFonts w:ascii="Arial" w:hAnsi="Arial" w:cs="Arial"/>
          <w:b/>
          <w:szCs w:val="24"/>
        </w:rPr>
        <w:t>c</w:t>
      </w:r>
      <w:r w:rsidRPr="0009101F">
        <w:rPr>
          <w:rFonts w:ascii="Arial" w:hAnsi="Arial" w:cs="Arial"/>
          <w:b/>
          <w:szCs w:val="24"/>
        </w:rPr>
        <w:t>hromatography-</w:t>
      </w:r>
      <w:r>
        <w:rPr>
          <w:rFonts w:ascii="Arial" w:hAnsi="Arial" w:cs="Arial"/>
          <w:b/>
          <w:szCs w:val="24"/>
        </w:rPr>
        <w:t>t</w:t>
      </w:r>
      <w:r w:rsidRPr="0009101F">
        <w:rPr>
          <w:rFonts w:ascii="Arial" w:hAnsi="Arial" w:cs="Arial"/>
          <w:b/>
          <w:szCs w:val="24"/>
        </w:rPr>
        <w:t xml:space="preserve">andem </w:t>
      </w:r>
      <w:r>
        <w:rPr>
          <w:rFonts w:ascii="Arial" w:hAnsi="Arial" w:cs="Arial"/>
          <w:b/>
          <w:szCs w:val="24"/>
        </w:rPr>
        <w:t>m</w:t>
      </w:r>
      <w:r w:rsidRPr="0009101F">
        <w:rPr>
          <w:rFonts w:ascii="Arial" w:hAnsi="Arial" w:cs="Arial"/>
          <w:b/>
          <w:szCs w:val="24"/>
        </w:rPr>
        <w:t xml:space="preserve">ass </w:t>
      </w:r>
      <w:r>
        <w:rPr>
          <w:rFonts w:ascii="Arial" w:hAnsi="Arial" w:cs="Arial"/>
          <w:b/>
          <w:szCs w:val="24"/>
        </w:rPr>
        <w:t>s</w:t>
      </w:r>
      <w:r w:rsidRPr="0009101F">
        <w:rPr>
          <w:rFonts w:ascii="Arial" w:hAnsi="Arial" w:cs="Arial"/>
          <w:b/>
          <w:szCs w:val="24"/>
        </w:rPr>
        <w:t>pectroscopy (UPLC-MS/MS):</w:t>
      </w:r>
      <w:r w:rsidRPr="0009101F">
        <w:rPr>
          <w:rFonts w:ascii="Arial" w:hAnsi="Arial" w:cs="Arial"/>
          <w:szCs w:val="24"/>
        </w:rPr>
        <w:t xml:space="preserve"> All methods utilized a Waters ACQUITY ultra-performance liquid chromatography (UPLC) and a Thermo Scientific Q-Exactive high resolution/accurate mass spectrometer interfaced with a heated electrospray ionization (HESI-II) source and Orbitrap mass analyzer operated at 35,000 mass resolution. </w:t>
      </w:r>
      <w:r>
        <w:rPr>
          <w:rFonts w:ascii="Arial" w:hAnsi="Arial" w:cs="Arial"/>
          <w:szCs w:val="24"/>
        </w:rPr>
        <w:t>S</w:t>
      </w:r>
      <w:r w:rsidRPr="0009101F">
        <w:rPr>
          <w:rFonts w:ascii="Arial" w:hAnsi="Arial" w:cs="Arial"/>
          <w:szCs w:val="24"/>
        </w:rPr>
        <w:t xml:space="preserve">ample extract was dried </w:t>
      </w:r>
      <w:r>
        <w:rPr>
          <w:rFonts w:ascii="Arial" w:hAnsi="Arial" w:cs="Arial"/>
          <w:szCs w:val="24"/>
        </w:rPr>
        <w:t xml:space="preserve">and </w:t>
      </w:r>
      <w:r w:rsidRPr="0009101F">
        <w:rPr>
          <w:rFonts w:ascii="Arial" w:hAnsi="Arial" w:cs="Arial"/>
          <w:szCs w:val="24"/>
        </w:rPr>
        <w:t>then reconstituted in solvents compatible to each of the four methods. Each reconstitution solvent contained a series of standards at fixed concentrations to ensure injection and chromatographic consistency. One aliquot was analyzed using acidic positive</w:t>
      </w:r>
      <w:r>
        <w:rPr>
          <w:rFonts w:ascii="Arial" w:hAnsi="Arial" w:cs="Arial"/>
          <w:szCs w:val="24"/>
        </w:rPr>
        <w:t>-</w:t>
      </w:r>
      <w:r w:rsidRPr="0009101F">
        <w:rPr>
          <w:rFonts w:ascii="Arial" w:hAnsi="Arial" w:cs="Arial"/>
          <w:szCs w:val="24"/>
        </w:rPr>
        <w:t>ion conditions, chromatographically optimized for more hydrophilic compounds. In this method, extract was gradient</w:t>
      </w:r>
      <w:r>
        <w:rPr>
          <w:rFonts w:ascii="Arial" w:hAnsi="Arial" w:cs="Arial"/>
          <w:szCs w:val="24"/>
        </w:rPr>
        <w:t>-</w:t>
      </w:r>
      <w:r w:rsidRPr="0009101F">
        <w:rPr>
          <w:rFonts w:ascii="Arial" w:hAnsi="Arial" w:cs="Arial"/>
          <w:szCs w:val="24"/>
        </w:rPr>
        <w:t>eluted from a C18 column (Waters UPLC BEH C18-2.1x100 mm, 1.7 µm) using water</w:t>
      </w:r>
      <w:r w:rsidR="00F25121">
        <w:rPr>
          <w:rFonts w:ascii="Arial" w:hAnsi="Arial" w:cs="Arial"/>
          <w:szCs w:val="24"/>
        </w:rPr>
        <w:t>,</w:t>
      </w:r>
      <w:r w:rsidRPr="0009101F">
        <w:rPr>
          <w:rFonts w:ascii="Arial" w:hAnsi="Arial" w:cs="Arial"/>
          <w:szCs w:val="24"/>
        </w:rPr>
        <w:t xml:space="preserve"> methanol</w:t>
      </w:r>
      <w:r w:rsidR="00F25121">
        <w:rPr>
          <w:rFonts w:ascii="Arial" w:hAnsi="Arial" w:cs="Arial"/>
          <w:szCs w:val="24"/>
        </w:rPr>
        <w:t>,</w:t>
      </w:r>
      <w:r w:rsidRPr="0009101F">
        <w:rPr>
          <w:rFonts w:ascii="Arial" w:hAnsi="Arial" w:cs="Arial"/>
          <w:szCs w:val="24"/>
        </w:rPr>
        <w:t xml:space="preserve"> 0.05% perfluoropentanoic acid </w:t>
      </w:r>
      <w:r w:rsidRPr="0009101F">
        <w:rPr>
          <w:rFonts w:ascii="Arial" w:hAnsi="Arial" w:cs="Arial"/>
          <w:szCs w:val="24"/>
        </w:rPr>
        <w:lastRenderedPageBreak/>
        <w:t>(PFPA)</w:t>
      </w:r>
      <w:r w:rsidR="00F25121">
        <w:rPr>
          <w:rFonts w:ascii="Arial" w:hAnsi="Arial" w:cs="Arial"/>
          <w:szCs w:val="24"/>
        </w:rPr>
        <w:t>,</w:t>
      </w:r>
      <w:r w:rsidRPr="0009101F">
        <w:rPr>
          <w:rFonts w:ascii="Arial" w:hAnsi="Arial" w:cs="Arial"/>
          <w:szCs w:val="24"/>
        </w:rPr>
        <w:t xml:space="preserve"> and 0.1% formic acid (FA). Another aliquot was also analyzed using acidic positive</w:t>
      </w:r>
      <w:r>
        <w:rPr>
          <w:rFonts w:ascii="Arial" w:hAnsi="Arial" w:cs="Arial"/>
          <w:szCs w:val="24"/>
        </w:rPr>
        <w:t>-</w:t>
      </w:r>
      <w:r w:rsidRPr="0009101F">
        <w:rPr>
          <w:rFonts w:ascii="Arial" w:hAnsi="Arial" w:cs="Arial"/>
          <w:szCs w:val="24"/>
        </w:rPr>
        <w:t>ion conditions</w:t>
      </w:r>
      <w:r w:rsidR="001A1332">
        <w:rPr>
          <w:rFonts w:ascii="Arial" w:hAnsi="Arial" w:cs="Arial"/>
          <w:szCs w:val="24"/>
        </w:rPr>
        <w:t>;</w:t>
      </w:r>
      <w:r w:rsidRPr="0009101F">
        <w:rPr>
          <w:rFonts w:ascii="Arial" w:hAnsi="Arial" w:cs="Arial"/>
          <w:szCs w:val="24"/>
        </w:rPr>
        <w:t xml:space="preserve"> however</w:t>
      </w:r>
      <w:r w:rsidR="001A1332">
        <w:rPr>
          <w:rFonts w:ascii="Arial" w:hAnsi="Arial" w:cs="Arial"/>
          <w:szCs w:val="24"/>
        </w:rPr>
        <w:t>,</w:t>
      </w:r>
      <w:r w:rsidRPr="0009101F">
        <w:rPr>
          <w:rFonts w:ascii="Arial" w:hAnsi="Arial" w:cs="Arial"/>
          <w:szCs w:val="24"/>
        </w:rPr>
        <w:t xml:space="preserve"> it was chromatographically optimized for more hydrophobic compounds. In this method, extract was gradient</w:t>
      </w:r>
      <w:r>
        <w:rPr>
          <w:rFonts w:ascii="Arial" w:hAnsi="Arial" w:cs="Arial"/>
          <w:szCs w:val="24"/>
        </w:rPr>
        <w:t>-</w:t>
      </w:r>
      <w:r w:rsidRPr="0009101F">
        <w:rPr>
          <w:rFonts w:ascii="Arial" w:hAnsi="Arial" w:cs="Arial"/>
          <w:szCs w:val="24"/>
        </w:rPr>
        <w:t>eluted from the aforementioned C18 column using methanol, acetonitrile, water, 0.05% PFPA</w:t>
      </w:r>
      <w:r>
        <w:rPr>
          <w:rFonts w:ascii="Arial" w:hAnsi="Arial" w:cs="Arial"/>
          <w:szCs w:val="24"/>
        </w:rPr>
        <w:t>,</w:t>
      </w:r>
      <w:r w:rsidRPr="0009101F">
        <w:rPr>
          <w:rFonts w:ascii="Arial" w:hAnsi="Arial" w:cs="Arial"/>
          <w:szCs w:val="24"/>
        </w:rPr>
        <w:t xml:space="preserve"> and 0.01% FA and was operated at an overall higher organic content. Another aliquot was analyzed using basic negative</w:t>
      </w:r>
      <w:r>
        <w:rPr>
          <w:rFonts w:ascii="Arial" w:hAnsi="Arial" w:cs="Arial"/>
          <w:szCs w:val="24"/>
        </w:rPr>
        <w:t>-</w:t>
      </w:r>
      <w:r w:rsidRPr="0009101F">
        <w:rPr>
          <w:rFonts w:ascii="Arial" w:hAnsi="Arial" w:cs="Arial"/>
          <w:szCs w:val="24"/>
        </w:rPr>
        <w:t>ion</w:t>
      </w:r>
      <w:r>
        <w:rPr>
          <w:rFonts w:ascii="Arial" w:hAnsi="Arial" w:cs="Arial"/>
          <w:szCs w:val="24"/>
        </w:rPr>
        <w:t>-</w:t>
      </w:r>
      <w:r w:rsidRPr="0009101F">
        <w:rPr>
          <w:rFonts w:ascii="Arial" w:hAnsi="Arial" w:cs="Arial"/>
          <w:szCs w:val="24"/>
        </w:rPr>
        <w:t xml:space="preserve">optimized conditions </w:t>
      </w:r>
      <w:r w:rsidR="00F25121">
        <w:rPr>
          <w:rFonts w:ascii="Arial" w:hAnsi="Arial" w:cs="Arial"/>
          <w:szCs w:val="24"/>
        </w:rPr>
        <w:t>with</w:t>
      </w:r>
      <w:r w:rsidRPr="0009101F">
        <w:rPr>
          <w:rFonts w:ascii="Arial" w:hAnsi="Arial" w:cs="Arial"/>
          <w:szCs w:val="24"/>
        </w:rPr>
        <w:t xml:space="preserve"> a separate dedicated C18 column. </w:t>
      </w:r>
      <w:r>
        <w:rPr>
          <w:rFonts w:ascii="Arial" w:hAnsi="Arial" w:cs="Arial"/>
          <w:szCs w:val="24"/>
        </w:rPr>
        <w:t>B</w:t>
      </w:r>
      <w:r w:rsidRPr="0009101F">
        <w:rPr>
          <w:rFonts w:ascii="Arial" w:hAnsi="Arial" w:cs="Arial"/>
          <w:szCs w:val="24"/>
        </w:rPr>
        <w:t>asic extracts were gradient</w:t>
      </w:r>
      <w:r>
        <w:rPr>
          <w:rFonts w:ascii="Arial" w:hAnsi="Arial" w:cs="Arial"/>
          <w:szCs w:val="24"/>
        </w:rPr>
        <w:t>-</w:t>
      </w:r>
      <w:r w:rsidRPr="0009101F">
        <w:rPr>
          <w:rFonts w:ascii="Arial" w:hAnsi="Arial" w:cs="Arial"/>
          <w:szCs w:val="24"/>
        </w:rPr>
        <w:t>eluted from the column using methanol and water, however with 6.5</w:t>
      </w:r>
      <w:r>
        <w:rPr>
          <w:rFonts w:ascii="Arial" w:hAnsi="Arial" w:cs="Arial"/>
          <w:szCs w:val="24"/>
        </w:rPr>
        <w:t xml:space="preserve"> </w:t>
      </w:r>
      <w:r w:rsidRPr="0009101F">
        <w:rPr>
          <w:rFonts w:ascii="Arial" w:hAnsi="Arial" w:cs="Arial"/>
          <w:szCs w:val="24"/>
        </w:rPr>
        <w:t xml:space="preserve">mM </w:t>
      </w:r>
      <w:r>
        <w:rPr>
          <w:rFonts w:ascii="Arial" w:hAnsi="Arial" w:cs="Arial"/>
          <w:szCs w:val="24"/>
        </w:rPr>
        <w:t>a</w:t>
      </w:r>
      <w:r w:rsidRPr="0009101F">
        <w:rPr>
          <w:rFonts w:ascii="Arial" w:hAnsi="Arial" w:cs="Arial"/>
          <w:szCs w:val="24"/>
        </w:rPr>
        <w:t xml:space="preserve">mmonium </w:t>
      </w:r>
      <w:r>
        <w:rPr>
          <w:rFonts w:ascii="Arial" w:hAnsi="Arial" w:cs="Arial"/>
          <w:szCs w:val="24"/>
        </w:rPr>
        <w:t>b</w:t>
      </w:r>
      <w:r w:rsidRPr="0009101F">
        <w:rPr>
          <w:rFonts w:ascii="Arial" w:hAnsi="Arial" w:cs="Arial"/>
          <w:szCs w:val="24"/>
        </w:rPr>
        <w:t>icarbonate at pH 8. The fourth aliquot was analyzed via negative ionization following elution from a HILIC column (Waters UPLC BEH Amide 2.1x150 mm, 1.7 µm) using a gradient consisting of water and acetonitrile with 10</w:t>
      </w:r>
      <w:r>
        <w:rPr>
          <w:rFonts w:ascii="Arial" w:hAnsi="Arial" w:cs="Arial"/>
          <w:szCs w:val="24"/>
        </w:rPr>
        <w:t xml:space="preserve"> </w:t>
      </w:r>
      <w:r w:rsidRPr="0009101F">
        <w:rPr>
          <w:rFonts w:ascii="Arial" w:hAnsi="Arial" w:cs="Arial"/>
          <w:szCs w:val="24"/>
        </w:rPr>
        <w:t xml:space="preserve">mM </w:t>
      </w:r>
      <w:r>
        <w:rPr>
          <w:rFonts w:ascii="Arial" w:hAnsi="Arial" w:cs="Arial"/>
          <w:szCs w:val="24"/>
        </w:rPr>
        <w:t>a</w:t>
      </w:r>
      <w:r w:rsidRPr="0009101F">
        <w:rPr>
          <w:rFonts w:ascii="Arial" w:hAnsi="Arial" w:cs="Arial"/>
          <w:szCs w:val="24"/>
        </w:rPr>
        <w:t xml:space="preserve">mmonium </w:t>
      </w:r>
      <w:r>
        <w:rPr>
          <w:rFonts w:ascii="Arial" w:hAnsi="Arial" w:cs="Arial"/>
          <w:szCs w:val="24"/>
        </w:rPr>
        <w:t>f</w:t>
      </w:r>
      <w:r w:rsidRPr="0009101F">
        <w:rPr>
          <w:rFonts w:ascii="Arial" w:hAnsi="Arial" w:cs="Arial"/>
          <w:szCs w:val="24"/>
        </w:rPr>
        <w:t>ormate</w:t>
      </w:r>
      <w:r>
        <w:rPr>
          <w:rFonts w:ascii="Arial" w:hAnsi="Arial" w:cs="Arial"/>
          <w:szCs w:val="24"/>
        </w:rPr>
        <w:t xml:space="preserve"> at</w:t>
      </w:r>
      <w:r w:rsidRPr="0009101F">
        <w:rPr>
          <w:rFonts w:ascii="Arial" w:hAnsi="Arial" w:cs="Arial"/>
          <w:szCs w:val="24"/>
        </w:rPr>
        <w:t xml:space="preserve"> pH 10.8. MS analysis alternated between MS and data-dependent MS</w:t>
      </w:r>
      <w:r w:rsidRPr="0009101F">
        <w:rPr>
          <w:rFonts w:ascii="Arial" w:hAnsi="Arial" w:cs="Arial"/>
          <w:szCs w:val="24"/>
          <w:vertAlign w:val="superscript"/>
        </w:rPr>
        <w:t>n</w:t>
      </w:r>
      <w:r w:rsidRPr="0009101F">
        <w:rPr>
          <w:rFonts w:ascii="Arial" w:hAnsi="Arial" w:cs="Arial"/>
          <w:szCs w:val="24"/>
        </w:rPr>
        <w:t xml:space="preserve"> scans using dynamic exclusion. </w:t>
      </w:r>
      <w:r>
        <w:rPr>
          <w:rFonts w:ascii="Arial" w:hAnsi="Arial" w:cs="Arial"/>
          <w:szCs w:val="24"/>
        </w:rPr>
        <w:t>S</w:t>
      </w:r>
      <w:r w:rsidRPr="0009101F">
        <w:rPr>
          <w:rFonts w:ascii="Arial" w:hAnsi="Arial" w:cs="Arial"/>
          <w:szCs w:val="24"/>
        </w:rPr>
        <w:t>can range varied slighted between methods but covered 70</w:t>
      </w:r>
      <w:r>
        <w:rPr>
          <w:rFonts w:ascii="Arial" w:hAnsi="Arial" w:cs="Arial"/>
          <w:szCs w:val="24"/>
        </w:rPr>
        <w:t>–</w:t>
      </w:r>
      <w:r w:rsidRPr="0009101F">
        <w:rPr>
          <w:rFonts w:ascii="Arial" w:hAnsi="Arial" w:cs="Arial"/>
          <w:szCs w:val="24"/>
        </w:rPr>
        <w:t xml:space="preserve">1000 m/z. Raw data files </w:t>
      </w:r>
      <w:r>
        <w:rPr>
          <w:rFonts w:ascii="Arial" w:hAnsi="Arial" w:cs="Arial"/>
          <w:szCs w:val="24"/>
        </w:rPr>
        <w:t>we</w:t>
      </w:r>
      <w:r w:rsidRPr="0009101F">
        <w:rPr>
          <w:rFonts w:ascii="Arial" w:hAnsi="Arial" w:cs="Arial"/>
          <w:szCs w:val="24"/>
        </w:rPr>
        <w:t>re archived and extracted as described below.</w:t>
      </w:r>
    </w:p>
    <w:p w14:paraId="2578095E" w14:textId="43E9F57B" w:rsidR="00DC4CB6" w:rsidRPr="0009101F" w:rsidRDefault="00DC4CB6" w:rsidP="00970801">
      <w:pPr>
        <w:spacing w:after="240" w:line="360" w:lineRule="auto"/>
        <w:jc w:val="both"/>
        <w:rPr>
          <w:rFonts w:ascii="Arial" w:hAnsi="Arial" w:cs="Arial"/>
          <w:szCs w:val="24"/>
        </w:rPr>
      </w:pPr>
      <w:r w:rsidRPr="0009101F">
        <w:rPr>
          <w:rFonts w:ascii="Arial" w:hAnsi="Arial" w:cs="Arial"/>
          <w:b/>
          <w:szCs w:val="24"/>
        </w:rPr>
        <w:t>Bioinformatics:</w:t>
      </w:r>
      <w:r w:rsidR="00080D2B">
        <w:rPr>
          <w:rFonts w:ascii="Arial" w:hAnsi="Arial" w:cs="Arial"/>
          <w:szCs w:val="24"/>
        </w:rPr>
        <w:t xml:space="preserve"> </w:t>
      </w:r>
      <w:r w:rsidRPr="0009101F">
        <w:rPr>
          <w:rFonts w:ascii="Arial" w:hAnsi="Arial" w:cs="Arial"/>
          <w:szCs w:val="24"/>
        </w:rPr>
        <w:t>The informatics system consisted of four major components</w:t>
      </w:r>
      <w:r>
        <w:rPr>
          <w:rFonts w:ascii="Arial" w:hAnsi="Arial" w:cs="Arial"/>
          <w:szCs w:val="24"/>
        </w:rPr>
        <w:t>:</w:t>
      </w:r>
      <w:r w:rsidRPr="0009101F">
        <w:rPr>
          <w:rFonts w:ascii="Arial" w:hAnsi="Arial" w:cs="Arial"/>
          <w:szCs w:val="24"/>
        </w:rPr>
        <w:t xml:space="preserve"> the Laboratory Information Management System (LIMS), data extraction and peak-identification software, data processing tools for QC and compound identification, and a collection of information interpretation and visualization t</w:t>
      </w:r>
      <w:r w:rsidR="00080D2B">
        <w:rPr>
          <w:rFonts w:ascii="Arial" w:hAnsi="Arial" w:cs="Arial"/>
          <w:szCs w:val="24"/>
        </w:rPr>
        <w:t xml:space="preserve">ools for use by data analysts. </w:t>
      </w:r>
      <w:r>
        <w:rPr>
          <w:rFonts w:ascii="Arial" w:hAnsi="Arial" w:cs="Arial"/>
          <w:szCs w:val="24"/>
        </w:rPr>
        <w:t>H</w:t>
      </w:r>
      <w:r w:rsidRPr="0009101F">
        <w:rPr>
          <w:rFonts w:ascii="Arial" w:hAnsi="Arial" w:cs="Arial"/>
          <w:szCs w:val="24"/>
        </w:rPr>
        <w:t>ardware and software foundations for these informatics components were the LAN backbone and a database server running Oracle 10.2.0.1 Enterprise Edition.</w:t>
      </w:r>
    </w:p>
    <w:p w14:paraId="44FCE69A" w14:textId="77777777" w:rsidR="00BA5BF6" w:rsidRDefault="00DC4CB6" w:rsidP="00970801">
      <w:pPr>
        <w:pStyle w:val="CommentText"/>
        <w:spacing w:after="240" w:line="360" w:lineRule="auto"/>
        <w:jc w:val="both"/>
        <w:rPr>
          <w:rFonts w:ascii="Arial" w:hAnsi="Arial" w:cs="Arial"/>
          <w:sz w:val="24"/>
          <w:szCs w:val="24"/>
        </w:rPr>
      </w:pPr>
      <w:r w:rsidRPr="0009101F">
        <w:rPr>
          <w:rFonts w:ascii="Arial" w:hAnsi="Arial" w:cs="Arial"/>
          <w:b/>
          <w:sz w:val="24"/>
          <w:szCs w:val="24"/>
        </w:rPr>
        <w:t xml:space="preserve">Data </w:t>
      </w:r>
      <w:r>
        <w:rPr>
          <w:rFonts w:ascii="Arial" w:hAnsi="Arial" w:cs="Arial"/>
          <w:b/>
          <w:sz w:val="24"/>
          <w:szCs w:val="24"/>
        </w:rPr>
        <w:t>e</w:t>
      </w:r>
      <w:r w:rsidRPr="0009101F">
        <w:rPr>
          <w:rFonts w:ascii="Arial" w:hAnsi="Arial" w:cs="Arial"/>
          <w:b/>
          <w:sz w:val="24"/>
          <w:szCs w:val="24"/>
        </w:rPr>
        <w:t xml:space="preserve">xtraction and </w:t>
      </w:r>
      <w:r>
        <w:rPr>
          <w:rFonts w:ascii="Arial" w:hAnsi="Arial" w:cs="Arial"/>
          <w:b/>
          <w:sz w:val="24"/>
          <w:szCs w:val="24"/>
        </w:rPr>
        <w:t>c</w:t>
      </w:r>
      <w:r w:rsidRPr="0009101F">
        <w:rPr>
          <w:rFonts w:ascii="Arial" w:hAnsi="Arial" w:cs="Arial"/>
          <w:b/>
          <w:sz w:val="24"/>
          <w:szCs w:val="24"/>
        </w:rPr>
        <w:t xml:space="preserve">ompound </w:t>
      </w:r>
      <w:r>
        <w:rPr>
          <w:rFonts w:ascii="Arial" w:hAnsi="Arial" w:cs="Arial"/>
          <w:b/>
          <w:sz w:val="24"/>
          <w:szCs w:val="24"/>
        </w:rPr>
        <w:t>i</w:t>
      </w:r>
      <w:r w:rsidRPr="0009101F">
        <w:rPr>
          <w:rFonts w:ascii="Arial" w:hAnsi="Arial" w:cs="Arial"/>
          <w:b/>
          <w:sz w:val="24"/>
          <w:szCs w:val="24"/>
        </w:rPr>
        <w:t>dentification:</w:t>
      </w:r>
      <w:r w:rsidRPr="0009101F">
        <w:rPr>
          <w:rFonts w:ascii="Arial" w:hAnsi="Arial" w:cs="Arial"/>
          <w:b/>
          <w:i/>
          <w:sz w:val="24"/>
          <w:szCs w:val="24"/>
        </w:rPr>
        <w:t xml:space="preserve"> </w:t>
      </w:r>
      <w:r w:rsidRPr="0009101F">
        <w:rPr>
          <w:rFonts w:ascii="Arial" w:hAnsi="Arial" w:cs="Arial"/>
          <w:sz w:val="24"/>
          <w:szCs w:val="24"/>
        </w:rPr>
        <w:t>Raw data w</w:t>
      </w:r>
      <w:r>
        <w:rPr>
          <w:rFonts w:ascii="Arial" w:hAnsi="Arial" w:cs="Arial"/>
          <w:sz w:val="24"/>
          <w:szCs w:val="24"/>
        </w:rPr>
        <w:t>ere</w:t>
      </w:r>
      <w:r w:rsidRPr="0009101F">
        <w:rPr>
          <w:rFonts w:ascii="Arial" w:hAnsi="Arial" w:cs="Arial"/>
          <w:sz w:val="24"/>
          <w:szCs w:val="24"/>
        </w:rPr>
        <w:t xml:space="preserve"> extracted, peak-identified</w:t>
      </w:r>
      <w:r>
        <w:rPr>
          <w:rFonts w:ascii="Arial" w:hAnsi="Arial" w:cs="Arial"/>
          <w:sz w:val="24"/>
          <w:szCs w:val="24"/>
        </w:rPr>
        <w:t>,</w:t>
      </w:r>
      <w:r w:rsidRPr="0009101F">
        <w:rPr>
          <w:rFonts w:ascii="Arial" w:hAnsi="Arial" w:cs="Arial"/>
          <w:sz w:val="24"/>
          <w:szCs w:val="24"/>
        </w:rPr>
        <w:t xml:space="preserve"> and QC processed using Metabolon hardware and software. These systems are built on a web-service platform utilizing Microsoft’s .NET technologies, which run on high-performance application servers and fiber-channel storage arrays in clusters to provide active failover and load-balancing. Compounds were identified by comparison to library entries of purified standards or recurrent unknown entities. Metabolon maintains a library based on authenticated standards that contains retention time/index (RI), mass to charge ratio (</w:t>
      </w:r>
      <w:r w:rsidRPr="0009101F">
        <w:rPr>
          <w:rFonts w:ascii="Arial" w:hAnsi="Arial" w:cs="Arial"/>
          <w:i/>
          <w:sz w:val="24"/>
          <w:szCs w:val="24"/>
        </w:rPr>
        <w:t>m/z)</w:t>
      </w:r>
      <w:r w:rsidRPr="0009101F">
        <w:rPr>
          <w:rFonts w:ascii="Arial" w:hAnsi="Arial" w:cs="Arial"/>
          <w:sz w:val="24"/>
          <w:szCs w:val="24"/>
        </w:rPr>
        <w:t xml:space="preserve">, and chromatographic data (including MS/MS spectral data) on all molecules present in the library. Further, biochemical identifications </w:t>
      </w:r>
      <w:r>
        <w:rPr>
          <w:rFonts w:ascii="Arial" w:hAnsi="Arial" w:cs="Arial"/>
          <w:sz w:val="24"/>
          <w:szCs w:val="24"/>
        </w:rPr>
        <w:t>we</w:t>
      </w:r>
      <w:r w:rsidRPr="0009101F">
        <w:rPr>
          <w:rFonts w:ascii="Arial" w:hAnsi="Arial" w:cs="Arial"/>
          <w:sz w:val="24"/>
          <w:szCs w:val="24"/>
        </w:rPr>
        <w:t xml:space="preserve">re based on three criteria: retention index within a narrow RI window of the proposed identification, </w:t>
      </w:r>
      <w:r w:rsidRPr="0009101F">
        <w:rPr>
          <w:rFonts w:ascii="Arial" w:hAnsi="Arial" w:cs="Arial"/>
          <w:sz w:val="24"/>
          <w:szCs w:val="24"/>
        </w:rPr>
        <w:lastRenderedPageBreak/>
        <w:t xml:space="preserve">accurate mass match to the library +/- 10 ppm, and MS/MS forward and reverse scores between experimental data and authentic standards. </w:t>
      </w:r>
    </w:p>
    <w:p w14:paraId="311AE4F5" w14:textId="35278560" w:rsidR="00DC4CB6" w:rsidRPr="0009101F" w:rsidRDefault="00DC4CB6" w:rsidP="00970801">
      <w:pPr>
        <w:pStyle w:val="CommentText"/>
        <w:spacing w:after="240" w:line="360" w:lineRule="auto"/>
        <w:jc w:val="both"/>
        <w:rPr>
          <w:rFonts w:ascii="Arial" w:hAnsi="Arial" w:cs="Arial"/>
          <w:sz w:val="24"/>
          <w:szCs w:val="24"/>
        </w:rPr>
      </w:pPr>
      <w:r w:rsidRPr="0009101F">
        <w:rPr>
          <w:rFonts w:ascii="Arial" w:hAnsi="Arial" w:cs="Arial"/>
          <w:sz w:val="24"/>
          <w:szCs w:val="24"/>
        </w:rPr>
        <w:t xml:space="preserve">MS/MS scores </w:t>
      </w:r>
      <w:r>
        <w:rPr>
          <w:rFonts w:ascii="Arial" w:hAnsi="Arial" w:cs="Arial"/>
          <w:sz w:val="24"/>
          <w:szCs w:val="24"/>
        </w:rPr>
        <w:t>we</w:t>
      </w:r>
      <w:r w:rsidRPr="0009101F">
        <w:rPr>
          <w:rFonts w:ascii="Arial" w:hAnsi="Arial" w:cs="Arial"/>
          <w:sz w:val="24"/>
          <w:szCs w:val="24"/>
        </w:rPr>
        <w:t xml:space="preserve">re based on a comparison of ions present in the experimental spectrum to ions present in the library spectrum. While there may be similarities between these molecules based on one of these factors, use of all three data points can be </w:t>
      </w:r>
      <w:r>
        <w:rPr>
          <w:rFonts w:ascii="Arial" w:hAnsi="Arial" w:cs="Arial"/>
          <w:sz w:val="24"/>
          <w:szCs w:val="24"/>
        </w:rPr>
        <w:t>used</w:t>
      </w:r>
      <w:r w:rsidRPr="0009101F">
        <w:rPr>
          <w:rFonts w:ascii="Arial" w:hAnsi="Arial" w:cs="Arial"/>
          <w:sz w:val="24"/>
          <w:szCs w:val="24"/>
        </w:rPr>
        <w:t xml:space="preserve"> to distinguish and differentiate biochemicals. More than 3300 commercially available purified standard compounds have been acquired and registered into LIMS for analysis on all platforms for determination of their analytical characteristics. Additional mass spectral entries have been created for structurally unnamed biochemicals, which have been identified by virtue of their recurrent nature (both chromatographic and mass spectral). These compounds have the potential to be identified by future acquisition of a matching purified standard or by classical structural analysis.</w:t>
      </w:r>
    </w:p>
    <w:p w14:paraId="6FCE661D" w14:textId="601044D7" w:rsidR="00DC4CB6" w:rsidRPr="0009101F" w:rsidRDefault="00DC4CB6" w:rsidP="00970801">
      <w:pPr>
        <w:spacing w:line="360" w:lineRule="auto"/>
        <w:jc w:val="both"/>
        <w:rPr>
          <w:rFonts w:ascii="Arial" w:hAnsi="Arial" w:cs="Arial"/>
          <w:szCs w:val="24"/>
          <w:lang w:eastAsia="zh-CN"/>
        </w:rPr>
      </w:pPr>
      <w:r w:rsidRPr="0009101F">
        <w:rPr>
          <w:rFonts w:ascii="Arial" w:hAnsi="Arial" w:cs="Arial"/>
          <w:b/>
          <w:szCs w:val="24"/>
        </w:rPr>
        <w:t>Curation:</w:t>
      </w:r>
      <w:r w:rsidR="00BA5BF6">
        <w:rPr>
          <w:rFonts w:ascii="Arial" w:hAnsi="Arial" w:cs="Arial"/>
          <w:szCs w:val="24"/>
        </w:rPr>
        <w:t xml:space="preserve"> </w:t>
      </w:r>
      <w:r w:rsidRPr="0009101F">
        <w:rPr>
          <w:rFonts w:ascii="Arial" w:hAnsi="Arial" w:cs="Arial"/>
          <w:szCs w:val="24"/>
        </w:rPr>
        <w:t>A variety of curation procedures were carried out to ensure that a high</w:t>
      </w:r>
      <w:r>
        <w:rPr>
          <w:rFonts w:ascii="Arial" w:hAnsi="Arial" w:cs="Arial"/>
          <w:szCs w:val="24"/>
        </w:rPr>
        <w:t>-</w:t>
      </w:r>
      <w:r w:rsidRPr="0009101F">
        <w:rPr>
          <w:rFonts w:ascii="Arial" w:hAnsi="Arial" w:cs="Arial"/>
          <w:szCs w:val="24"/>
        </w:rPr>
        <w:t>quality data set was available for statistical analysis and data interpretation.</w:t>
      </w:r>
      <w:r>
        <w:rPr>
          <w:rFonts w:ascii="Arial" w:hAnsi="Arial" w:cs="Arial"/>
          <w:szCs w:val="24"/>
        </w:rPr>
        <w:t xml:space="preserve"> </w:t>
      </w:r>
      <w:r w:rsidRPr="0009101F">
        <w:rPr>
          <w:rFonts w:ascii="Arial" w:hAnsi="Arial" w:cs="Arial"/>
          <w:szCs w:val="24"/>
        </w:rPr>
        <w:t>QC and curation processes were designed to ensure accurate and consistent identification of true chemical entities and to remove those representing system artifacts, mis-assignments, and background noise. Metabolon data analysts use proprietary visualization and interpretation software to confirm the consistency of peak identification among various samples. Library matches for each compound were checked for each sample and corrected if necessary.</w:t>
      </w:r>
    </w:p>
    <w:p w14:paraId="5C3061F1" w14:textId="77777777" w:rsidR="00DC4CB6" w:rsidRPr="0009101F" w:rsidRDefault="00DC4CB6" w:rsidP="00970801">
      <w:pPr>
        <w:spacing w:line="360" w:lineRule="auto"/>
        <w:jc w:val="both"/>
        <w:rPr>
          <w:rFonts w:ascii="Arial" w:hAnsi="Arial" w:cs="Arial"/>
          <w:szCs w:val="24"/>
          <w:lang w:eastAsia="zh-CN"/>
        </w:rPr>
      </w:pPr>
    </w:p>
    <w:p w14:paraId="4441DCA1" w14:textId="5B5C9FC6" w:rsidR="00DC4CB6" w:rsidRDefault="00DC4CB6" w:rsidP="00970801">
      <w:pPr>
        <w:spacing w:before="240" w:after="240" w:line="360" w:lineRule="auto"/>
        <w:jc w:val="both"/>
        <w:rPr>
          <w:rFonts w:ascii="Arial" w:hAnsi="Arial" w:cs="Arial"/>
          <w:szCs w:val="24"/>
        </w:rPr>
      </w:pPr>
      <w:r w:rsidRPr="0009101F">
        <w:rPr>
          <w:rFonts w:ascii="Arial" w:hAnsi="Arial" w:cs="Arial"/>
          <w:b/>
          <w:szCs w:val="24"/>
        </w:rPr>
        <w:t xml:space="preserve">Metabolite </w:t>
      </w:r>
      <w:r>
        <w:rPr>
          <w:rFonts w:ascii="Arial" w:hAnsi="Arial" w:cs="Arial"/>
          <w:b/>
          <w:szCs w:val="24"/>
        </w:rPr>
        <w:t>q</w:t>
      </w:r>
      <w:r w:rsidRPr="0009101F">
        <w:rPr>
          <w:rFonts w:ascii="Arial" w:hAnsi="Arial" w:cs="Arial"/>
          <w:b/>
          <w:szCs w:val="24"/>
        </w:rPr>
        <w:t xml:space="preserve">uantification and </w:t>
      </w:r>
      <w:r>
        <w:rPr>
          <w:rFonts w:ascii="Arial" w:hAnsi="Arial" w:cs="Arial"/>
          <w:b/>
          <w:szCs w:val="24"/>
        </w:rPr>
        <w:t>d</w:t>
      </w:r>
      <w:r w:rsidRPr="0009101F">
        <w:rPr>
          <w:rFonts w:ascii="Arial" w:hAnsi="Arial" w:cs="Arial"/>
          <w:b/>
          <w:szCs w:val="24"/>
        </w:rPr>
        <w:t xml:space="preserve">ata </w:t>
      </w:r>
      <w:r>
        <w:rPr>
          <w:rFonts w:ascii="Arial" w:hAnsi="Arial" w:cs="Arial"/>
          <w:b/>
          <w:szCs w:val="24"/>
        </w:rPr>
        <w:t>n</w:t>
      </w:r>
      <w:r w:rsidRPr="0009101F">
        <w:rPr>
          <w:rFonts w:ascii="Arial" w:hAnsi="Arial" w:cs="Arial"/>
          <w:b/>
          <w:szCs w:val="24"/>
        </w:rPr>
        <w:t>ormalization</w:t>
      </w:r>
      <w:r w:rsidR="00BA5BF6">
        <w:rPr>
          <w:rFonts w:ascii="Arial" w:hAnsi="Arial" w:cs="Arial"/>
          <w:b/>
          <w:szCs w:val="24"/>
        </w:rPr>
        <w:t>:</w:t>
      </w:r>
      <w:r w:rsidRPr="0009101F">
        <w:rPr>
          <w:rFonts w:ascii="Arial" w:hAnsi="Arial" w:cs="Arial"/>
          <w:b/>
          <w:szCs w:val="24"/>
        </w:rPr>
        <w:t xml:space="preserve"> </w:t>
      </w:r>
      <w:r w:rsidRPr="0009101F">
        <w:rPr>
          <w:rFonts w:ascii="Arial" w:hAnsi="Arial" w:cs="Arial"/>
          <w:szCs w:val="24"/>
        </w:rPr>
        <w:t>Peaks were quantified using area-under-the-curve. For studies spanning multiple days, a data normalization step was performed to correct variation resulting from instrument inter-day tuning differences. Essentially, each compound was corrected in run</w:t>
      </w:r>
      <w:r>
        <w:rPr>
          <w:rFonts w:ascii="Arial" w:hAnsi="Arial" w:cs="Arial"/>
          <w:szCs w:val="24"/>
        </w:rPr>
        <w:t>–</w:t>
      </w:r>
      <w:r w:rsidRPr="0009101F">
        <w:rPr>
          <w:rFonts w:ascii="Arial" w:hAnsi="Arial" w:cs="Arial"/>
          <w:szCs w:val="24"/>
        </w:rPr>
        <w:t xml:space="preserve">day blocks by registering the medians to equal 1.00 and normalizing each data point proportionately (termed “block correction”; </w:t>
      </w:r>
      <w:r>
        <w:rPr>
          <w:rFonts w:ascii="Arial" w:hAnsi="Arial" w:cs="Arial"/>
          <w:color w:val="0070C0"/>
          <w:szCs w:val="24"/>
        </w:rPr>
        <w:t>F</w:t>
      </w:r>
      <w:r w:rsidRPr="0009101F">
        <w:rPr>
          <w:rFonts w:ascii="Arial" w:hAnsi="Arial" w:cs="Arial"/>
          <w:color w:val="0070C0"/>
          <w:szCs w:val="24"/>
        </w:rPr>
        <w:t xml:space="preserve">igure </w:t>
      </w:r>
      <w:r w:rsidR="009A71DF">
        <w:rPr>
          <w:rFonts w:ascii="Arial" w:hAnsi="Arial" w:cs="Arial"/>
          <w:color w:val="0070C0"/>
          <w:szCs w:val="24"/>
        </w:rPr>
        <w:t>S</w:t>
      </w:r>
      <w:r w:rsidRPr="0009101F">
        <w:rPr>
          <w:rFonts w:ascii="Arial" w:hAnsi="Arial" w:cs="Arial"/>
          <w:color w:val="0070C0"/>
          <w:szCs w:val="24"/>
        </w:rPr>
        <w:t>2</w:t>
      </w:r>
      <w:r w:rsidRPr="0009101F">
        <w:rPr>
          <w:rFonts w:ascii="Arial" w:hAnsi="Arial" w:cs="Arial"/>
          <w:szCs w:val="24"/>
        </w:rPr>
        <w:t>).</w:t>
      </w:r>
      <w:r w:rsidR="000B1536">
        <w:rPr>
          <w:rFonts w:ascii="Arial" w:hAnsi="Arial" w:cs="Arial"/>
          <w:szCs w:val="24"/>
        </w:rPr>
        <w:t xml:space="preserve"> </w:t>
      </w:r>
      <w:r w:rsidRPr="0009101F">
        <w:rPr>
          <w:rFonts w:ascii="Arial" w:hAnsi="Arial" w:cs="Arial"/>
          <w:szCs w:val="24"/>
        </w:rPr>
        <w:t xml:space="preserve">For studies that did not require more than one day of analysis, no normalization </w:t>
      </w:r>
      <w:r>
        <w:rPr>
          <w:rFonts w:ascii="Arial" w:hAnsi="Arial" w:cs="Arial"/>
          <w:szCs w:val="24"/>
        </w:rPr>
        <w:t>wa</w:t>
      </w:r>
      <w:r w:rsidRPr="0009101F">
        <w:rPr>
          <w:rFonts w:ascii="Arial" w:hAnsi="Arial" w:cs="Arial"/>
          <w:szCs w:val="24"/>
        </w:rPr>
        <w:t xml:space="preserve">s necessary, other than for purposes of data visualization. In certain instances, biochemical data may have been normalized to an additional factor (e.g., cell </w:t>
      </w:r>
      <w:r w:rsidRPr="0009101F">
        <w:rPr>
          <w:rFonts w:ascii="Arial" w:hAnsi="Arial" w:cs="Arial"/>
          <w:szCs w:val="24"/>
        </w:rPr>
        <w:lastRenderedPageBreak/>
        <w:t>counts, total protein as determined by Bradford assay, osmolality, etc.) to account for differences in metabolite levels due to differences in amount of material present in each sample.</w:t>
      </w:r>
    </w:p>
    <w:p w14:paraId="344672FD" w14:textId="77777777" w:rsidR="00DC4CB6" w:rsidRDefault="00DC4CB6">
      <w:pPr>
        <w:spacing w:after="200" w:line="276" w:lineRule="auto"/>
        <w:rPr>
          <w:rFonts w:ascii="Arial" w:hAnsi="Arial" w:cs="Arial"/>
          <w:szCs w:val="24"/>
        </w:rPr>
      </w:pPr>
      <w:r>
        <w:rPr>
          <w:rFonts w:ascii="Arial" w:hAnsi="Arial" w:cs="Arial"/>
          <w:szCs w:val="24"/>
        </w:rPr>
        <w:br w:type="page"/>
      </w:r>
    </w:p>
    <w:p w14:paraId="2D779032" w14:textId="3A321821" w:rsidR="00CC59FA" w:rsidRPr="00CC59FA" w:rsidRDefault="00CC59FA" w:rsidP="00CC59FA">
      <w:pPr>
        <w:spacing w:before="240" w:after="240"/>
        <w:jc w:val="both"/>
        <w:rPr>
          <w:rFonts w:ascii="Arial" w:hAnsi="Arial" w:cs="Arial"/>
          <w:szCs w:val="24"/>
          <w:lang w:eastAsia="zh-CN"/>
        </w:rPr>
      </w:pPr>
      <w:r w:rsidRPr="00CC59FA">
        <w:rPr>
          <w:rFonts w:ascii="Arial" w:hAnsi="Arial" w:cs="Arial"/>
          <w:b/>
          <w:szCs w:val="24"/>
          <w:lang w:eastAsia="zh-CN"/>
        </w:rPr>
        <w:lastRenderedPageBreak/>
        <w:t xml:space="preserve">Table </w:t>
      </w:r>
      <w:r w:rsidR="009A71DF">
        <w:rPr>
          <w:rFonts w:ascii="Arial" w:hAnsi="Arial" w:cs="Arial"/>
          <w:b/>
          <w:szCs w:val="24"/>
          <w:lang w:eastAsia="zh-CN"/>
        </w:rPr>
        <w:t>S</w:t>
      </w:r>
      <w:r w:rsidR="00A41913">
        <w:rPr>
          <w:rFonts w:ascii="Arial" w:hAnsi="Arial" w:cs="Arial"/>
          <w:b/>
          <w:szCs w:val="24"/>
          <w:lang w:eastAsia="zh-CN"/>
        </w:rPr>
        <w:t>4</w:t>
      </w:r>
      <w:r w:rsidR="00CF16F6">
        <w:rPr>
          <w:rFonts w:ascii="Arial" w:hAnsi="Arial" w:cs="Arial"/>
          <w:b/>
          <w:szCs w:val="24"/>
          <w:lang w:eastAsia="zh-CN"/>
        </w:rPr>
        <w:t>.</w:t>
      </w:r>
      <w:r w:rsidR="00CF16F6" w:rsidRPr="00CC59FA">
        <w:rPr>
          <w:rFonts w:ascii="Arial" w:hAnsi="Arial" w:cs="Arial"/>
          <w:szCs w:val="24"/>
          <w:lang w:eastAsia="zh-CN"/>
        </w:rPr>
        <w:t xml:space="preserve"> </w:t>
      </w:r>
      <w:r w:rsidRPr="00CC59FA">
        <w:rPr>
          <w:rFonts w:ascii="Arial" w:hAnsi="Arial" w:cs="Arial"/>
          <w:b/>
          <w:szCs w:val="24"/>
          <w:lang w:eastAsia="zh-CN"/>
        </w:rPr>
        <w:t xml:space="preserve">Description of Metabolon QC </w:t>
      </w:r>
      <w:r w:rsidR="00CF16F6">
        <w:rPr>
          <w:rFonts w:ascii="Arial" w:hAnsi="Arial" w:cs="Arial"/>
          <w:b/>
          <w:szCs w:val="24"/>
          <w:lang w:eastAsia="zh-CN"/>
        </w:rPr>
        <w:t>s</w:t>
      </w:r>
      <w:r w:rsidR="00CF16F6" w:rsidRPr="00CC59FA">
        <w:rPr>
          <w:rFonts w:ascii="Arial" w:hAnsi="Arial" w:cs="Arial"/>
          <w:b/>
          <w:szCs w:val="24"/>
          <w:lang w:eastAsia="zh-CN"/>
        </w:rPr>
        <w:t>amples</w:t>
      </w:r>
    </w:p>
    <w:tbl>
      <w:tblPr>
        <w:tblStyle w:val="TableGrid"/>
        <w:tblW w:w="9356" w:type="dxa"/>
        <w:tblInd w:w="108" w:type="dxa"/>
        <w:tblLook w:val="01E0" w:firstRow="1" w:lastRow="1" w:firstColumn="1" w:lastColumn="1" w:noHBand="0" w:noVBand="0"/>
      </w:tblPr>
      <w:tblGrid>
        <w:gridCol w:w="1070"/>
        <w:gridCol w:w="3610"/>
        <w:gridCol w:w="4676"/>
      </w:tblGrid>
      <w:tr w:rsidR="00CC59FA" w:rsidRPr="00CC59FA" w14:paraId="7B7BC7FB" w14:textId="77777777" w:rsidTr="00723CEB">
        <w:trPr>
          <w:trHeight w:val="288"/>
        </w:trPr>
        <w:tc>
          <w:tcPr>
            <w:tcW w:w="1070" w:type="dxa"/>
            <w:shd w:val="clear" w:color="auto" w:fill="000080"/>
          </w:tcPr>
          <w:p w14:paraId="5EE389BB" w14:textId="77777777" w:rsidR="00CC59FA" w:rsidRPr="00CC59FA" w:rsidRDefault="00CC59FA" w:rsidP="00CC59FA">
            <w:pPr>
              <w:spacing w:before="240" w:after="240"/>
              <w:jc w:val="both"/>
              <w:rPr>
                <w:rFonts w:ascii="Arial" w:hAnsi="Arial" w:cs="Arial"/>
                <w:b/>
                <w:szCs w:val="24"/>
                <w:lang w:eastAsia="zh-CN"/>
              </w:rPr>
            </w:pPr>
            <w:r w:rsidRPr="00CC59FA">
              <w:rPr>
                <w:rFonts w:ascii="Arial" w:hAnsi="Arial" w:cs="Arial"/>
                <w:b/>
                <w:szCs w:val="24"/>
                <w:lang w:eastAsia="zh-CN"/>
              </w:rPr>
              <w:t>Type</w:t>
            </w:r>
          </w:p>
        </w:tc>
        <w:tc>
          <w:tcPr>
            <w:tcW w:w="3610" w:type="dxa"/>
            <w:shd w:val="clear" w:color="auto" w:fill="000080"/>
          </w:tcPr>
          <w:p w14:paraId="5A27BFC8" w14:textId="77777777" w:rsidR="00CC59FA" w:rsidRPr="00CC59FA" w:rsidRDefault="00CC59FA" w:rsidP="00CC59FA">
            <w:pPr>
              <w:spacing w:before="240" w:after="240"/>
              <w:jc w:val="both"/>
              <w:rPr>
                <w:rFonts w:ascii="Arial" w:hAnsi="Arial" w:cs="Arial"/>
                <w:b/>
                <w:szCs w:val="24"/>
                <w:lang w:eastAsia="zh-CN"/>
              </w:rPr>
            </w:pPr>
            <w:r w:rsidRPr="00CC59FA">
              <w:rPr>
                <w:rFonts w:ascii="Arial" w:hAnsi="Arial" w:cs="Arial"/>
                <w:b/>
                <w:szCs w:val="24"/>
                <w:lang w:eastAsia="zh-CN"/>
              </w:rPr>
              <w:t>Description</w:t>
            </w:r>
          </w:p>
        </w:tc>
        <w:tc>
          <w:tcPr>
            <w:tcW w:w="4676" w:type="dxa"/>
            <w:shd w:val="clear" w:color="auto" w:fill="000080"/>
          </w:tcPr>
          <w:p w14:paraId="41F552F1" w14:textId="77777777" w:rsidR="00CC59FA" w:rsidRPr="00CC59FA" w:rsidRDefault="00CC59FA" w:rsidP="00CC59FA">
            <w:pPr>
              <w:spacing w:before="240" w:after="240"/>
              <w:jc w:val="both"/>
              <w:rPr>
                <w:rFonts w:ascii="Arial" w:hAnsi="Arial" w:cs="Arial"/>
                <w:b/>
                <w:szCs w:val="24"/>
                <w:lang w:eastAsia="zh-CN"/>
              </w:rPr>
            </w:pPr>
            <w:r w:rsidRPr="00CC59FA">
              <w:rPr>
                <w:rFonts w:ascii="Arial" w:hAnsi="Arial" w:cs="Arial"/>
                <w:b/>
                <w:szCs w:val="24"/>
                <w:lang w:eastAsia="zh-CN"/>
              </w:rPr>
              <w:t>Purpose</w:t>
            </w:r>
          </w:p>
        </w:tc>
      </w:tr>
      <w:tr w:rsidR="00CC59FA" w:rsidRPr="00CC59FA" w14:paraId="1D834998" w14:textId="77777777" w:rsidTr="00723CEB">
        <w:trPr>
          <w:trHeight w:val="764"/>
        </w:trPr>
        <w:tc>
          <w:tcPr>
            <w:tcW w:w="1070" w:type="dxa"/>
            <w:vAlign w:val="center"/>
          </w:tcPr>
          <w:p w14:paraId="56B3DF9E" w14:textId="77777777" w:rsidR="00CC59FA" w:rsidRPr="00CC59FA" w:rsidRDefault="00CC59FA" w:rsidP="00CC59FA">
            <w:pPr>
              <w:spacing w:before="240" w:after="240"/>
              <w:jc w:val="both"/>
              <w:rPr>
                <w:rFonts w:ascii="Arial" w:hAnsi="Arial" w:cs="Arial"/>
                <w:szCs w:val="24"/>
                <w:lang w:eastAsia="zh-CN"/>
              </w:rPr>
            </w:pPr>
            <w:r w:rsidRPr="00CC59FA">
              <w:rPr>
                <w:rFonts w:ascii="Arial" w:hAnsi="Arial" w:cs="Arial"/>
                <w:szCs w:val="24"/>
                <w:lang w:eastAsia="zh-CN"/>
              </w:rPr>
              <w:t>MTRX</w:t>
            </w:r>
          </w:p>
        </w:tc>
        <w:tc>
          <w:tcPr>
            <w:tcW w:w="3610" w:type="dxa"/>
            <w:vAlign w:val="center"/>
          </w:tcPr>
          <w:p w14:paraId="4D969EEB" w14:textId="5727B78C" w:rsidR="00CC59FA" w:rsidRPr="00CC59FA" w:rsidRDefault="00CC59FA">
            <w:pPr>
              <w:spacing w:before="240" w:after="240"/>
              <w:jc w:val="both"/>
              <w:rPr>
                <w:rFonts w:ascii="Arial" w:hAnsi="Arial" w:cs="Arial"/>
                <w:szCs w:val="24"/>
                <w:lang w:eastAsia="zh-CN"/>
              </w:rPr>
            </w:pPr>
            <w:r w:rsidRPr="00CC59FA">
              <w:rPr>
                <w:rFonts w:ascii="Arial" w:hAnsi="Arial" w:cs="Arial"/>
                <w:szCs w:val="24"/>
                <w:lang w:eastAsia="zh-CN"/>
              </w:rPr>
              <w:t xml:space="preserve">Large pool of human plasma maintained by Metabolon that has been </w:t>
            </w:r>
            <w:r w:rsidR="00EA36A9" w:rsidRPr="00CC59FA">
              <w:rPr>
                <w:rFonts w:ascii="Arial" w:hAnsi="Arial" w:cs="Arial"/>
                <w:szCs w:val="24"/>
                <w:lang w:eastAsia="zh-CN"/>
              </w:rPr>
              <w:t xml:space="preserve">extensively </w:t>
            </w:r>
            <w:r w:rsidRPr="00CC59FA">
              <w:rPr>
                <w:rFonts w:ascii="Arial" w:hAnsi="Arial" w:cs="Arial"/>
                <w:szCs w:val="24"/>
                <w:lang w:eastAsia="zh-CN"/>
              </w:rPr>
              <w:t>characterized</w:t>
            </w:r>
          </w:p>
        </w:tc>
        <w:tc>
          <w:tcPr>
            <w:tcW w:w="4676" w:type="dxa"/>
            <w:vAlign w:val="center"/>
          </w:tcPr>
          <w:p w14:paraId="265B7424" w14:textId="29B94DFA" w:rsidR="00CC59FA" w:rsidRPr="00CC59FA" w:rsidRDefault="00CC59FA" w:rsidP="00CC59FA">
            <w:pPr>
              <w:spacing w:before="240" w:after="240"/>
              <w:jc w:val="both"/>
              <w:rPr>
                <w:rFonts w:ascii="Arial" w:hAnsi="Arial" w:cs="Arial"/>
                <w:szCs w:val="24"/>
                <w:lang w:eastAsia="zh-CN"/>
              </w:rPr>
            </w:pPr>
            <w:r w:rsidRPr="00CC59FA">
              <w:rPr>
                <w:rFonts w:ascii="Arial" w:hAnsi="Arial" w:cs="Arial"/>
                <w:szCs w:val="24"/>
                <w:lang w:eastAsia="zh-CN"/>
              </w:rPr>
              <w:t>Assure that all aspects of the Metabolon process are operating within specifications</w:t>
            </w:r>
          </w:p>
        </w:tc>
      </w:tr>
      <w:tr w:rsidR="00CC59FA" w:rsidRPr="00CC59FA" w14:paraId="2FE842D6" w14:textId="77777777" w:rsidTr="00723CEB">
        <w:tc>
          <w:tcPr>
            <w:tcW w:w="1070" w:type="dxa"/>
            <w:vAlign w:val="center"/>
          </w:tcPr>
          <w:p w14:paraId="50AB0EC1" w14:textId="77777777" w:rsidR="00CC59FA" w:rsidRPr="00CC59FA" w:rsidRDefault="00CC59FA" w:rsidP="00CC59FA">
            <w:pPr>
              <w:spacing w:before="240" w:after="240"/>
              <w:jc w:val="both"/>
              <w:rPr>
                <w:rFonts w:ascii="Arial" w:hAnsi="Arial" w:cs="Arial"/>
                <w:szCs w:val="24"/>
                <w:lang w:eastAsia="zh-CN"/>
              </w:rPr>
            </w:pPr>
            <w:r w:rsidRPr="00CC59FA">
              <w:rPr>
                <w:rFonts w:ascii="Arial" w:hAnsi="Arial" w:cs="Arial"/>
                <w:szCs w:val="24"/>
                <w:lang w:eastAsia="zh-CN"/>
              </w:rPr>
              <w:t>CMTRX</w:t>
            </w:r>
          </w:p>
        </w:tc>
        <w:tc>
          <w:tcPr>
            <w:tcW w:w="3610" w:type="dxa"/>
            <w:vAlign w:val="center"/>
          </w:tcPr>
          <w:p w14:paraId="4D61E757" w14:textId="44F13AAC" w:rsidR="00CC59FA" w:rsidRPr="00CC59FA" w:rsidRDefault="00CC59FA" w:rsidP="00CC59FA">
            <w:pPr>
              <w:spacing w:before="240" w:after="240"/>
              <w:jc w:val="both"/>
              <w:rPr>
                <w:rFonts w:ascii="Arial" w:hAnsi="Arial" w:cs="Arial"/>
                <w:szCs w:val="24"/>
                <w:lang w:eastAsia="zh-CN"/>
              </w:rPr>
            </w:pPr>
            <w:r w:rsidRPr="00CC59FA">
              <w:rPr>
                <w:rFonts w:ascii="Arial" w:hAnsi="Arial" w:cs="Arial"/>
                <w:szCs w:val="24"/>
                <w:lang w:eastAsia="zh-CN"/>
              </w:rPr>
              <w:t>Pool created by taking a small aliquot from every customer sample</w:t>
            </w:r>
          </w:p>
        </w:tc>
        <w:tc>
          <w:tcPr>
            <w:tcW w:w="4676" w:type="dxa"/>
            <w:vAlign w:val="center"/>
          </w:tcPr>
          <w:p w14:paraId="3FF4DDA8" w14:textId="35BD6D6F" w:rsidR="00CC59FA" w:rsidRPr="00CC59FA" w:rsidRDefault="00CC59FA">
            <w:pPr>
              <w:spacing w:before="240" w:after="240"/>
              <w:jc w:val="both"/>
              <w:rPr>
                <w:rFonts w:ascii="Arial" w:hAnsi="Arial" w:cs="Arial"/>
                <w:szCs w:val="24"/>
                <w:lang w:eastAsia="zh-CN"/>
              </w:rPr>
            </w:pPr>
            <w:r w:rsidRPr="00CC59FA">
              <w:rPr>
                <w:rFonts w:ascii="Arial" w:hAnsi="Arial" w:cs="Arial"/>
                <w:szCs w:val="24"/>
                <w:lang w:eastAsia="zh-CN"/>
              </w:rPr>
              <w:t>Assess effect of a non-plasma matrix on the Metabolon process and distinguish biological variability from process variability</w:t>
            </w:r>
          </w:p>
        </w:tc>
      </w:tr>
      <w:tr w:rsidR="00CC59FA" w:rsidRPr="00CC59FA" w14:paraId="0730BA80" w14:textId="77777777" w:rsidTr="00723CEB">
        <w:tc>
          <w:tcPr>
            <w:tcW w:w="1070" w:type="dxa"/>
            <w:vAlign w:val="center"/>
          </w:tcPr>
          <w:p w14:paraId="7C58C62F" w14:textId="77777777" w:rsidR="00CC59FA" w:rsidRPr="00CC59FA" w:rsidRDefault="00CC59FA" w:rsidP="00CC59FA">
            <w:pPr>
              <w:spacing w:before="240" w:after="240"/>
              <w:jc w:val="both"/>
              <w:rPr>
                <w:rFonts w:ascii="Arial" w:hAnsi="Arial" w:cs="Arial"/>
                <w:szCs w:val="24"/>
                <w:lang w:eastAsia="zh-CN"/>
              </w:rPr>
            </w:pPr>
            <w:r w:rsidRPr="00CC59FA">
              <w:rPr>
                <w:rFonts w:ascii="Arial" w:hAnsi="Arial" w:cs="Arial"/>
                <w:szCs w:val="24"/>
                <w:lang w:eastAsia="zh-CN"/>
              </w:rPr>
              <w:t>PRCS</w:t>
            </w:r>
          </w:p>
        </w:tc>
        <w:tc>
          <w:tcPr>
            <w:tcW w:w="3610" w:type="dxa"/>
            <w:vAlign w:val="center"/>
          </w:tcPr>
          <w:p w14:paraId="74B7ECFC" w14:textId="77777777" w:rsidR="00CC59FA" w:rsidRPr="00CC59FA" w:rsidRDefault="00CC59FA" w:rsidP="00CC59FA">
            <w:pPr>
              <w:spacing w:before="240" w:after="240"/>
              <w:jc w:val="both"/>
              <w:rPr>
                <w:rFonts w:ascii="Arial" w:hAnsi="Arial" w:cs="Arial"/>
                <w:szCs w:val="24"/>
                <w:lang w:eastAsia="zh-CN"/>
              </w:rPr>
            </w:pPr>
            <w:r w:rsidRPr="00CC59FA">
              <w:rPr>
                <w:rFonts w:ascii="Arial" w:hAnsi="Arial" w:cs="Arial"/>
                <w:szCs w:val="24"/>
                <w:lang w:eastAsia="zh-CN"/>
              </w:rPr>
              <w:t>Aliquot of ultra-pure water</w:t>
            </w:r>
          </w:p>
        </w:tc>
        <w:tc>
          <w:tcPr>
            <w:tcW w:w="4676" w:type="dxa"/>
            <w:vAlign w:val="center"/>
          </w:tcPr>
          <w:p w14:paraId="4F0B7FC0" w14:textId="3B156711" w:rsidR="00CC59FA" w:rsidRPr="00CC59FA" w:rsidRDefault="00CC59FA">
            <w:pPr>
              <w:spacing w:before="240" w:after="240"/>
              <w:jc w:val="both"/>
              <w:rPr>
                <w:rFonts w:ascii="Arial" w:hAnsi="Arial" w:cs="Arial"/>
                <w:szCs w:val="24"/>
                <w:lang w:eastAsia="zh-CN"/>
              </w:rPr>
            </w:pPr>
            <w:r w:rsidRPr="00CC59FA">
              <w:rPr>
                <w:rFonts w:ascii="Arial" w:hAnsi="Arial" w:cs="Arial"/>
                <w:szCs w:val="24"/>
                <w:lang w:eastAsia="zh-CN"/>
              </w:rPr>
              <w:t xml:space="preserve">Process </w:t>
            </w:r>
            <w:r w:rsidR="00723CEB">
              <w:rPr>
                <w:rFonts w:ascii="Arial" w:hAnsi="Arial" w:cs="Arial"/>
                <w:szCs w:val="24"/>
                <w:lang w:eastAsia="zh-CN"/>
              </w:rPr>
              <w:t>b</w:t>
            </w:r>
            <w:r w:rsidR="00723CEB" w:rsidRPr="00CC59FA">
              <w:rPr>
                <w:rFonts w:ascii="Arial" w:hAnsi="Arial" w:cs="Arial"/>
                <w:szCs w:val="24"/>
                <w:lang w:eastAsia="zh-CN"/>
              </w:rPr>
              <w:t xml:space="preserve">lank </w:t>
            </w:r>
            <w:r w:rsidRPr="00CC59FA">
              <w:rPr>
                <w:rFonts w:ascii="Arial" w:hAnsi="Arial" w:cs="Arial"/>
                <w:szCs w:val="24"/>
                <w:lang w:eastAsia="zh-CN"/>
              </w:rPr>
              <w:t>used to assess contribution to compound signals from the process</w:t>
            </w:r>
          </w:p>
        </w:tc>
      </w:tr>
      <w:tr w:rsidR="00CC59FA" w:rsidRPr="00CC59FA" w14:paraId="17F5F0FF" w14:textId="77777777" w:rsidTr="00723CEB">
        <w:tc>
          <w:tcPr>
            <w:tcW w:w="1070" w:type="dxa"/>
            <w:vAlign w:val="center"/>
          </w:tcPr>
          <w:p w14:paraId="736F7A7E" w14:textId="77777777" w:rsidR="00CC59FA" w:rsidRPr="00CC59FA" w:rsidRDefault="00CC59FA" w:rsidP="00CC59FA">
            <w:pPr>
              <w:spacing w:before="240" w:after="240"/>
              <w:jc w:val="both"/>
              <w:rPr>
                <w:rFonts w:ascii="Arial" w:hAnsi="Arial" w:cs="Arial"/>
                <w:szCs w:val="24"/>
                <w:lang w:eastAsia="zh-CN"/>
              </w:rPr>
            </w:pPr>
            <w:r w:rsidRPr="00CC59FA">
              <w:rPr>
                <w:rFonts w:ascii="Arial" w:hAnsi="Arial" w:cs="Arial"/>
                <w:szCs w:val="24"/>
                <w:lang w:eastAsia="zh-CN"/>
              </w:rPr>
              <w:t>SOLV</w:t>
            </w:r>
          </w:p>
        </w:tc>
        <w:tc>
          <w:tcPr>
            <w:tcW w:w="3610" w:type="dxa"/>
            <w:vAlign w:val="center"/>
          </w:tcPr>
          <w:p w14:paraId="16BB243E" w14:textId="3F1FBB10" w:rsidR="00CC59FA" w:rsidRPr="00CC59FA" w:rsidRDefault="00CC59FA" w:rsidP="00CC59FA">
            <w:pPr>
              <w:spacing w:before="240" w:after="240"/>
              <w:jc w:val="both"/>
              <w:rPr>
                <w:rFonts w:ascii="Arial" w:hAnsi="Arial" w:cs="Arial"/>
                <w:szCs w:val="24"/>
                <w:lang w:eastAsia="zh-CN"/>
              </w:rPr>
            </w:pPr>
            <w:r w:rsidRPr="00CC59FA">
              <w:rPr>
                <w:rFonts w:ascii="Arial" w:hAnsi="Arial" w:cs="Arial"/>
                <w:szCs w:val="24"/>
                <w:lang w:eastAsia="zh-CN"/>
              </w:rPr>
              <w:t>Aliquot of solvents used in extraction</w:t>
            </w:r>
          </w:p>
        </w:tc>
        <w:tc>
          <w:tcPr>
            <w:tcW w:w="4676" w:type="dxa"/>
            <w:vAlign w:val="center"/>
          </w:tcPr>
          <w:p w14:paraId="246A2ABA" w14:textId="32846B0D" w:rsidR="00CC59FA" w:rsidRPr="00CC59FA" w:rsidRDefault="00CC59FA">
            <w:pPr>
              <w:spacing w:before="240" w:after="240"/>
              <w:jc w:val="both"/>
              <w:rPr>
                <w:rFonts w:ascii="Arial" w:hAnsi="Arial" w:cs="Arial"/>
                <w:szCs w:val="24"/>
                <w:lang w:eastAsia="zh-CN"/>
              </w:rPr>
            </w:pPr>
            <w:r w:rsidRPr="00CC59FA">
              <w:rPr>
                <w:rFonts w:ascii="Arial" w:hAnsi="Arial" w:cs="Arial"/>
                <w:szCs w:val="24"/>
                <w:lang w:eastAsia="zh-CN"/>
              </w:rPr>
              <w:t xml:space="preserve">Solvent </w:t>
            </w:r>
            <w:r w:rsidR="00723CEB">
              <w:rPr>
                <w:rFonts w:ascii="Arial" w:hAnsi="Arial" w:cs="Arial"/>
                <w:szCs w:val="24"/>
                <w:lang w:eastAsia="zh-CN"/>
              </w:rPr>
              <w:t>b</w:t>
            </w:r>
            <w:r w:rsidR="00723CEB" w:rsidRPr="00CC59FA">
              <w:rPr>
                <w:rFonts w:ascii="Arial" w:hAnsi="Arial" w:cs="Arial"/>
                <w:szCs w:val="24"/>
                <w:lang w:eastAsia="zh-CN"/>
              </w:rPr>
              <w:t xml:space="preserve">lank </w:t>
            </w:r>
            <w:r w:rsidRPr="00CC59FA">
              <w:rPr>
                <w:rFonts w:ascii="Arial" w:hAnsi="Arial" w:cs="Arial"/>
                <w:szCs w:val="24"/>
                <w:lang w:eastAsia="zh-CN"/>
              </w:rPr>
              <w:t>used to segregate contamination sources in the extraction</w:t>
            </w:r>
          </w:p>
        </w:tc>
      </w:tr>
    </w:tbl>
    <w:p w14:paraId="512B2ECB" w14:textId="26C170FF" w:rsidR="00E629E4" w:rsidRPr="0009101F" w:rsidRDefault="00E629E4" w:rsidP="00E629E4">
      <w:pPr>
        <w:spacing w:before="240" w:after="240"/>
        <w:jc w:val="both"/>
        <w:rPr>
          <w:rFonts w:ascii="Arial" w:hAnsi="Arial" w:cs="Arial"/>
        </w:rPr>
      </w:pPr>
      <w:r w:rsidRPr="0009101F">
        <w:rPr>
          <w:rFonts w:ascii="Arial" w:hAnsi="Arial" w:cs="Arial"/>
          <w:b/>
        </w:rPr>
        <w:t xml:space="preserve">Table </w:t>
      </w:r>
      <w:r w:rsidR="009A71DF">
        <w:rPr>
          <w:rFonts w:ascii="Arial" w:hAnsi="Arial" w:cs="Arial"/>
          <w:b/>
        </w:rPr>
        <w:t>S</w:t>
      </w:r>
      <w:r w:rsidR="00A41913">
        <w:rPr>
          <w:rFonts w:ascii="Arial" w:hAnsi="Arial" w:cs="Arial"/>
          <w:b/>
        </w:rPr>
        <w:t>5</w:t>
      </w:r>
      <w:r w:rsidR="00723CEB">
        <w:rPr>
          <w:rFonts w:ascii="Arial" w:hAnsi="Arial" w:cs="Arial"/>
          <w:b/>
        </w:rPr>
        <w:t>.</w:t>
      </w:r>
      <w:r w:rsidR="00723CEB" w:rsidRPr="0009101F">
        <w:rPr>
          <w:rFonts w:ascii="Arial" w:hAnsi="Arial" w:cs="Arial"/>
        </w:rPr>
        <w:t xml:space="preserve"> </w:t>
      </w:r>
      <w:r w:rsidRPr="0009101F">
        <w:rPr>
          <w:rFonts w:ascii="Arial" w:hAnsi="Arial" w:cs="Arial"/>
          <w:b/>
        </w:rPr>
        <w:t xml:space="preserve">Metabolon QC </w:t>
      </w:r>
      <w:r w:rsidR="008D1199">
        <w:rPr>
          <w:rFonts w:ascii="Arial" w:hAnsi="Arial" w:cs="Arial"/>
          <w:b/>
        </w:rPr>
        <w:t>s</w:t>
      </w:r>
      <w:r w:rsidRPr="0009101F">
        <w:rPr>
          <w:rFonts w:ascii="Arial" w:hAnsi="Arial" w:cs="Arial"/>
          <w:b/>
        </w:rPr>
        <w:t>tandards</w:t>
      </w:r>
    </w:p>
    <w:tbl>
      <w:tblPr>
        <w:tblStyle w:val="TableGrid"/>
        <w:tblW w:w="0" w:type="auto"/>
        <w:tblInd w:w="108" w:type="dxa"/>
        <w:tblLook w:val="01E0" w:firstRow="1" w:lastRow="1" w:firstColumn="1" w:lastColumn="1" w:noHBand="0" w:noVBand="0"/>
      </w:tblPr>
      <w:tblGrid>
        <w:gridCol w:w="1008"/>
        <w:gridCol w:w="3582"/>
        <w:gridCol w:w="4770"/>
      </w:tblGrid>
      <w:tr w:rsidR="00E629E4" w:rsidRPr="0009101F" w14:paraId="6B8E88AE" w14:textId="77777777" w:rsidTr="00115A72">
        <w:trPr>
          <w:trHeight w:val="288"/>
        </w:trPr>
        <w:tc>
          <w:tcPr>
            <w:tcW w:w="1008" w:type="dxa"/>
            <w:shd w:val="clear" w:color="auto" w:fill="000080"/>
          </w:tcPr>
          <w:p w14:paraId="00AEF884" w14:textId="77777777" w:rsidR="00E629E4" w:rsidRPr="0009101F" w:rsidRDefault="00E629E4" w:rsidP="00115A72">
            <w:pPr>
              <w:jc w:val="center"/>
              <w:rPr>
                <w:rFonts w:ascii="Arial" w:hAnsi="Arial" w:cs="Arial"/>
                <w:b/>
                <w:color w:val="FFFFFF"/>
              </w:rPr>
            </w:pPr>
            <w:r w:rsidRPr="0009101F">
              <w:rPr>
                <w:rFonts w:ascii="Arial" w:hAnsi="Arial" w:cs="Arial"/>
                <w:b/>
                <w:color w:val="FFFFFF"/>
              </w:rPr>
              <w:t>Type</w:t>
            </w:r>
          </w:p>
        </w:tc>
        <w:tc>
          <w:tcPr>
            <w:tcW w:w="3582" w:type="dxa"/>
            <w:shd w:val="clear" w:color="auto" w:fill="000080"/>
          </w:tcPr>
          <w:p w14:paraId="5380A077" w14:textId="77777777" w:rsidR="00E629E4" w:rsidRPr="0009101F" w:rsidRDefault="00E629E4" w:rsidP="00115A72">
            <w:pPr>
              <w:jc w:val="center"/>
              <w:rPr>
                <w:rFonts w:ascii="Arial" w:hAnsi="Arial" w:cs="Arial"/>
                <w:b/>
                <w:color w:val="FFFFFF"/>
              </w:rPr>
            </w:pPr>
            <w:r w:rsidRPr="0009101F">
              <w:rPr>
                <w:rFonts w:ascii="Arial" w:hAnsi="Arial" w:cs="Arial"/>
                <w:b/>
                <w:color w:val="FFFFFF"/>
              </w:rPr>
              <w:t>Description</w:t>
            </w:r>
          </w:p>
        </w:tc>
        <w:tc>
          <w:tcPr>
            <w:tcW w:w="4770" w:type="dxa"/>
            <w:shd w:val="clear" w:color="auto" w:fill="000080"/>
          </w:tcPr>
          <w:p w14:paraId="0898DE23" w14:textId="77777777" w:rsidR="00E629E4" w:rsidRPr="0009101F" w:rsidRDefault="00E629E4" w:rsidP="00115A72">
            <w:pPr>
              <w:jc w:val="center"/>
              <w:rPr>
                <w:rFonts w:ascii="Arial" w:hAnsi="Arial" w:cs="Arial"/>
                <w:b/>
                <w:color w:val="FFFFFF"/>
              </w:rPr>
            </w:pPr>
            <w:r w:rsidRPr="0009101F">
              <w:rPr>
                <w:rFonts w:ascii="Arial" w:hAnsi="Arial" w:cs="Arial"/>
                <w:b/>
                <w:color w:val="FFFFFF"/>
              </w:rPr>
              <w:t>Purpose</w:t>
            </w:r>
          </w:p>
        </w:tc>
      </w:tr>
      <w:tr w:rsidR="00E629E4" w:rsidRPr="0009101F" w14:paraId="17D28A37" w14:textId="77777777" w:rsidTr="00115A72">
        <w:tc>
          <w:tcPr>
            <w:tcW w:w="1008" w:type="dxa"/>
            <w:vAlign w:val="center"/>
          </w:tcPr>
          <w:p w14:paraId="561E5C3E" w14:textId="77777777" w:rsidR="00E629E4" w:rsidRPr="0009101F" w:rsidRDefault="00E629E4" w:rsidP="00115A72">
            <w:pPr>
              <w:jc w:val="center"/>
              <w:rPr>
                <w:rFonts w:ascii="Arial" w:hAnsi="Arial" w:cs="Arial"/>
              </w:rPr>
            </w:pPr>
            <w:r w:rsidRPr="0009101F">
              <w:rPr>
                <w:rFonts w:ascii="Arial" w:hAnsi="Arial" w:cs="Arial"/>
              </w:rPr>
              <w:t>RS</w:t>
            </w:r>
          </w:p>
        </w:tc>
        <w:tc>
          <w:tcPr>
            <w:tcW w:w="3582" w:type="dxa"/>
            <w:vAlign w:val="center"/>
          </w:tcPr>
          <w:p w14:paraId="65C5990D" w14:textId="161BA444" w:rsidR="00E629E4" w:rsidRPr="0009101F" w:rsidRDefault="00E629E4">
            <w:pPr>
              <w:rPr>
                <w:rFonts w:ascii="Arial" w:hAnsi="Arial" w:cs="Arial"/>
              </w:rPr>
            </w:pPr>
            <w:r w:rsidRPr="0009101F">
              <w:rPr>
                <w:rFonts w:ascii="Arial" w:hAnsi="Arial" w:cs="Arial"/>
              </w:rPr>
              <w:t xml:space="preserve">Recovery </w:t>
            </w:r>
            <w:r w:rsidR="008D1199">
              <w:rPr>
                <w:rFonts w:ascii="Arial" w:hAnsi="Arial" w:cs="Arial"/>
              </w:rPr>
              <w:t>s</w:t>
            </w:r>
            <w:r w:rsidR="008D1199" w:rsidRPr="0009101F">
              <w:rPr>
                <w:rFonts w:ascii="Arial" w:hAnsi="Arial" w:cs="Arial"/>
              </w:rPr>
              <w:t>tandard</w:t>
            </w:r>
          </w:p>
        </w:tc>
        <w:tc>
          <w:tcPr>
            <w:tcW w:w="4770" w:type="dxa"/>
            <w:vAlign w:val="center"/>
          </w:tcPr>
          <w:p w14:paraId="688D8274" w14:textId="3D79952D" w:rsidR="00E629E4" w:rsidRPr="0009101F" w:rsidRDefault="00E629E4" w:rsidP="00115A72">
            <w:pPr>
              <w:rPr>
                <w:rFonts w:ascii="Arial" w:hAnsi="Arial" w:cs="Arial"/>
              </w:rPr>
            </w:pPr>
            <w:r w:rsidRPr="0009101F">
              <w:rPr>
                <w:rFonts w:ascii="Arial" w:hAnsi="Arial" w:cs="Arial"/>
              </w:rPr>
              <w:t>Assess variability and verify performance of extraction and instrumentation</w:t>
            </w:r>
          </w:p>
        </w:tc>
      </w:tr>
      <w:tr w:rsidR="00E629E4" w:rsidRPr="0009101F" w14:paraId="0321DA40" w14:textId="77777777" w:rsidTr="00115A72">
        <w:trPr>
          <w:trHeight w:val="288"/>
        </w:trPr>
        <w:tc>
          <w:tcPr>
            <w:tcW w:w="1008" w:type="dxa"/>
            <w:vAlign w:val="center"/>
          </w:tcPr>
          <w:p w14:paraId="030D0CF1" w14:textId="77777777" w:rsidR="00E629E4" w:rsidRPr="0009101F" w:rsidRDefault="00E629E4" w:rsidP="00115A72">
            <w:pPr>
              <w:jc w:val="center"/>
              <w:rPr>
                <w:rFonts w:ascii="Arial" w:hAnsi="Arial" w:cs="Arial"/>
              </w:rPr>
            </w:pPr>
            <w:r w:rsidRPr="0009101F">
              <w:rPr>
                <w:rFonts w:ascii="Arial" w:hAnsi="Arial" w:cs="Arial"/>
              </w:rPr>
              <w:t>IS</w:t>
            </w:r>
          </w:p>
        </w:tc>
        <w:tc>
          <w:tcPr>
            <w:tcW w:w="3582" w:type="dxa"/>
            <w:vAlign w:val="center"/>
          </w:tcPr>
          <w:p w14:paraId="26B62C6E" w14:textId="7C5CBC55" w:rsidR="00E629E4" w:rsidRPr="0009101F" w:rsidRDefault="00E629E4">
            <w:pPr>
              <w:rPr>
                <w:rFonts w:ascii="Arial" w:hAnsi="Arial" w:cs="Arial"/>
              </w:rPr>
            </w:pPr>
            <w:r w:rsidRPr="0009101F">
              <w:rPr>
                <w:rFonts w:ascii="Arial" w:hAnsi="Arial" w:cs="Arial"/>
              </w:rPr>
              <w:t xml:space="preserve">Internal </w:t>
            </w:r>
            <w:r w:rsidR="008D1199">
              <w:rPr>
                <w:rFonts w:ascii="Arial" w:hAnsi="Arial" w:cs="Arial"/>
              </w:rPr>
              <w:t>s</w:t>
            </w:r>
            <w:r w:rsidR="008D1199" w:rsidRPr="0009101F">
              <w:rPr>
                <w:rFonts w:ascii="Arial" w:hAnsi="Arial" w:cs="Arial"/>
              </w:rPr>
              <w:t>tandard</w:t>
            </w:r>
          </w:p>
        </w:tc>
        <w:tc>
          <w:tcPr>
            <w:tcW w:w="4770" w:type="dxa"/>
            <w:vAlign w:val="center"/>
          </w:tcPr>
          <w:p w14:paraId="35D33841" w14:textId="0CB1F2AE" w:rsidR="00E629E4" w:rsidRPr="0009101F" w:rsidRDefault="00E629E4" w:rsidP="00115A72">
            <w:pPr>
              <w:rPr>
                <w:rFonts w:ascii="Arial" w:hAnsi="Arial" w:cs="Arial"/>
              </w:rPr>
            </w:pPr>
            <w:r w:rsidRPr="0009101F">
              <w:rPr>
                <w:rFonts w:ascii="Arial" w:hAnsi="Arial" w:cs="Arial"/>
              </w:rPr>
              <w:t>Assess variability and performance of instrument</w:t>
            </w:r>
          </w:p>
        </w:tc>
      </w:tr>
    </w:tbl>
    <w:p w14:paraId="44BE8B69" w14:textId="5AABE762" w:rsidR="00E629E4" w:rsidRPr="0009101F" w:rsidRDefault="00E629E4" w:rsidP="00E629E4">
      <w:pPr>
        <w:spacing w:before="120" w:after="120"/>
        <w:jc w:val="both"/>
        <w:rPr>
          <w:rFonts w:ascii="Arial" w:hAnsi="Arial" w:cs="Arial"/>
          <w:b/>
          <w:lang w:eastAsia="zh-CN"/>
        </w:rPr>
      </w:pPr>
      <w:r w:rsidRPr="0009101F">
        <w:rPr>
          <w:rFonts w:ascii="Arial" w:hAnsi="Arial" w:cs="Arial"/>
          <w:b/>
        </w:rPr>
        <w:t xml:space="preserve">Table </w:t>
      </w:r>
      <w:r w:rsidR="009A71DF">
        <w:rPr>
          <w:rFonts w:ascii="Arial" w:hAnsi="Arial" w:cs="Arial"/>
          <w:b/>
          <w:lang w:eastAsia="zh-CN"/>
        </w:rPr>
        <w:t>S</w:t>
      </w:r>
      <w:r w:rsidR="00A41913">
        <w:rPr>
          <w:rFonts w:ascii="Arial" w:hAnsi="Arial" w:cs="Arial"/>
          <w:b/>
          <w:lang w:eastAsia="zh-CN"/>
        </w:rPr>
        <w:t>6</w:t>
      </w:r>
      <w:r w:rsidR="008D1199">
        <w:rPr>
          <w:rFonts w:ascii="Arial" w:hAnsi="Arial" w:cs="Arial"/>
          <w:b/>
        </w:rPr>
        <w:t>.</w:t>
      </w:r>
      <w:r w:rsidR="008D1199" w:rsidRPr="0009101F">
        <w:rPr>
          <w:rFonts w:ascii="Arial" w:hAnsi="Arial" w:cs="Arial"/>
          <w:b/>
          <w:lang w:eastAsia="zh-CN"/>
        </w:rPr>
        <w:t xml:space="preserve"> </w:t>
      </w:r>
      <w:r w:rsidRPr="0009101F">
        <w:rPr>
          <w:rFonts w:ascii="Arial" w:hAnsi="Arial" w:cs="Arial"/>
          <w:b/>
          <w:lang w:eastAsia="zh-CN"/>
        </w:rPr>
        <w:t xml:space="preserve">Data </w:t>
      </w:r>
      <w:r w:rsidR="008D1199">
        <w:rPr>
          <w:rFonts w:ascii="Arial" w:hAnsi="Arial" w:cs="Arial"/>
          <w:b/>
          <w:lang w:eastAsia="zh-CN"/>
        </w:rPr>
        <w:t>q</w:t>
      </w:r>
      <w:r w:rsidRPr="0009101F">
        <w:rPr>
          <w:rFonts w:ascii="Arial" w:hAnsi="Arial" w:cs="Arial"/>
          <w:b/>
          <w:lang w:eastAsia="zh-CN"/>
        </w:rPr>
        <w:t xml:space="preserve">uality: Instrument and </w:t>
      </w:r>
      <w:r w:rsidR="008D1199">
        <w:rPr>
          <w:rFonts w:ascii="Arial" w:hAnsi="Arial" w:cs="Arial"/>
          <w:b/>
          <w:lang w:eastAsia="zh-CN"/>
        </w:rPr>
        <w:t>p</w:t>
      </w:r>
      <w:r w:rsidR="008D1199" w:rsidRPr="0009101F">
        <w:rPr>
          <w:rFonts w:ascii="Arial" w:hAnsi="Arial" w:cs="Arial"/>
          <w:b/>
          <w:lang w:eastAsia="zh-CN"/>
        </w:rPr>
        <w:t xml:space="preserve">rocess </w:t>
      </w:r>
      <w:r w:rsidR="008D1199">
        <w:rPr>
          <w:rFonts w:ascii="Arial" w:hAnsi="Arial" w:cs="Arial"/>
          <w:b/>
          <w:lang w:eastAsia="zh-CN"/>
        </w:rPr>
        <w:t>v</w:t>
      </w:r>
      <w:r w:rsidR="008D1199" w:rsidRPr="0009101F">
        <w:rPr>
          <w:rFonts w:ascii="Arial" w:hAnsi="Arial" w:cs="Arial"/>
          <w:b/>
          <w:lang w:eastAsia="zh-CN"/>
        </w:rPr>
        <w:t>ariability</w:t>
      </w:r>
    </w:p>
    <w:tbl>
      <w:tblPr>
        <w:tblW w:w="7677" w:type="dxa"/>
        <w:tblBorders>
          <w:top w:val="single" w:sz="18" w:space="0" w:color="000000"/>
          <w:bottom w:val="single" w:sz="18" w:space="0" w:color="000000"/>
          <w:insideH w:val="single" w:sz="8" w:space="0" w:color="000000"/>
          <w:insideV w:val="single" w:sz="8" w:space="0" w:color="000000"/>
        </w:tblBorders>
        <w:tblCellMar>
          <w:left w:w="144" w:type="dxa"/>
          <w:right w:w="0" w:type="dxa"/>
        </w:tblCellMar>
        <w:tblLook w:val="04A0" w:firstRow="1" w:lastRow="0" w:firstColumn="1" w:lastColumn="0" w:noHBand="0" w:noVBand="1"/>
      </w:tblPr>
      <w:tblGrid>
        <w:gridCol w:w="3105"/>
        <w:gridCol w:w="2854"/>
        <w:gridCol w:w="1718"/>
      </w:tblGrid>
      <w:tr w:rsidR="00E629E4" w:rsidRPr="0009101F" w14:paraId="19DCD94F" w14:textId="77777777" w:rsidTr="00E629E4">
        <w:trPr>
          <w:trHeight w:val="432"/>
        </w:trPr>
        <w:tc>
          <w:tcPr>
            <w:tcW w:w="3105" w:type="dxa"/>
            <w:tcBorders>
              <w:top w:val="single" w:sz="18" w:space="0" w:color="000000"/>
              <w:bottom w:val="single" w:sz="8" w:space="0" w:color="000000"/>
            </w:tcBorders>
            <w:shd w:val="clear" w:color="auto" w:fill="B8CCE4" w:themeFill="accent1" w:themeFillTint="66"/>
            <w:tcMar>
              <w:top w:w="15" w:type="dxa"/>
              <w:left w:w="15" w:type="dxa"/>
              <w:bottom w:w="0" w:type="dxa"/>
              <w:right w:w="15" w:type="dxa"/>
            </w:tcMar>
            <w:vAlign w:val="center"/>
            <w:hideMark/>
          </w:tcPr>
          <w:p w14:paraId="5CF723E5" w14:textId="11896F20" w:rsidR="00E629E4" w:rsidRPr="0009101F" w:rsidRDefault="00E629E4">
            <w:pPr>
              <w:jc w:val="center"/>
              <w:rPr>
                <w:rFonts w:ascii="Arial" w:hAnsi="Arial" w:cs="Arial"/>
                <w:szCs w:val="24"/>
              </w:rPr>
            </w:pPr>
            <w:r w:rsidRPr="0009101F">
              <w:rPr>
                <w:rFonts w:ascii="Arial" w:hAnsi="Arial" w:cs="Arial"/>
                <w:b/>
                <w:bCs/>
                <w:i/>
                <w:iCs/>
                <w:szCs w:val="24"/>
              </w:rPr>
              <w:t xml:space="preserve">QC </w:t>
            </w:r>
            <w:r w:rsidR="008D1199">
              <w:rPr>
                <w:rFonts w:ascii="Arial" w:hAnsi="Arial" w:cs="Arial"/>
                <w:b/>
                <w:bCs/>
                <w:i/>
                <w:iCs/>
                <w:szCs w:val="24"/>
              </w:rPr>
              <w:t>s</w:t>
            </w:r>
            <w:r w:rsidR="008D1199" w:rsidRPr="0009101F">
              <w:rPr>
                <w:rFonts w:ascii="Arial" w:hAnsi="Arial" w:cs="Arial"/>
                <w:b/>
                <w:bCs/>
                <w:i/>
                <w:iCs/>
                <w:szCs w:val="24"/>
              </w:rPr>
              <w:t>ample</w:t>
            </w:r>
          </w:p>
        </w:tc>
        <w:tc>
          <w:tcPr>
            <w:tcW w:w="2854" w:type="dxa"/>
            <w:tcBorders>
              <w:top w:val="single" w:sz="18" w:space="0" w:color="000000"/>
              <w:bottom w:val="single" w:sz="8" w:space="0" w:color="000000"/>
            </w:tcBorders>
            <w:shd w:val="clear" w:color="auto" w:fill="B8CCE4" w:themeFill="accent1" w:themeFillTint="66"/>
            <w:tcMar>
              <w:top w:w="15" w:type="dxa"/>
              <w:left w:w="15" w:type="dxa"/>
              <w:bottom w:w="0" w:type="dxa"/>
              <w:right w:w="15" w:type="dxa"/>
            </w:tcMar>
            <w:vAlign w:val="center"/>
            <w:hideMark/>
          </w:tcPr>
          <w:p w14:paraId="1028F67D" w14:textId="77777777" w:rsidR="00E629E4" w:rsidRPr="0009101F" w:rsidRDefault="00E629E4" w:rsidP="00115A72">
            <w:pPr>
              <w:jc w:val="center"/>
              <w:rPr>
                <w:rFonts w:ascii="Arial" w:hAnsi="Arial" w:cs="Arial"/>
                <w:szCs w:val="24"/>
              </w:rPr>
            </w:pPr>
            <w:r w:rsidRPr="0009101F">
              <w:rPr>
                <w:rFonts w:ascii="Arial" w:hAnsi="Arial" w:cs="Arial"/>
                <w:b/>
                <w:bCs/>
                <w:i/>
                <w:iCs/>
                <w:szCs w:val="24"/>
              </w:rPr>
              <w:t>Measurement</w:t>
            </w:r>
          </w:p>
        </w:tc>
        <w:tc>
          <w:tcPr>
            <w:tcW w:w="1718" w:type="dxa"/>
            <w:tcBorders>
              <w:top w:val="single" w:sz="18" w:space="0" w:color="000000"/>
              <w:bottom w:val="single" w:sz="8" w:space="0" w:color="000000"/>
            </w:tcBorders>
            <w:shd w:val="clear" w:color="auto" w:fill="B8CCE4" w:themeFill="accent1" w:themeFillTint="66"/>
            <w:tcMar>
              <w:top w:w="15" w:type="dxa"/>
              <w:left w:w="15" w:type="dxa"/>
              <w:bottom w:w="0" w:type="dxa"/>
              <w:right w:w="15" w:type="dxa"/>
            </w:tcMar>
            <w:vAlign w:val="center"/>
            <w:hideMark/>
          </w:tcPr>
          <w:p w14:paraId="0E84DB47" w14:textId="77777777" w:rsidR="00E629E4" w:rsidRPr="0009101F" w:rsidRDefault="00E629E4" w:rsidP="00115A72">
            <w:pPr>
              <w:jc w:val="center"/>
              <w:rPr>
                <w:rFonts w:ascii="Arial" w:hAnsi="Arial" w:cs="Arial"/>
                <w:szCs w:val="24"/>
              </w:rPr>
            </w:pPr>
            <w:r w:rsidRPr="0009101F">
              <w:rPr>
                <w:rFonts w:ascii="Arial" w:hAnsi="Arial" w:cs="Arial"/>
                <w:b/>
                <w:bCs/>
                <w:i/>
                <w:iCs/>
                <w:szCs w:val="24"/>
              </w:rPr>
              <w:t xml:space="preserve">Median RSD </w:t>
            </w:r>
          </w:p>
        </w:tc>
      </w:tr>
      <w:tr w:rsidR="00E629E4" w:rsidRPr="0009101F" w14:paraId="06C08533" w14:textId="77777777" w:rsidTr="00E629E4">
        <w:trPr>
          <w:trHeight w:val="432"/>
        </w:trPr>
        <w:tc>
          <w:tcPr>
            <w:tcW w:w="3105" w:type="dxa"/>
            <w:tcBorders>
              <w:top w:val="single" w:sz="8" w:space="0" w:color="000000"/>
            </w:tcBorders>
            <w:shd w:val="clear" w:color="auto" w:fill="auto"/>
            <w:tcMar>
              <w:top w:w="15" w:type="dxa"/>
              <w:left w:w="15" w:type="dxa"/>
              <w:bottom w:w="0" w:type="dxa"/>
              <w:right w:w="15" w:type="dxa"/>
            </w:tcMar>
            <w:vAlign w:val="center"/>
            <w:hideMark/>
          </w:tcPr>
          <w:p w14:paraId="48896D1D" w14:textId="6078CD14" w:rsidR="00E629E4" w:rsidRPr="0009101F" w:rsidRDefault="00E629E4">
            <w:pPr>
              <w:jc w:val="center"/>
              <w:rPr>
                <w:rFonts w:ascii="Arial" w:hAnsi="Arial" w:cs="Arial"/>
                <w:szCs w:val="24"/>
              </w:rPr>
            </w:pPr>
            <w:r w:rsidRPr="0009101F">
              <w:rPr>
                <w:rFonts w:ascii="Arial" w:hAnsi="Arial" w:cs="Arial"/>
                <w:szCs w:val="24"/>
              </w:rPr>
              <w:t xml:space="preserve">Internal </w:t>
            </w:r>
            <w:r w:rsidR="008D1199">
              <w:rPr>
                <w:rFonts w:ascii="Arial" w:hAnsi="Arial" w:cs="Arial"/>
                <w:szCs w:val="24"/>
              </w:rPr>
              <w:t>s</w:t>
            </w:r>
            <w:r w:rsidR="008D1199" w:rsidRPr="0009101F">
              <w:rPr>
                <w:rFonts w:ascii="Arial" w:hAnsi="Arial" w:cs="Arial"/>
                <w:szCs w:val="24"/>
              </w:rPr>
              <w:t>tandards</w:t>
            </w:r>
          </w:p>
        </w:tc>
        <w:tc>
          <w:tcPr>
            <w:tcW w:w="2854" w:type="dxa"/>
            <w:tcBorders>
              <w:top w:val="single" w:sz="8" w:space="0" w:color="000000"/>
            </w:tcBorders>
            <w:shd w:val="clear" w:color="auto" w:fill="auto"/>
            <w:tcMar>
              <w:top w:w="15" w:type="dxa"/>
              <w:left w:w="15" w:type="dxa"/>
              <w:bottom w:w="0" w:type="dxa"/>
              <w:right w:w="15" w:type="dxa"/>
            </w:tcMar>
            <w:vAlign w:val="center"/>
            <w:hideMark/>
          </w:tcPr>
          <w:p w14:paraId="5B2BBAF7" w14:textId="156069C9" w:rsidR="00E629E4" w:rsidRPr="0009101F" w:rsidRDefault="00E629E4">
            <w:pPr>
              <w:jc w:val="center"/>
              <w:rPr>
                <w:rFonts w:ascii="Arial" w:hAnsi="Arial" w:cs="Arial"/>
                <w:szCs w:val="24"/>
              </w:rPr>
            </w:pPr>
            <w:r w:rsidRPr="0009101F">
              <w:rPr>
                <w:rFonts w:ascii="Arial" w:hAnsi="Arial" w:cs="Arial"/>
                <w:szCs w:val="24"/>
              </w:rPr>
              <w:t xml:space="preserve">Instrument </w:t>
            </w:r>
            <w:r w:rsidR="008D1199">
              <w:rPr>
                <w:rFonts w:ascii="Arial" w:hAnsi="Arial" w:cs="Arial"/>
                <w:szCs w:val="24"/>
              </w:rPr>
              <w:t>v</w:t>
            </w:r>
            <w:r w:rsidR="008D1199" w:rsidRPr="0009101F">
              <w:rPr>
                <w:rFonts w:ascii="Arial" w:hAnsi="Arial" w:cs="Arial"/>
                <w:szCs w:val="24"/>
              </w:rPr>
              <w:t>ariability</w:t>
            </w:r>
          </w:p>
        </w:tc>
        <w:tc>
          <w:tcPr>
            <w:tcW w:w="1718" w:type="dxa"/>
            <w:tcBorders>
              <w:top w:val="single" w:sz="8" w:space="0" w:color="000000"/>
            </w:tcBorders>
            <w:shd w:val="clear" w:color="auto" w:fill="auto"/>
            <w:tcMar>
              <w:top w:w="15" w:type="dxa"/>
              <w:left w:w="15" w:type="dxa"/>
              <w:bottom w:w="0" w:type="dxa"/>
              <w:right w:w="15" w:type="dxa"/>
            </w:tcMar>
            <w:vAlign w:val="center"/>
            <w:hideMark/>
          </w:tcPr>
          <w:p w14:paraId="37B06FDF" w14:textId="2EC6FE9D" w:rsidR="00E629E4" w:rsidRPr="0009101F" w:rsidRDefault="00E629E4" w:rsidP="00115A72">
            <w:pPr>
              <w:jc w:val="center"/>
              <w:rPr>
                <w:rFonts w:ascii="Arial" w:hAnsi="Arial" w:cs="Arial"/>
                <w:szCs w:val="24"/>
              </w:rPr>
            </w:pPr>
            <w:r w:rsidRPr="0009101F">
              <w:rPr>
                <w:rFonts w:ascii="Arial" w:hAnsi="Arial" w:cs="Arial"/>
                <w:szCs w:val="24"/>
              </w:rPr>
              <w:t>4%</w:t>
            </w:r>
          </w:p>
        </w:tc>
      </w:tr>
      <w:tr w:rsidR="00E629E4" w:rsidRPr="0009101F" w14:paraId="067782CC" w14:textId="77777777" w:rsidTr="00E629E4">
        <w:trPr>
          <w:trHeight w:val="432"/>
        </w:trPr>
        <w:tc>
          <w:tcPr>
            <w:tcW w:w="3105" w:type="dxa"/>
            <w:shd w:val="clear" w:color="auto" w:fill="auto"/>
            <w:tcMar>
              <w:top w:w="15" w:type="dxa"/>
              <w:left w:w="15" w:type="dxa"/>
              <w:bottom w:w="0" w:type="dxa"/>
              <w:right w:w="15" w:type="dxa"/>
            </w:tcMar>
            <w:vAlign w:val="center"/>
            <w:hideMark/>
          </w:tcPr>
          <w:p w14:paraId="22C29812" w14:textId="2322A886" w:rsidR="00E629E4" w:rsidRPr="0009101F" w:rsidRDefault="00E629E4">
            <w:pPr>
              <w:jc w:val="center"/>
              <w:rPr>
                <w:rFonts w:ascii="Arial" w:hAnsi="Arial" w:cs="Arial"/>
                <w:szCs w:val="24"/>
              </w:rPr>
            </w:pPr>
            <w:r w:rsidRPr="0009101F">
              <w:rPr>
                <w:rFonts w:ascii="Arial" w:hAnsi="Arial" w:cs="Arial"/>
                <w:szCs w:val="24"/>
              </w:rPr>
              <w:t xml:space="preserve">Endogenous </w:t>
            </w:r>
            <w:r w:rsidR="008D1199">
              <w:rPr>
                <w:rFonts w:ascii="Arial" w:hAnsi="Arial" w:cs="Arial"/>
                <w:szCs w:val="24"/>
              </w:rPr>
              <w:t>b</w:t>
            </w:r>
            <w:r w:rsidR="008D1199" w:rsidRPr="0009101F">
              <w:rPr>
                <w:rFonts w:ascii="Arial" w:hAnsi="Arial" w:cs="Arial"/>
                <w:szCs w:val="24"/>
              </w:rPr>
              <w:t>iochemicals</w:t>
            </w:r>
          </w:p>
        </w:tc>
        <w:tc>
          <w:tcPr>
            <w:tcW w:w="2854" w:type="dxa"/>
            <w:shd w:val="clear" w:color="auto" w:fill="auto"/>
            <w:tcMar>
              <w:top w:w="15" w:type="dxa"/>
              <w:left w:w="15" w:type="dxa"/>
              <w:bottom w:w="0" w:type="dxa"/>
              <w:right w:w="15" w:type="dxa"/>
            </w:tcMar>
            <w:vAlign w:val="center"/>
            <w:hideMark/>
          </w:tcPr>
          <w:p w14:paraId="1E50BA44" w14:textId="5C6A0C58" w:rsidR="00E629E4" w:rsidRPr="0009101F" w:rsidRDefault="00E629E4">
            <w:pPr>
              <w:jc w:val="center"/>
              <w:rPr>
                <w:rFonts w:ascii="Arial" w:hAnsi="Arial" w:cs="Arial"/>
                <w:szCs w:val="24"/>
              </w:rPr>
            </w:pPr>
            <w:r w:rsidRPr="0009101F">
              <w:rPr>
                <w:rFonts w:ascii="Arial" w:hAnsi="Arial" w:cs="Arial"/>
                <w:szCs w:val="24"/>
              </w:rPr>
              <w:t xml:space="preserve">Total </w:t>
            </w:r>
            <w:r w:rsidR="008D1199">
              <w:rPr>
                <w:rFonts w:ascii="Arial" w:hAnsi="Arial" w:cs="Arial"/>
                <w:szCs w:val="24"/>
              </w:rPr>
              <w:t>p</w:t>
            </w:r>
            <w:r w:rsidR="008D1199" w:rsidRPr="0009101F">
              <w:rPr>
                <w:rFonts w:ascii="Arial" w:hAnsi="Arial" w:cs="Arial"/>
                <w:szCs w:val="24"/>
              </w:rPr>
              <w:t xml:space="preserve">rocess </w:t>
            </w:r>
            <w:r w:rsidR="008D1199">
              <w:rPr>
                <w:rFonts w:ascii="Arial" w:hAnsi="Arial" w:cs="Arial"/>
                <w:szCs w:val="24"/>
              </w:rPr>
              <w:t>v</w:t>
            </w:r>
            <w:r w:rsidR="008D1199" w:rsidRPr="0009101F">
              <w:rPr>
                <w:rFonts w:ascii="Arial" w:hAnsi="Arial" w:cs="Arial"/>
                <w:szCs w:val="24"/>
              </w:rPr>
              <w:t>ariability</w:t>
            </w:r>
          </w:p>
        </w:tc>
        <w:tc>
          <w:tcPr>
            <w:tcW w:w="1718" w:type="dxa"/>
            <w:shd w:val="clear" w:color="auto" w:fill="auto"/>
            <w:tcMar>
              <w:top w:w="15" w:type="dxa"/>
              <w:left w:w="15" w:type="dxa"/>
              <w:bottom w:w="0" w:type="dxa"/>
              <w:right w:w="15" w:type="dxa"/>
            </w:tcMar>
            <w:vAlign w:val="center"/>
            <w:hideMark/>
          </w:tcPr>
          <w:p w14:paraId="1A06805F" w14:textId="6B68626F" w:rsidR="00E629E4" w:rsidRPr="0009101F" w:rsidRDefault="00E629E4" w:rsidP="00115A72">
            <w:pPr>
              <w:jc w:val="center"/>
              <w:rPr>
                <w:rFonts w:ascii="Arial" w:hAnsi="Arial" w:cs="Arial"/>
                <w:szCs w:val="24"/>
              </w:rPr>
            </w:pPr>
            <w:r w:rsidRPr="0009101F">
              <w:rPr>
                <w:rFonts w:ascii="Arial" w:hAnsi="Arial" w:cs="Arial"/>
                <w:szCs w:val="24"/>
              </w:rPr>
              <w:t>8%</w:t>
            </w:r>
          </w:p>
        </w:tc>
      </w:tr>
    </w:tbl>
    <w:p w14:paraId="31E18E1F" w14:textId="77777777" w:rsidR="00E629E4" w:rsidRPr="0009101F" w:rsidRDefault="00E629E4" w:rsidP="00E629E4">
      <w:pPr>
        <w:spacing w:before="120" w:after="120"/>
        <w:rPr>
          <w:rFonts w:ascii="Arial" w:hAnsi="Arial" w:cs="Arial"/>
          <w:b/>
          <w:lang w:eastAsia="zh-CN"/>
        </w:rPr>
      </w:pPr>
    </w:p>
    <w:p w14:paraId="35161613" w14:textId="77777777" w:rsidR="00E629E4" w:rsidRDefault="00E629E4" w:rsidP="00E629E4">
      <w:pPr>
        <w:jc w:val="center"/>
        <w:rPr>
          <w:rFonts w:ascii="Arial" w:hAnsi="Arial" w:cs="Arial"/>
          <w:b/>
        </w:rPr>
      </w:pPr>
      <w:r w:rsidRPr="0009101F">
        <w:rPr>
          <w:rFonts w:ascii="Arial" w:hAnsi="Arial" w:cs="Arial"/>
          <w:b/>
          <w:noProof/>
        </w:rPr>
        <w:lastRenderedPageBreak/>
        <w:drawing>
          <wp:inline distT="0" distB="0" distL="0" distR="0" wp14:anchorId="08F3C824" wp14:editId="0B51BE3C">
            <wp:extent cx="5508657" cy="1695450"/>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r="3128"/>
                    <a:stretch>
                      <a:fillRect/>
                    </a:stretch>
                  </pic:blipFill>
                  <pic:spPr bwMode="auto">
                    <a:xfrm>
                      <a:off x="0" y="0"/>
                      <a:ext cx="5508657" cy="1695450"/>
                    </a:xfrm>
                    <a:prstGeom prst="rect">
                      <a:avLst/>
                    </a:prstGeom>
                    <a:noFill/>
                    <a:ln w="9525">
                      <a:noFill/>
                      <a:miter lim="800000"/>
                      <a:headEnd/>
                      <a:tailEnd/>
                    </a:ln>
                  </pic:spPr>
                </pic:pic>
              </a:graphicData>
            </a:graphic>
          </wp:inline>
        </w:drawing>
      </w:r>
    </w:p>
    <w:p w14:paraId="2B59B670" w14:textId="77777777" w:rsidR="009179FB" w:rsidRDefault="009179FB" w:rsidP="00E629E4">
      <w:pPr>
        <w:jc w:val="center"/>
        <w:rPr>
          <w:rFonts w:ascii="Arial" w:hAnsi="Arial" w:cs="Arial"/>
          <w:b/>
        </w:rPr>
      </w:pPr>
    </w:p>
    <w:p w14:paraId="2BB8B0DE" w14:textId="77777777" w:rsidR="009179FB" w:rsidRDefault="009179FB" w:rsidP="00E629E4">
      <w:pPr>
        <w:jc w:val="center"/>
        <w:rPr>
          <w:rFonts w:ascii="Arial" w:hAnsi="Arial" w:cs="Arial"/>
          <w:b/>
        </w:rPr>
      </w:pPr>
    </w:p>
    <w:p w14:paraId="676607BE" w14:textId="3950E5DD" w:rsidR="009179FB" w:rsidRPr="009B73E1" w:rsidRDefault="009179FB" w:rsidP="009179FB">
      <w:pPr>
        <w:rPr>
          <w:rFonts w:ascii="Arial" w:hAnsi="Arial" w:cs="Arial"/>
        </w:rPr>
      </w:pPr>
      <w:r w:rsidRPr="009179FB">
        <w:rPr>
          <w:rFonts w:ascii="Arial" w:hAnsi="Arial" w:cs="Arial"/>
          <w:b/>
          <w:bCs/>
        </w:rPr>
        <w:t xml:space="preserve">Figure </w:t>
      </w:r>
      <w:r w:rsidR="009A71DF">
        <w:rPr>
          <w:rFonts w:ascii="Arial" w:hAnsi="Arial" w:cs="Arial"/>
          <w:b/>
          <w:bCs/>
        </w:rPr>
        <w:t>S</w:t>
      </w:r>
      <w:r w:rsidRPr="009179FB">
        <w:rPr>
          <w:rFonts w:ascii="Arial" w:hAnsi="Arial" w:cs="Arial"/>
          <w:b/>
          <w:bCs/>
        </w:rPr>
        <w:t>1.</w:t>
      </w:r>
      <w:r w:rsidRPr="009179FB">
        <w:rPr>
          <w:rFonts w:ascii="Arial" w:hAnsi="Arial" w:cs="Arial"/>
          <w:b/>
        </w:rPr>
        <w:t xml:space="preserve"> </w:t>
      </w:r>
      <w:r w:rsidRPr="009B73E1">
        <w:rPr>
          <w:rFonts w:ascii="Arial" w:hAnsi="Arial" w:cs="Arial"/>
        </w:rPr>
        <w:t xml:space="preserve">Preparation of technical replicates. A small aliquot of each sample (colored cylinder) </w:t>
      </w:r>
      <w:r w:rsidR="008D1199" w:rsidRPr="009B73E1">
        <w:rPr>
          <w:rFonts w:ascii="Arial" w:hAnsi="Arial" w:cs="Arial"/>
        </w:rPr>
        <w:t xml:space="preserve">was </w:t>
      </w:r>
      <w:r w:rsidRPr="009B73E1">
        <w:rPr>
          <w:rFonts w:ascii="Arial" w:hAnsi="Arial" w:cs="Arial"/>
        </w:rPr>
        <w:t xml:space="preserve">pooled to create a CMTRX technical replicate sample (multi-colored cylinder), which </w:t>
      </w:r>
      <w:r w:rsidR="008D1199" w:rsidRPr="009B73E1">
        <w:rPr>
          <w:rFonts w:ascii="Arial" w:hAnsi="Arial" w:cs="Arial"/>
        </w:rPr>
        <w:t xml:space="preserve">was </w:t>
      </w:r>
      <w:r w:rsidRPr="009B73E1">
        <w:rPr>
          <w:rFonts w:ascii="Arial" w:hAnsi="Arial" w:cs="Arial"/>
        </w:rPr>
        <w:t xml:space="preserve">then injected periodically throughout the platform run. Variability among consistently detected biochemicals can be used to calculate an estimate of overall process and platform variability. </w:t>
      </w:r>
    </w:p>
    <w:p w14:paraId="5043EEB8" w14:textId="77777777" w:rsidR="009179FB" w:rsidRPr="0009101F" w:rsidRDefault="009179FB" w:rsidP="009179FB">
      <w:pPr>
        <w:rPr>
          <w:rFonts w:ascii="Arial" w:hAnsi="Arial" w:cs="Arial"/>
          <w:b/>
        </w:rPr>
      </w:pPr>
    </w:p>
    <w:p w14:paraId="2D3F8F3C" w14:textId="6C626B3C" w:rsidR="001D12A5" w:rsidRPr="0009101F" w:rsidRDefault="001D12A5" w:rsidP="001D12A5">
      <w:pPr>
        <w:pageBreakBefore/>
        <w:spacing w:after="480"/>
        <w:jc w:val="both"/>
        <w:rPr>
          <w:rFonts w:ascii="Arial" w:hAnsi="Arial" w:cs="Arial"/>
          <w:szCs w:val="24"/>
        </w:rPr>
      </w:pPr>
    </w:p>
    <w:p w14:paraId="7A66BCEC" w14:textId="77777777" w:rsidR="001D12A5" w:rsidRPr="0009101F" w:rsidRDefault="001D12A5" w:rsidP="001D12A5">
      <w:pPr>
        <w:spacing w:before="480"/>
        <w:jc w:val="both"/>
        <w:rPr>
          <w:rFonts w:ascii="Arial" w:hAnsi="Arial" w:cs="Arial"/>
          <w:b/>
        </w:rPr>
      </w:pPr>
    </w:p>
    <w:p w14:paraId="526A988D" w14:textId="16B8D390" w:rsidR="001D12A5" w:rsidRPr="009B73E1" w:rsidRDefault="001D12A5" w:rsidP="001D12A5">
      <w:pPr>
        <w:spacing w:before="480"/>
        <w:jc w:val="both"/>
        <w:rPr>
          <w:rFonts w:ascii="Arial" w:hAnsi="Arial" w:cs="Arial"/>
        </w:rPr>
      </w:pPr>
      <w:r w:rsidRPr="0009101F">
        <w:rPr>
          <w:rFonts w:ascii="Arial" w:hAnsi="Arial" w:cs="Arial"/>
          <w:noProof/>
        </w:rPr>
        <w:drawing>
          <wp:anchor distT="0" distB="0" distL="114300" distR="114300" simplePos="0" relativeHeight="251659264" behindDoc="0" locked="0" layoutInCell="1" allowOverlap="1" wp14:anchorId="59FBBD44" wp14:editId="2998BFC2">
            <wp:simplePos x="0" y="0"/>
            <wp:positionH relativeFrom="column">
              <wp:posOffset>685800</wp:posOffset>
            </wp:positionH>
            <wp:positionV relativeFrom="paragraph">
              <wp:posOffset>86995</wp:posOffset>
            </wp:positionV>
            <wp:extent cx="4324350" cy="1914525"/>
            <wp:effectExtent l="19050" t="0" r="0" b="0"/>
            <wp:wrapTopAndBottom/>
            <wp:docPr id="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srcRect/>
                    <a:stretch>
                      <a:fillRect/>
                    </a:stretch>
                  </pic:blipFill>
                  <pic:spPr bwMode="auto">
                    <a:xfrm>
                      <a:off x="0" y="0"/>
                      <a:ext cx="4324350" cy="1914525"/>
                    </a:xfrm>
                    <a:prstGeom prst="rect">
                      <a:avLst/>
                    </a:prstGeom>
                    <a:noFill/>
                    <a:ln w="9525">
                      <a:noFill/>
                      <a:miter lim="800000"/>
                      <a:headEnd/>
                      <a:tailEnd/>
                    </a:ln>
                  </pic:spPr>
                </pic:pic>
              </a:graphicData>
            </a:graphic>
          </wp:anchor>
        </w:drawing>
      </w:r>
      <w:r w:rsidRPr="0009101F">
        <w:rPr>
          <w:rFonts w:ascii="Arial" w:hAnsi="Arial" w:cs="Arial"/>
          <w:b/>
        </w:rPr>
        <w:t xml:space="preserve">Figure </w:t>
      </w:r>
      <w:r w:rsidR="009A71DF">
        <w:rPr>
          <w:rFonts w:ascii="Arial" w:hAnsi="Arial" w:cs="Arial"/>
          <w:b/>
        </w:rPr>
        <w:t>S</w:t>
      </w:r>
      <w:r w:rsidRPr="0009101F">
        <w:rPr>
          <w:rFonts w:ascii="Arial" w:hAnsi="Arial" w:cs="Arial"/>
          <w:b/>
        </w:rPr>
        <w:t>2</w:t>
      </w:r>
      <w:r w:rsidR="00303B8F">
        <w:rPr>
          <w:rFonts w:ascii="Arial" w:hAnsi="Arial" w:cs="Arial"/>
          <w:b/>
        </w:rPr>
        <w:t>.</w:t>
      </w:r>
      <w:r w:rsidR="00303B8F" w:rsidRPr="0009101F">
        <w:rPr>
          <w:rFonts w:ascii="Arial" w:hAnsi="Arial" w:cs="Arial"/>
          <w:b/>
        </w:rPr>
        <w:t xml:space="preserve"> </w:t>
      </w:r>
      <w:r w:rsidRPr="009B73E1">
        <w:rPr>
          <w:rFonts w:ascii="Arial" w:hAnsi="Arial" w:cs="Arial"/>
        </w:rPr>
        <w:t xml:space="preserve">Visualization of data normalization steps for a multiday platform run. </w:t>
      </w:r>
    </w:p>
    <w:p w14:paraId="5E6B4BF0" w14:textId="77777777" w:rsidR="001D12A5" w:rsidRPr="0058552B" w:rsidRDefault="001D12A5" w:rsidP="001D12A5">
      <w:pPr>
        <w:rPr>
          <w:rFonts w:ascii="Arial" w:hAnsi="Arial" w:cs="Arial"/>
        </w:rPr>
      </w:pPr>
    </w:p>
    <w:p w14:paraId="554D138C" w14:textId="77777777" w:rsidR="001D12A5" w:rsidRPr="0009101F" w:rsidRDefault="001D12A5" w:rsidP="00E629E4">
      <w:pPr>
        <w:spacing w:before="360" w:after="240"/>
        <w:jc w:val="both"/>
        <w:rPr>
          <w:rFonts w:ascii="Arial" w:hAnsi="Arial" w:cs="Arial"/>
          <w:szCs w:val="24"/>
          <w:lang w:eastAsia="zh-CN"/>
        </w:rPr>
      </w:pPr>
    </w:p>
    <w:sectPr w:rsidR="001D12A5" w:rsidRPr="0009101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92A401" w14:textId="77777777" w:rsidR="00C4306A" w:rsidRDefault="00C4306A" w:rsidP="00112F3A">
      <w:r>
        <w:separator/>
      </w:r>
    </w:p>
  </w:endnote>
  <w:endnote w:type="continuationSeparator" w:id="0">
    <w:p w14:paraId="7AAB7014" w14:textId="77777777" w:rsidR="00C4306A" w:rsidRDefault="00C4306A" w:rsidP="00112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76EDBD" w14:textId="77777777" w:rsidR="00C4306A" w:rsidRDefault="00C4306A" w:rsidP="00112F3A">
      <w:r>
        <w:separator/>
      </w:r>
    </w:p>
  </w:footnote>
  <w:footnote w:type="continuationSeparator" w:id="0">
    <w:p w14:paraId="4421B1C3" w14:textId="77777777" w:rsidR="00C4306A" w:rsidRDefault="00C4306A" w:rsidP="00112F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
  </w:docVars>
  <w:rsids>
    <w:rsidRoot w:val="00955092"/>
    <w:rsid w:val="00001970"/>
    <w:rsid w:val="00080D2B"/>
    <w:rsid w:val="00084992"/>
    <w:rsid w:val="0009101F"/>
    <w:rsid w:val="000B1536"/>
    <w:rsid w:val="00112F3A"/>
    <w:rsid w:val="001300FD"/>
    <w:rsid w:val="00165412"/>
    <w:rsid w:val="00171CA0"/>
    <w:rsid w:val="001A1332"/>
    <w:rsid w:val="001D12A5"/>
    <w:rsid w:val="0023138C"/>
    <w:rsid w:val="00280BBD"/>
    <w:rsid w:val="002C50AA"/>
    <w:rsid w:val="002E0652"/>
    <w:rsid w:val="00303B8F"/>
    <w:rsid w:val="00322ADA"/>
    <w:rsid w:val="00373877"/>
    <w:rsid w:val="003A4D7C"/>
    <w:rsid w:val="0046161B"/>
    <w:rsid w:val="004C7D0C"/>
    <w:rsid w:val="004F6C6F"/>
    <w:rsid w:val="004F7EC8"/>
    <w:rsid w:val="0058552B"/>
    <w:rsid w:val="005A5717"/>
    <w:rsid w:val="00636E1E"/>
    <w:rsid w:val="00687D61"/>
    <w:rsid w:val="006C50FD"/>
    <w:rsid w:val="00721756"/>
    <w:rsid w:val="00723CEB"/>
    <w:rsid w:val="007369F1"/>
    <w:rsid w:val="00760F64"/>
    <w:rsid w:val="00774996"/>
    <w:rsid w:val="007A4D2C"/>
    <w:rsid w:val="007B7EB6"/>
    <w:rsid w:val="008050E2"/>
    <w:rsid w:val="008B2877"/>
    <w:rsid w:val="008D1199"/>
    <w:rsid w:val="008F3D51"/>
    <w:rsid w:val="009179FB"/>
    <w:rsid w:val="00945BD1"/>
    <w:rsid w:val="009511B9"/>
    <w:rsid w:val="00955092"/>
    <w:rsid w:val="00970801"/>
    <w:rsid w:val="00990E4B"/>
    <w:rsid w:val="009A71DF"/>
    <w:rsid w:val="009B4A54"/>
    <w:rsid w:val="009B73E1"/>
    <w:rsid w:val="009F5D8F"/>
    <w:rsid w:val="009F6A74"/>
    <w:rsid w:val="00A40739"/>
    <w:rsid w:val="00A41913"/>
    <w:rsid w:val="00B3089F"/>
    <w:rsid w:val="00B63C31"/>
    <w:rsid w:val="00BA5BF6"/>
    <w:rsid w:val="00BE7123"/>
    <w:rsid w:val="00C4306A"/>
    <w:rsid w:val="00C767FB"/>
    <w:rsid w:val="00C82537"/>
    <w:rsid w:val="00CC59FA"/>
    <w:rsid w:val="00CF16F6"/>
    <w:rsid w:val="00D158CC"/>
    <w:rsid w:val="00D2515B"/>
    <w:rsid w:val="00D431F5"/>
    <w:rsid w:val="00D439D2"/>
    <w:rsid w:val="00DA0FD3"/>
    <w:rsid w:val="00DC4CB6"/>
    <w:rsid w:val="00E629E4"/>
    <w:rsid w:val="00E777D4"/>
    <w:rsid w:val="00E827FC"/>
    <w:rsid w:val="00E90928"/>
    <w:rsid w:val="00EA36A9"/>
    <w:rsid w:val="00EA5566"/>
    <w:rsid w:val="00EE7F57"/>
    <w:rsid w:val="00F0314D"/>
    <w:rsid w:val="00F25121"/>
    <w:rsid w:val="00FD7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680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9E4"/>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D158CC"/>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qFormat/>
    <w:rsid w:val="00E629E4"/>
    <w:pPr>
      <w:spacing w:before="200" w:after="80"/>
      <w:outlineLvl w:val="1"/>
    </w:pPr>
    <w:rPr>
      <w:rFonts w:asciiTheme="minorHAnsi" w:hAnsiTheme="minorHAnsi"/>
      <w:b/>
      <w:i/>
      <w:color w:val="000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E629E4"/>
    <w:rPr>
      <w:rFonts w:cs="Times New Roman"/>
      <w:b/>
      <w:i/>
      <w:color w:val="000000"/>
      <w:sz w:val="28"/>
      <w:szCs w:val="24"/>
    </w:rPr>
  </w:style>
  <w:style w:type="table" w:styleId="TableGrid">
    <w:name w:val="Table Grid"/>
    <w:basedOn w:val="TableNormal"/>
    <w:uiPriority w:val="59"/>
    <w:rsid w:val="00E629E4"/>
    <w:pPr>
      <w:spacing w:after="0"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uiPriority w:val="99"/>
    <w:semiHidden/>
    <w:unhideWhenUsed/>
    <w:rsid w:val="00E629E4"/>
    <w:rPr>
      <w:sz w:val="20"/>
      <w:szCs w:val="20"/>
    </w:rPr>
  </w:style>
  <w:style w:type="character" w:customStyle="1" w:styleId="CommentTextChar">
    <w:name w:val="Comment Text Char"/>
    <w:basedOn w:val="DefaultParagraphFont"/>
    <w:link w:val="CommentText"/>
    <w:uiPriority w:val="99"/>
    <w:semiHidden/>
    <w:rsid w:val="00E629E4"/>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E629E4"/>
    <w:rPr>
      <w:sz w:val="16"/>
      <w:szCs w:val="16"/>
    </w:rPr>
  </w:style>
  <w:style w:type="character" w:customStyle="1" w:styleId="BalloonTextChar">
    <w:name w:val="Balloon Text Char"/>
    <w:basedOn w:val="DefaultParagraphFont"/>
    <w:link w:val="BalloonText"/>
    <w:uiPriority w:val="99"/>
    <w:semiHidden/>
    <w:rsid w:val="00E629E4"/>
    <w:rPr>
      <w:rFonts w:ascii="Times New Roman" w:hAnsi="Times New Roman" w:cs="Times New Roman"/>
      <w:sz w:val="16"/>
      <w:szCs w:val="16"/>
    </w:rPr>
  </w:style>
  <w:style w:type="character" w:customStyle="1" w:styleId="Heading1Char">
    <w:name w:val="Heading 1 Char"/>
    <w:basedOn w:val="DefaultParagraphFont"/>
    <w:link w:val="Heading1"/>
    <w:uiPriority w:val="9"/>
    <w:rsid w:val="00D158CC"/>
    <w:rPr>
      <w:rFonts w:ascii="Times New Roman" w:hAnsi="Times New Roman" w:cs="Times New Roman"/>
      <w:b/>
      <w:bCs/>
      <w:kern w:val="44"/>
      <w:sz w:val="44"/>
      <w:szCs w:val="44"/>
    </w:rPr>
  </w:style>
  <w:style w:type="paragraph" w:styleId="Title">
    <w:name w:val="Title"/>
    <w:basedOn w:val="Normal"/>
    <w:next w:val="Normal"/>
    <w:link w:val="TitleChar"/>
    <w:uiPriority w:val="10"/>
    <w:qFormat/>
    <w:rsid w:val="00D158CC"/>
    <w:pPr>
      <w:spacing w:before="240" w:after="60"/>
      <w:jc w:val="center"/>
      <w:outlineLvl w:val="0"/>
    </w:pPr>
    <w:rPr>
      <w:rFonts w:asciiTheme="majorHAnsi" w:eastAsia="SimSun" w:hAnsiTheme="majorHAnsi" w:cstheme="majorBidi"/>
      <w:b/>
      <w:bCs/>
      <w:sz w:val="32"/>
      <w:szCs w:val="32"/>
    </w:rPr>
  </w:style>
  <w:style w:type="character" w:customStyle="1" w:styleId="TitleChar">
    <w:name w:val="Title Char"/>
    <w:basedOn w:val="DefaultParagraphFont"/>
    <w:link w:val="Title"/>
    <w:uiPriority w:val="10"/>
    <w:rsid w:val="00D158CC"/>
    <w:rPr>
      <w:rFonts w:asciiTheme="majorHAnsi" w:eastAsia="SimSun" w:hAnsiTheme="majorHAnsi" w:cstheme="majorBidi"/>
      <w:b/>
      <w:bCs/>
      <w:sz w:val="32"/>
      <w:szCs w:val="32"/>
    </w:rPr>
  </w:style>
  <w:style w:type="paragraph" w:styleId="Header">
    <w:name w:val="header"/>
    <w:basedOn w:val="Normal"/>
    <w:link w:val="HeaderChar"/>
    <w:uiPriority w:val="99"/>
    <w:unhideWhenUsed/>
    <w:rsid w:val="00112F3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12F3A"/>
    <w:rPr>
      <w:rFonts w:ascii="Times New Roman" w:hAnsi="Times New Roman" w:cs="Times New Roman"/>
      <w:sz w:val="18"/>
      <w:szCs w:val="18"/>
    </w:rPr>
  </w:style>
  <w:style w:type="paragraph" w:styleId="Footer">
    <w:name w:val="footer"/>
    <w:basedOn w:val="Normal"/>
    <w:link w:val="FooterChar"/>
    <w:uiPriority w:val="99"/>
    <w:unhideWhenUsed/>
    <w:rsid w:val="00112F3A"/>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112F3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82537"/>
    <w:rPr>
      <w:sz w:val="18"/>
      <w:szCs w:val="18"/>
    </w:rPr>
  </w:style>
  <w:style w:type="paragraph" w:styleId="CommentSubject">
    <w:name w:val="annotation subject"/>
    <w:basedOn w:val="CommentText"/>
    <w:next w:val="CommentText"/>
    <w:link w:val="CommentSubjectChar"/>
    <w:uiPriority w:val="99"/>
    <w:semiHidden/>
    <w:unhideWhenUsed/>
    <w:rsid w:val="00C82537"/>
    <w:rPr>
      <w:b/>
      <w:bCs/>
    </w:rPr>
  </w:style>
  <w:style w:type="character" w:customStyle="1" w:styleId="CommentSubjectChar">
    <w:name w:val="Comment Subject Char"/>
    <w:basedOn w:val="CommentTextChar"/>
    <w:link w:val="CommentSubject"/>
    <w:uiPriority w:val="99"/>
    <w:semiHidden/>
    <w:rsid w:val="00C82537"/>
    <w:rPr>
      <w:rFonts w:ascii="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9E4"/>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D158CC"/>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qFormat/>
    <w:rsid w:val="00E629E4"/>
    <w:pPr>
      <w:spacing w:before="200" w:after="80"/>
      <w:outlineLvl w:val="1"/>
    </w:pPr>
    <w:rPr>
      <w:rFonts w:asciiTheme="minorHAnsi" w:hAnsiTheme="minorHAnsi"/>
      <w:b/>
      <w:i/>
      <w:color w:val="000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E629E4"/>
    <w:rPr>
      <w:rFonts w:cs="Times New Roman"/>
      <w:b/>
      <w:i/>
      <w:color w:val="000000"/>
      <w:sz w:val="28"/>
      <w:szCs w:val="24"/>
    </w:rPr>
  </w:style>
  <w:style w:type="table" w:styleId="TableGrid">
    <w:name w:val="Table Grid"/>
    <w:basedOn w:val="TableNormal"/>
    <w:uiPriority w:val="59"/>
    <w:rsid w:val="00E629E4"/>
    <w:pPr>
      <w:spacing w:after="0"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uiPriority w:val="99"/>
    <w:semiHidden/>
    <w:unhideWhenUsed/>
    <w:rsid w:val="00E629E4"/>
    <w:rPr>
      <w:sz w:val="20"/>
      <w:szCs w:val="20"/>
    </w:rPr>
  </w:style>
  <w:style w:type="character" w:customStyle="1" w:styleId="CommentTextChar">
    <w:name w:val="Comment Text Char"/>
    <w:basedOn w:val="DefaultParagraphFont"/>
    <w:link w:val="CommentText"/>
    <w:uiPriority w:val="99"/>
    <w:semiHidden/>
    <w:rsid w:val="00E629E4"/>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E629E4"/>
    <w:rPr>
      <w:sz w:val="16"/>
      <w:szCs w:val="16"/>
    </w:rPr>
  </w:style>
  <w:style w:type="character" w:customStyle="1" w:styleId="BalloonTextChar">
    <w:name w:val="Balloon Text Char"/>
    <w:basedOn w:val="DefaultParagraphFont"/>
    <w:link w:val="BalloonText"/>
    <w:uiPriority w:val="99"/>
    <w:semiHidden/>
    <w:rsid w:val="00E629E4"/>
    <w:rPr>
      <w:rFonts w:ascii="Times New Roman" w:hAnsi="Times New Roman" w:cs="Times New Roman"/>
      <w:sz w:val="16"/>
      <w:szCs w:val="16"/>
    </w:rPr>
  </w:style>
  <w:style w:type="character" w:customStyle="1" w:styleId="Heading1Char">
    <w:name w:val="Heading 1 Char"/>
    <w:basedOn w:val="DefaultParagraphFont"/>
    <w:link w:val="Heading1"/>
    <w:uiPriority w:val="9"/>
    <w:rsid w:val="00D158CC"/>
    <w:rPr>
      <w:rFonts w:ascii="Times New Roman" w:hAnsi="Times New Roman" w:cs="Times New Roman"/>
      <w:b/>
      <w:bCs/>
      <w:kern w:val="44"/>
      <w:sz w:val="44"/>
      <w:szCs w:val="44"/>
    </w:rPr>
  </w:style>
  <w:style w:type="paragraph" w:styleId="Title">
    <w:name w:val="Title"/>
    <w:basedOn w:val="Normal"/>
    <w:next w:val="Normal"/>
    <w:link w:val="TitleChar"/>
    <w:uiPriority w:val="10"/>
    <w:qFormat/>
    <w:rsid w:val="00D158CC"/>
    <w:pPr>
      <w:spacing w:before="240" w:after="60"/>
      <w:jc w:val="center"/>
      <w:outlineLvl w:val="0"/>
    </w:pPr>
    <w:rPr>
      <w:rFonts w:asciiTheme="majorHAnsi" w:eastAsia="SimSun" w:hAnsiTheme="majorHAnsi" w:cstheme="majorBidi"/>
      <w:b/>
      <w:bCs/>
      <w:sz w:val="32"/>
      <w:szCs w:val="32"/>
    </w:rPr>
  </w:style>
  <w:style w:type="character" w:customStyle="1" w:styleId="TitleChar">
    <w:name w:val="Title Char"/>
    <w:basedOn w:val="DefaultParagraphFont"/>
    <w:link w:val="Title"/>
    <w:uiPriority w:val="10"/>
    <w:rsid w:val="00D158CC"/>
    <w:rPr>
      <w:rFonts w:asciiTheme="majorHAnsi" w:eastAsia="SimSun" w:hAnsiTheme="majorHAnsi" w:cstheme="majorBidi"/>
      <w:b/>
      <w:bCs/>
      <w:sz w:val="32"/>
      <w:szCs w:val="32"/>
    </w:rPr>
  </w:style>
  <w:style w:type="paragraph" w:styleId="Header">
    <w:name w:val="header"/>
    <w:basedOn w:val="Normal"/>
    <w:link w:val="HeaderChar"/>
    <w:uiPriority w:val="99"/>
    <w:unhideWhenUsed/>
    <w:rsid w:val="00112F3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12F3A"/>
    <w:rPr>
      <w:rFonts w:ascii="Times New Roman" w:hAnsi="Times New Roman" w:cs="Times New Roman"/>
      <w:sz w:val="18"/>
      <w:szCs w:val="18"/>
    </w:rPr>
  </w:style>
  <w:style w:type="paragraph" w:styleId="Footer">
    <w:name w:val="footer"/>
    <w:basedOn w:val="Normal"/>
    <w:link w:val="FooterChar"/>
    <w:uiPriority w:val="99"/>
    <w:unhideWhenUsed/>
    <w:rsid w:val="00112F3A"/>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112F3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82537"/>
    <w:rPr>
      <w:sz w:val="18"/>
      <w:szCs w:val="18"/>
    </w:rPr>
  </w:style>
  <w:style w:type="paragraph" w:styleId="CommentSubject">
    <w:name w:val="annotation subject"/>
    <w:basedOn w:val="CommentText"/>
    <w:next w:val="CommentText"/>
    <w:link w:val="CommentSubjectChar"/>
    <w:uiPriority w:val="99"/>
    <w:semiHidden/>
    <w:unhideWhenUsed/>
    <w:rsid w:val="00C82537"/>
    <w:rPr>
      <w:b/>
      <w:bCs/>
    </w:rPr>
  </w:style>
  <w:style w:type="character" w:customStyle="1" w:styleId="CommentSubjectChar">
    <w:name w:val="Comment Subject Char"/>
    <w:basedOn w:val="CommentTextChar"/>
    <w:link w:val="CommentSubject"/>
    <w:uiPriority w:val="99"/>
    <w:semiHidden/>
    <w:rsid w:val="00C82537"/>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1194</Words>
  <Characters>7383</Characters>
  <Application>Microsoft Office Word</Application>
  <DocSecurity>0</DocSecurity>
  <Lines>160</Lines>
  <Paragraphs>54</Paragraphs>
  <ScaleCrop>false</ScaleCrop>
  <HeadingPairs>
    <vt:vector size="2" baseType="variant">
      <vt:variant>
        <vt:lpstr>Title</vt:lpstr>
      </vt:variant>
      <vt:variant>
        <vt:i4>1</vt:i4>
      </vt:variant>
    </vt:vector>
  </HeadingPairs>
  <TitlesOfParts>
    <vt:vector size="1" baseType="lpstr">
      <vt:lpstr/>
    </vt:vector>
  </TitlesOfParts>
  <Company>HSPH</Company>
  <LinksUpToDate>false</LinksUpToDate>
  <CharactersWithSpaces>8523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JLOAYON</cp:lastModifiedBy>
  <cp:revision>9</cp:revision>
  <dcterms:created xsi:type="dcterms:W3CDTF">2017-08-14T13:21:00Z</dcterms:created>
  <dcterms:modified xsi:type="dcterms:W3CDTF">2018-08-09T23:33:00Z</dcterms:modified>
</cp:coreProperties>
</file>